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B342D9"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bookmarkStart w:id="0" w:name="_GoBack"/>
      <w:r w:rsidRPr="00341B41">
        <w:rPr>
          <w:rFonts w:asciiTheme="majorBidi" w:hAnsiTheme="majorBidi" w:cstheme="majorBidi"/>
          <w:noProof/>
          <w:szCs w:val="24"/>
          <w:lang w:val="en-US"/>
        </w:rPr>
        <w:drawing>
          <wp:anchor distT="0" distB="0" distL="114300" distR="114300" simplePos="0" relativeHeight="251659264" behindDoc="0" locked="0" layoutInCell="1" allowOverlap="1" wp14:anchorId="4A6A818A" wp14:editId="72F87827">
            <wp:simplePos x="0" y="0"/>
            <wp:positionH relativeFrom="column">
              <wp:posOffset>1425736</wp:posOffset>
            </wp:positionH>
            <wp:positionV relativeFrom="paragraph">
              <wp:posOffset>4541</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21838AE"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66432761"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394A9F9C"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7EDA08AC"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0D8BA8FF"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41DEF183"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20E4153E"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690FBF84"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1C331C8C"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6FDAE86B" w14:textId="77777777" w:rsidR="00724C31" w:rsidRPr="00341B41" w:rsidRDefault="00724C31" w:rsidP="00724C31">
      <w:pPr>
        <w:pStyle w:val="Title"/>
        <w:jc w:val="center"/>
      </w:pPr>
      <w:r w:rsidRPr="00341B41">
        <w:rPr>
          <w:color w:val="222222"/>
        </w:rPr>
        <w:br/>
      </w:r>
      <w:r w:rsidRPr="00341B41">
        <w:rPr>
          <w:color w:val="222222"/>
        </w:rPr>
        <w:br/>
      </w:r>
      <w:r w:rsidRPr="00341B41">
        <w:t>The neural basis of expert anticipation in a real-world skill</w:t>
      </w:r>
    </w:p>
    <w:p w14:paraId="3C134E9A"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4BBB3BFE"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68F95524"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40442610"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b/>
          <w:bCs/>
          <w:szCs w:val="24"/>
        </w:rPr>
      </w:pPr>
      <w:r w:rsidRPr="00341B41">
        <w:rPr>
          <w:rFonts w:asciiTheme="majorBidi" w:hAnsiTheme="majorBidi" w:cstheme="majorBidi"/>
          <w:b/>
          <w:bCs/>
          <w:szCs w:val="24"/>
        </w:rPr>
        <w:t>By:</w:t>
      </w:r>
    </w:p>
    <w:p w14:paraId="11750171"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p>
    <w:p w14:paraId="50C5066B" w14:textId="77777777" w:rsidR="00724C31" w:rsidRPr="00341B41" w:rsidRDefault="00724C31" w:rsidP="00724C31">
      <w:pPr>
        <w:autoSpaceDE w:val="0"/>
        <w:autoSpaceDN w:val="0"/>
        <w:adjustRightInd w:val="0"/>
        <w:spacing w:after="0" w:line="240" w:lineRule="auto"/>
        <w:rPr>
          <w:rFonts w:asciiTheme="majorBidi" w:hAnsiTheme="majorBidi" w:cstheme="majorBidi"/>
          <w:sz w:val="28"/>
          <w:szCs w:val="28"/>
        </w:rPr>
      </w:pPr>
    </w:p>
    <w:p w14:paraId="319423D1"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r w:rsidRPr="00341B41">
        <w:rPr>
          <w:rFonts w:asciiTheme="majorBidi" w:hAnsiTheme="majorBidi" w:cstheme="majorBidi"/>
          <w:szCs w:val="24"/>
        </w:rPr>
        <w:t>Dan Denis</w:t>
      </w:r>
    </w:p>
    <w:p w14:paraId="1B2EE6D0"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715983E4" w14:textId="77777777" w:rsidR="00724C31" w:rsidRPr="00341B41" w:rsidRDefault="00724C31" w:rsidP="00724C31">
      <w:pPr>
        <w:autoSpaceDE w:val="0"/>
        <w:autoSpaceDN w:val="0"/>
        <w:adjustRightInd w:val="0"/>
        <w:spacing w:after="0" w:line="240" w:lineRule="auto"/>
        <w:rPr>
          <w:rFonts w:asciiTheme="majorBidi" w:hAnsiTheme="majorBidi" w:cstheme="majorBidi"/>
          <w:szCs w:val="24"/>
        </w:rPr>
      </w:pPr>
    </w:p>
    <w:p w14:paraId="1225A2DD"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r w:rsidRPr="00341B41">
        <w:rPr>
          <w:rFonts w:asciiTheme="majorBidi" w:hAnsiTheme="majorBidi" w:cstheme="majorBidi"/>
          <w:szCs w:val="24"/>
        </w:rPr>
        <w:t>A thesis submitted in partial fulfilment of the requirements for the degree of</w:t>
      </w:r>
    </w:p>
    <w:p w14:paraId="48E5B474" w14:textId="77777777" w:rsidR="00724C31" w:rsidRPr="00341B41" w:rsidRDefault="00724C31" w:rsidP="00724C31">
      <w:pPr>
        <w:jc w:val="center"/>
        <w:rPr>
          <w:rFonts w:asciiTheme="majorBidi" w:hAnsiTheme="majorBidi" w:cstheme="majorBidi"/>
          <w:szCs w:val="24"/>
        </w:rPr>
      </w:pPr>
      <w:r w:rsidRPr="00341B41">
        <w:rPr>
          <w:rFonts w:asciiTheme="majorBidi" w:hAnsiTheme="majorBidi" w:cstheme="majorBidi"/>
          <w:szCs w:val="24"/>
        </w:rPr>
        <w:t xml:space="preserve">Doctor of Philosophy </w:t>
      </w:r>
    </w:p>
    <w:p w14:paraId="652745ED" w14:textId="77777777" w:rsidR="00724C31" w:rsidRPr="00341B41" w:rsidRDefault="00724C31" w:rsidP="00724C31">
      <w:pPr>
        <w:rPr>
          <w:rFonts w:asciiTheme="majorBidi" w:hAnsiTheme="majorBidi" w:cstheme="majorBidi"/>
          <w:szCs w:val="24"/>
        </w:rPr>
      </w:pPr>
    </w:p>
    <w:p w14:paraId="2EB294B4" w14:textId="77777777" w:rsidR="00724C31" w:rsidRPr="00341B41" w:rsidRDefault="00724C31" w:rsidP="00724C31">
      <w:pPr>
        <w:spacing w:after="0" w:line="240" w:lineRule="auto"/>
        <w:jc w:val="center"/>
        <w:rPr>
          <w:rFonts w:asciiTheme="majorBidi" w:hAnsiTheme="majorBidi" w:cstheme="majorBidi"/>
          <w:szCs w:val="24"/>
        </w:rPr>
      </w:pPr>
      <w:r w:rsidRPr="00341B41">
        <w:rPr>
          <w:rFonts w:asciiTheme="majorBidi" w:hAnsiTheme="majorBidi" w:cstheme="majorBidi"/>
          <w:szCs w:val="24"/>
        </w:rPr>
        <w:t>The University of Sheffield</w:t>
      </w:r>
    </w:p>
    <w:p w14:paraId="13FF7DAF" w14:textId="77777777" w:rsidR="00724C31" w:rsidRPr="00341B41" w:rsidRDefault="00724C31" w:rsidP="00724C31">
      <w:pPr>
        <w:autoSpaceDE w:val="0"/>
        <w:autoSpaceDN w:val="0"/>
        <w:adjustRightInd w:val="0"/>
        <w:spacing w:after="0" w:line="240" w:lineRule="auto"/>
        <w:jc w:val="center"/>
        <w:rPr>
          <w:rFonts w:asciiTheme="majorBidi" w:hAnsiTheme="majorBidi" w:cstheme="majorBidi"/>
          <w:szCs w:val="24"/>
        </w:rPr>
      </w:pPr>
      <w:r w:rsidRPr="00341B41">
        <w:rPr>
          <w:rFonts w:asciiTheme="majorBidi" w:hAnsiTheme="majorBidi" w:cstheme="majorBidi"/>
          <w:szCs w:val="24"/>
        </w:rPr>
        <w:t>Faculty of Science</w:t>
      </w:r>
    </w:p>
    <w:p w14:paraId="4B855035" w14:textId="77777777" w:rsidR="00724C31" w:rsidRPr="00341B41" w:rsidRDefault="00724C31" w:rsidP="00724C31">
      <w:pPr>
        <w:jc w:val="center"/>
        <w:rPr>
          <w:rFonts w:asciiTheme="majorBidi" w:hAnsiTheme="majorBidi" w:cstheme="majorBidi"/>
          <w:szCs w:val="24"/>
        </w:rPr>
      </w:pPr>
      <w:r w:rsidRPr="00341B41">
        <w:rPr>
          <w:rFonts w:asciiTheme="majorBidi" w:hAnsiTheme="majorBidi" w:cstheme="majorBidi"/>
          <w:szCs w:val="24"/>
        </w:rPr>
        <w:t>Department of Psychology</w:t>
      </w:r>
    </w:p>
    <w:p w14:paraId="5462CC7B" w14:textId="77777777" w:rsidR="00724C31" w:rsidRPr="00341B41" w:rsidRDefault="00724C31" w:rsidP="00724C31">
      <w:pPr>
        <w:jc w:val="center"/>
        <w:rPr>
          <w:rFonts w:asciiTheme="majorBidi" w:hAnsiTheme="majorBidi" w:cstheme="majorBidi"/>
          <w:szCs w:val="24"/>
        </w:rPr>
      </w:pPr>
    </w:p>
    <w:p w14:paraId="4EBE5E40" w14:textId="76988D89" w:rsidR="00724C31" w:rsidRPr="00341B41" w:rsidRDefault="00724C31" w:rsidP="00724C31">
      <w:pPr>
        <w:jc w:val="center"/>
        <w:rPr>
          <w:rFonts w:asciiTheme="majorBidi" w:hAnsiTheme="majorBidi" w:cstheme="majorBidi"/>
          <w:szCs w:val="24"/>
        </w:rPr>
      </w:pPr>
      <w:r w:rsidRPr="00341B41">
        <w:rPr>
          <w:rFonts w:asciiTheme="majorBidi" w:hAnsiTheme="majorBidi" w:cstheme="majorBidi"/>
          <w:szCs w:val="24"/>
        </w:rPr>
        <w:t>Submission Date</w:t>
      </w:r>
    </w:p>
    <w:p w14:paraId="0783113C" w14:textId="77777777" w:rsidR="007041C3" w:rsidRPr="00341B41" w:rsidRDefault="00724C31" w:rsidP="00724C31">
      <w:pPr>
        <w:jc w:val="center"/>
        <w:rPr>
          <w:rFonts w:asciiTheme="majorBidi" w:hAnsiTheme="majorBidi" w:cstheme="majorBidi"/>
          <w:szCs w:val="24"/>
        </w:rPr>
        <w:sectPr w:rsidR="007041C3" w:rsidRPr="00341B41" w:rsidSect="00661E89">
          <w:footerReference w:type="even" r:id="rId9"/>
          <w:footerReference w:type="default" r:id="rId10"/>
          <w:footerReference w:type="first" r:id="rId11"/>
          <w:pgSz w:w="12240" w:h="15840"/>
          <w:pgMar w:top="1440" w:right="1138" w:bottom="1440" w:left="2275" w:header="720" w:footer="720" w:gutter="0"/>
          <w:cols w:space="720"/>
          <w:docGrid w:linePitch="360"/>
        </w:sectPr>
      </w:pPr>
      <w:r w:rsidRPr="00341B41">
        <w:rPr>
          <w:rFonts w:asciiTheme="majorBidi" w:hAnsiTheme="majorBidi" w:cstheme="majorBidi"/>
          <w:szCs w:val="24"/>
        </w:rPr>
        <w:t>October 2016</w:t>
      </w:r>
    </w:p>
    <w:p w14:paraId="7832A82B" w14:textId="757AEA7F" w:rsidR="00724C31" w:rsidRPr="00341B41" w:rsidRDefault="00724C31" w:rsidP="00724C31">
      <w:pPr>
        <w:jc w:val="center"/>
        <w:rPr>
          <w:rFonts w:asciiTheme="majorBidi" w:hAnsiTheme="majorBidi" w:cstheme="majorBidi"/>
          <w:szCs w:val="24"/>
        </w:rPr>
      </w:pPr>
    </w:p>
    <w:p w14:paraId="5DE9DF04" w14:textId="0593D3FF" w:rsidR="00724C31" w:rsidRPr="00341B41" w:rsidRDefault="00724C31" w:rsidP="007041C3">
      <w:pPr>
        <w:pStyle w:val="Caption"/>
        <w:rPr>
          <w:i w:val="0"/>
        </w:rPr>
      </w:pPr>
    </w:p>
    <w:p w14:paraId="701D911D" w14:textId="77777777" w:rsidR="00724C31" w:rsidRPr="00341B41" w:rsidRDefault="00724C31" w:rsidP="00724C31">
      <w:pPr>
        <w:jc w:val="center"/>
      </w:pPr>
    </w:p>
    <w:p w14:paraId="3954FE9F" w14:textId="77777777" w:rsidR="00724C31" w:rsidRPr="00341B41" w:rsidRDefault="00724C31" w:rsidP="00724C31">
      <w:pPr>
        <w:jc w:val="center"/>
      </w:pPr>
    </w:p>
    <w:p w14:paraId="0CB8E19F" w14:textId="77777777" w:rsidR="00724C31" w:rsidRPr="00341B41" w:rsidRDefault="00724C31" w:rsidP="00724C31">
      <w:pPr>
        <w:jc w:val="center"/>
      </w:pPr>
    </w:p>
    <w:p w14:paraId="2BB44BA8" w14:textId="77777777" w:rsidR="00724C31" w:rsidRPr="00341B41" w:rsidRDefault="00724C31" w:rsidP="00724C31">
      <w:pPr>
        <w:jc w:val="center"/>
      </w:pPr>
    </w:p>
    <w:p w14:paraId="16848DC3" w14:textId="77777777" w:rsidR="00724C31" w:rsidRPr="00341B41" w:rsidRDefault="00724C31" w:rsidP="00724C31">
      <w:pPr>
        <w:jc w:val="center"/>
      </w:pPr>
      <w:r w:rsidRPr="00341B41">
        <w:t>“A good hockey player plays where the puck is. A great hockey player plays where the puck is going to be”</w:t>
      </w:r>
    </w:p>
    <w:p w14:paraId="763F375F" w14:textId="08AE5633" w:rsidR="00724C31" w:rsidRPr="00341B41" w:rsidRDefault="00724C31" w:rsidP="00724C31">
      <w:pPr>
        <w:pStyle w:val="ListParagraph"/>
        <w:numPr>
          <w:ilvl w:val="0"/>
          <w:numId w:val="13"/>
        </w:numPr>
        <w:jc w:val="center"/>
      </w:pPr>
      <w:r w:rsidRPr="00341B41">
        <w:t>Wayne Gretzky</w:t>
      </w:r>
    </w:p>
    <w:p w14:paraId="3EC73D07" w14:textId="12BFDC25" w:rsidR="00607EDB" w:rsidRPr="00341B41" w:rsidRDefault="00607EDB" w:rsidP="00724C31">
      <w:pPr>
        <w:pStyle w:val="ListParagraph"/>
      </w:pPr>
      <w:r w:rsidRPr="00341B41">
        <w:br w:type="page"/>
      </w:r>
    </w:p>
    <w:p w14:paraId="7C79ADE9" w14:textId="77777777" w:rsidR="00607EDB" w:rsidRPr="00341B41" w:rsidRDefault="00607EDB" w:rsidP="00607EDB">
      <w:pPr>
        <w:pStyle w:val="Heading1"/>
      </w:pPr>
      <w:bookmarkStart w:id="1" w:name="_Toc464485237"/>
      <w:bookmarkStart w:id="2" w:name="_Toc486260818"/>
      <w:r w:rsidRPr="00341B41">
        <w:lastRenderedPageBreak/>
        <w:t>Abstract</w:t>
      </w:r>
      <w:bookmarkEnd w:id="1"/>
      <w:bookmarkEnd w:id="2"/>
    </w:p>
    <w:p w14:paraId="45DE24EB" w14:textId="520CDD43" w:rsidR="00607EDB" w:rsidRPr="00341B41" w:rsidRDefault="00607EDB" w:rsidP="00607EDB">
      <w:r w:rsidRPr="00341B41">
        <w:t xml:space="preserve">In many sports such as tennis, football, and basketball, the ability to anticipate the actions of an opponent is a key component of expert performance. Behavioural research has shown that expert athletes are able to identify and comprehend anticipatory cues present in the kinematics of an opposing player and use them to anticipate the end goal of an action. The aim of the work reported here was to investigate the neural basis of this anticipation skill in athletes. Specifically, the thesis focuses on the role of the sensorimotor system in facilitating this ability, based on evidence showing that the sensorimotor system </w:t>
      </w:r>
      <w:r w:rsidR="0085450A" w:rsidRPr="00341B41">
        <w:t>is involved</w:t>
      </w:r>
      <w:r w:rsidRPr="00341B41">
        <w:t xml:space="preserve"> in the understanding of other people’s actions. </w:t>
      </w:r>
    </w:p>
    <w:p w14:paraId="4D6449D2" w14:textId="4B3C3F15" w:rsidR="00607EDB" w:rsidRPr="00341B41" w:rsidRDefault="00607EDB" w:rsidP="00607EDB">
      <w:pPr>
        <w:ind w:firstLine="720"/>
        <w:rPr>
          <w:rFonts w:cs="Times New Roman"/>
          <w:color w:val="000000" w:themeColor="text1"/>
        </w:rPr>
      </w:pPr>
      <w:r w:rsidRPr="00341B41">
        <w:t>First, two behavioural experiments are presented showing the development of an anticipation test that is able to distinguish expert and novice participants based upon their response accuracy. Then the role of sensorimotor activity in facilitating anticipation skill is investigated using EEG. Event-related power changes in</w:t>
      </w:r>
      <w:r w:rsidR="00906E5D">
        <w:t xml:space="preserve"> </w:t>
      </w:r>
      <w:r w:rsidR="00906E5D" w:rsidRPr="00341B41">
        <w:t xml:space="preserve">cortical sensorimotor </w:t>
      </w:r>
      <w:r w:rsidR="00906E5D" w:rsidRPr="00341B41">
        <w:t>oscillations</w:t>
      </w:r>
      <w:r w:rsidR="00906E5D">
        <w:t xml:space="preserve"> in the</w:t>
      </w:r>
      <w:r w:rsidRPr="00341B41">
        <w:t xml:space="preserve"> mu (8-13Hz) and beta (15-25Hz)</w:t>
      </w:r>
      <w:r w:rsidR="00906E5D">
        <w:t xml:space="preserve"> frequency bands</w:t>
      </w:r>
      <w:r w:rsidRPr="00341B41">
        <w:t xml:space="preserve"> are used as indices of sensorimotor activity, based on the findings of previous work. It was found that earlier and greater event-related </w:t>
      </w:r>
      <w:proofErr w:type="spellStart"/>
      <w:r w:rsidRPr="00341B41">
        <w:t>desynchronisation</w:t>
      </w:r>
      <w:proofErr w:type="spellEnd"/>
      <w:r w:rsidRPr="00341B41">
        <w:t xml:space="preserve"> (ERD) occurred in the expert group, compared to the novices, in both the mu and beta frequency bands. </w:t>
      </w:r>
      <w:r w:rsidR="00902A02" w:rsidRPr="00341B41">
        <w:t xml:space="preserve">This suggests greater use of the sensorimotor system during action anticipation in athletes, whilst viewing domain specific actions. </w:t>
      </w:r>
      <w:r w:rsidRPr="00341B41">
        <w:rPr>
          <w:rFonts w:cs="Times New Roman"/>
          <w:color w:val="000000" w:themeColor="text1"/>
        </w:rPr>
        <w:t>However, traditional channel-based analyses of this measure are flawed in that volume conduction effects</w:t>
      </w:r>
      <w:r w:rsidR="00B157FA" w:rsidRPr="00341B41">
        <w:rPr>
          <w:rFonts w:cs="Times New Roman"/>
          <w:color w:val="000000" w:themeColor="text1"/>
        </w:rPr>
        <w:t xml:space="preserve"> mean</w:t>
      </w:r>
      <w:r w:rsidRPr="00341B41">
        <w:rPr>
          <w:rFonts w:cs="Times New Roman"/>
          <w:color w:val="000000" w:themeColor="text1"/>
        </w:rPr>
        <w:t xml:space="preserve"> mu and non-mu alpha activity can become mixed. This means it is unclear the extent to which mu activity specifically indexes the sensorimotor system, as opposed to other processes such as attentional demand.</w:t>
      </w:r>
    </w:p>
    <w:p w14:paraId="2CEC51BE" w14:textId="5177E3FA" w:rsidR="00607EDB" w:rsidRPr="00341B41" w:rsidRDefault="00607EDB" w:rsidP="00607EDB">
      <w:pPr>
        <w:ind w:firstLine="720"/>
        <w:rPr>
          <w:rFonts w:cs="Times New Roman"/>
          <w:color w:val="000000" w:themeColor="text1"/>
        </w:rPr>
      </w:pPr>
      <w:r w:rsidRPr="00341B41">
        <w:rPr>
          <w:rFonts w:cs="Times New Roman"/>
          <w:color w:val="000000" w:themeColor="text1"/>
        </w:rPr>
        <w:lastRenderedPageBreak/>
        <w:t>As a potential solution to this issue, the data was re-analysed using independent component analysis</w:t>
      </w:r>
      <w:r w:rsidR="00B141E3">
        <w:rPr>
          <w:rFonts w:cs="Times New Roman"/>
          <w:color w:val="000000" w:themeColor="text1"/>
        </w:rPr>
        <w:t xml:space="preserve"> (ICA)</w:t>
      </w:r>
      <w:r w:rsidRPr="00341B41">
        <w:rPr>
          <w:rFonts w:cs="Times New Roman"/>
          <w:color w:val="000000" w:themeColor="text1"/>
        </w:rPr>
        <w:t xml:space="preserve"> to separate out the underlying brain processes ongoing during the anticipation task. Expertise-related differences in mu and beta ERD were then analysed on independent component</w:t>
      </w:r>
      <w:r w:rsidR="0094275A">
        <w:rPr>
          <w:rFonts w:cs="Times New Roman"/>
          <w:color w:val="000000" w:themeColor="text1"/>
        </w:rPr>
        <w:t xml:space="preserve"> (IC)</w:t>
      </w:r>
      <w:r w:rsidRPr="00341B41">
        <w:rPr>
          <w:rFonts w:cs="Times New Roman"/>
          <w:color w:val="000000" w:themeColor="text1"/>
        </w:rPr>
        <w:t xml:space="preserve"> activity. The ICA analysis largely replicated the channel analysis, with earlier and greater ERD in expert athletes in ICs relating the sensorimotor activity. No group differences were found in ICs relating to non-mu, alpha activity. This suggests group differences were specific to sensorimotor activity, providing evidence that sensorimotor activity is key in distinguishing expert from novice athletes on an action anticipation task.  </w:t>
      </w:r>
    </w:p>
    <w:p w14:paraId="168297C0" w14:textId="5DA8C938" w:rsidR="00FA1FB2" w:rsidRPr="00341B41" w:rsidRDefault="00FA1FB2" w:rsidP="00607EDB">
      <w:pPr>
        <w:ind w:firstLine="720"/>
        <w:rPr>
          <w:rFonts w:cs="Times New Roman"/>
          <w:color w:val="000000" w:themeColor="text1"/>
        </w:rPr>
      </w:pPr>
      <w:r w:rsidRPr="00341B41">
        <w:rPr>
          <w:rFonts w:cs="Times New Roman"/>
          <w:color w:val="000000" w:themeColor="text1"/>
        </w:rPr>
        <w:t xml:space="preserve">In Chapter 5, a novel analysis method </w:t>
      </w:r>
      <w:r w:rsidR="00B157FA" w:rsidRPr="00341B41">
        <w:rPr>
          <w:rFonts w:cs="Times New Roman"/>
          <w:color w:val="000000" w:themeColor="text1"/>
        </w:rPr>
        <w:t>w</w:t>
      </w:r>
      <w:r w:rsidRPr="00341B41">
        <w:rPr>
          <w:rFonts w:cs="Times New Roman"/>
          <w:color w:val="000000" w:themeColor="text1"/>
        </w:rPr>
        <w:t>as used. Mu and beta ERD in the two groups were contrasted between trials that were subsequently anticipated correct</w:t>
      </w:r>
      <w:r w:rsidR="00602E42">
        <w:rPr>
          <w:rFonts w:cs="Times New Roman"/>
          <w:color w:val="000000" w:themeColor="text1"/>
        </w:rPr>
        <w:t>ly</w:t>
      </w:r>
      <w:r w:rsidRPr="00341B41">
        <w:rPr>
          <w:rFonts w:cs="Times New Roman"/>
          <w:color w:val="000000" w:themeColor="text1"/>
        </w:rPr>
        <w:t xml:space="preserve"> versus trials that were subsequently anticipated incorrectly. In the experienced group only, it was found that there </w:t>
      </w:r>
      <w:r w:rsidR="00636E14" w:rsidRPr="00341B41">
        <w:rPr>
          <w:rFonts w:cs="Times New Roman"/>
          <w:color w:val="000000" w:themeColor="text1"/>
        </w:rPr>
        <w:t>was</w:t>
      </w:r>
      <w:r w:rsidRPr="00341B41">
        <w:rPr>
          <w:rFonts w:cs="Times New Roman"/>
          <w:color w:val="000000" w:themeColor="text1"/>
        </w:rPr>
        <w:t xml:space="preserve"> greater beta ERD for correctly anticipated trials compared to incorrectly anticipated trials. There were n</w:t>
      </w:r>
      <w:r w:rsidR="00A4360E" w:rsidRPr="00341B41">
        <w:rPr>
          <w:rFonts w:cs="Times New Roman"/>
          <w:color w:val="000000" w:themeColor="text1"/>
        </w:rPr>
        <w:t xml:space="preserve">o differences in mu ERD between correct and incorrect trials. </w:t>
      </w:r>
      <w:r w:rsidR="00636E14" w:rsidRPr="00341B41">
        <w:rPr>
          <w:rFonts w:cs="Times New Roman"/>
          <w:color w:val="000000" w:themeColor="text1"/>
        </w:rPr>
        <w:t>Furthermore, o</w:t>
      </w:r>
      <w:r w:rsidR="00A4360E" w:rsidRPr="00341B41">
        <w:rPr>
          <w:rFonts w:cs="Times New Roman"/>
          <w:color w:val="000000" w:themeColor="text1"/>
        </w:rPr>
        <w:t>verall mu and beta ERD significantly negatively correlated with anticipation accuracy in the experienced group, suggesting a higher accuracy is associated with greater sensorimotor ERD during prior observation.</w:t>
      </w:r>
      <w:r w:rsidR="003B3AF2" w:rsidRPr="00341B41">
        <w:rPr>
          <w:rFonts w:cs="Times New Roman"/>
          <w:color w:val="000000" w:themeColor="text1"/>
        </w:rPr>
        <w:t xml:space="preserve"> Finally, in Chapter 6 the results are summarised </w:t>
      </w:r>
      <w:r w:rsidR="00647EF1" w:rsidRPr="00341B41">
        <w:rPr>
          <w:rFonts w:cs="Times New Roman"/>
          <w:color w:val="000000" w:themeColor="text1"/>
        </w:rPr>
        <w:t xml:space="preserve">and their implications </w:t>
      </w:r>
      <w:r w:rsidR="003B3AF2" w:rsidRPr="00341B41">
        <w:rPr>
          <w:rFonts w:cs="Times New Roman"/>
          <w:color w:val="000000" w:themeColor="text1"/>
        </w:rPr>
        <w:t>within the wider literature</w:t>
      </w:r>
      <w:r w:rsidR="00647EF1" w:rsidRPr="00341B41">
        <w:rPr>
          <w:rFonts w:cs="Times New Roman"/>
          <w:color w:val="000000" w:themeColor="text1"/>
        </w:rPr>
        <w:t xml:space="preserve"> considered</w:t>
      </w:r>
      <w:r w:rsidR="003B3AF2" w:rsidRPr="00341B41">
        <w:rPr>
          <w:rFonts w:cs="Times New Roman"/>
          <w:color w:val="000000" w:themeColor="text1"/>
        </w:rPr>
        <w:t>, as well as a discussion of limitations and future directions.</w:t>
      </w:r>
    </w:p>
    <w:p w14:paraId="1B396E4F" w14:textId="7367863F" w:rsidR="00607EDB" w:rsidRPr="00341B41" w:rsidRDefault="00607EDB" w:rsidP="00607EDB">
      <w:pPr>
        <w:rPr>
          <w:rFonts w:cs="Times New Roman"/>
          <w:color w:val="000000" w:themeColor="text1"/>
        </w:rPr>
      </w:pPr>
      <w:r w:rsidRPr="00341B41">
        <w:rPr>
          <w:rFonts w:cs="Times New Roman"/>
          <w:color w:val="000000" w:themeColor="text1"/>
        </w:rPr>
        <w:br w:type="page"/>
      </w:r>
    </w:p>
    <w:p w14:paraId="659603E3" w14:textId="34F7CA9F" w:rsidR="00607EDB" w:rsidRPr="00341B41" w:rsidRDefault="00607EDB" w:rsidP="00607EDB">
      <w:pPr>
        <w:pStyle w:val="Heading1"/>
      </w:pPr>
      <w:bookmarkStart w:id="3" w:name="_Toc486260819"/>
      <w:r w:rsidRPr="00341B41">
        <w:lastRenderedPageBreak/>
        <w:t>Acknowledgments</w:t>
      </w:r>
      <w:bookmarkEnd w:id="3"/>
    </w:p>
    <w:p w14:paraId="666F1DC7" w14:textId="77777777" w:rsidR="003D0D0D" w:rsidRPr="00341B41" w:rsidRDefault="00607EDB" w:rsidP="003D0D0D">
      <w:r w:rsidRPr="00341B41">
        <w:t>Firstly, I would like to thank my supervisors, Richard Rowe and Elizabeth Milne. Throughout my entire PhD I have benefitted greatly from their vast wealth of knowledge and experience in research, and I am extremely grateful to them for supervising me.</w:t>
      </w:r>
      <w:r w:rsidR="003D0D0D" w:rsidRPr="00341B41">
        <w:t xml:space="preserve"> </w:t>
      </w:r>
    </w:p>
    <w:p w14:paraId="41655261" w14:textId="77777777" w:rsidR="003D0D0D" w:rsidRPr="00341B41" w:rsidRDefault="00607EDB" w:rsidP="003D0D0D">
      <w:pPr>
        <w:ind w:firstLine="720"/>
      </w:pPr>
      <w:r w:rsidRPr="00341B41">
        <w:t xml:space="preserve">I would also like to thank Professor Mark Williams for his valuable input at various stages of the work. Furthermore, I wish to thank David </w:t>
      </w:r>
      <w:proofErr w:type="spellStart"/>
      <w:r w:rsidRPr="00341B41">
        <w:t>Marray</w:t>
      </w:r>
      <w:proofErr w:type="spellEnd"/>
      <w:r w:rsidRPr="00341B41">
        <w:t xml:space="preserve"> and Jonny Fraser for their assistance in the design and recruitment aspects of this PhD. I would also like to extend my thanks to the </w:t>
      </w:r>
      <w:proofErr w:type="spellStart"/>
      <w:r w:rsidRPr="00341B41">
        <w:t>Hallamshire</w:t>
      </w:r>
      <w:proofErr w:type="spellEnd"/>
      <w:r w:rsidRPr="00341B41">
        <w:t xml:space="preserve"> Academy of Tennis for their help in recording the stimuli used in the experimental work of this thesis, and also to Science in Tennis, who helped in the recruitment of tennis players for the EEG study.</w:t>
      </w:r>
      <w:r w:rsidR="003D0D0D" w:rsidRPr="00341B41">
        <w:t xml:space="preserve"> </w:t>
      </w:r>
    </w:p>
    <w:p w14:paraId="6DEF5FCF" w14:textId="77777777" w:rsidR="003D0D0D" w:rsidRPr="00341B41" w:rsidRDefault="00607EDB" w:rsidP="003D0D0D">
      <w:pPr>
        <w:ind w:firstLine="720"/>
      </w:pPr>
      <w:r w:rsidRPr="00341B41">
        <w:t>To the members of the University of Sheffield Tennis club, and Sheffield Hallam University Tennis club, I am very grateful to all the players who gave up their time to be participants in the studies described in this thesis. I would also like to thank all of the undergraduate students who took part.</w:t>
      </w:r>
      <w:r w:rsidR="003D0D0D" w:rsidRPr="00341B41">
        <w:t xml:space="preserve"> </w:t>
      </w:r>
    </w:p>
    <w:p w14:paraId="323CF7FA" w14:textId="77777777" w:rsidR="003D0D0D" w:rsidRPr="00341B41" w:rsidRDefault="00607EDB" w:rsidP="003D0D0D">
      <w:pPr>
        <w:ind w:firstLine="720"/>
      </w:pPr>
      <w:r w:rsidRPr="00341B41">
        <w:t xml:space="preserve">I wish to thank the Department of Psychology, University of Sheffield for allowing me to conduct my PhD at this university, and to the Economic and Social Research Council, who funded my studies. </w:t>
      </w:r>
      <w:r w:rsidR="003D0D0D" w:rsidRPr="00341B41">
        <w:t xml:space="preserve"> </w:t>
      </w:r>
    </w:p>
    <w:p w14:paraId="5A68AE9F" w14:textId="77777777" w:rsidR="003D0D0D" w:rsidRPr="00341B41" w:rsidRDefault="00607EDB" w:rsidP="003D0D0D">
      <w:pPr>
        <w:ind w:firstLine="720"/>
      </w:pPr>
      <w:r w:rsidRPr="00341B41">
        <w:t>I would like to thank all of the friends I have made in Sheffield for making my time spent in this city very special and enjoyable. To them, and my friends elsewhere, I am also very grateful for all of the support they have offered me.</w:t>
      </w:r>
      <w:r w:rsidR="003D0D0D" w:rsidRPr="00341B41">
        <w:t xml:space="preserve"> </w:t>
      </w:r>
    </w:p>
    <w:p w14:paraId="472015F9" w14:textId="7CFFDECD" w:rsidR="00607EDB" w:rsidRPr="00341B41" w:rsidRDefault="00607EDB" w:rsidP="003D0D0D">
      <w:pPr>
        <w:ind w:firstLine="720"/>
      </w:pPr>
      <w:r w:rsidRPr="00341B41">
        <w:lastRenderedPageBreak/>
        <w:t>A very special thanks to Emily Alderton, for always being there for me. Last but not least, I would like to thank my family, for their ongoing love and support.</w:t>
      </w:r>
    </w:p>
    <w:p w14:paraId="3EA23BB6" w14:textId="631E0F2D" w:rsidR="00607EDB" w:rsidRPr="00341B41" w:rsidRDefault="00607EDB" w:rsidP="00607EDB">
      <w:pPr>
        <w:pStyle w:val="ThesisNormal"/>
      </w:pPr>
      <w:r w:rsidRPr="00341B41">
        <w:br w:type="page"/>
      </w:r>
    </w:p>
    <w:p w14:paraId="133921BE" w14:textId="7C7B46A6" w:rsidR="00607EDB" w:rsidRPr="00341B41" w:rsidRDefault="00607EDB" w:rsidP="00607EDB">
      <w:pPr>
        <w:pStyle w:val="Heading1"/>
      </w:pPr>
      <w:bookmarkStart w:id="4" w:name="_Toc486260820"/>
      <w:r w:rsidRPr="00341B41">
        <w:lastRenderedPageBreak/>
        <w:t>Publications arising from this thesis</w:t>
      </w:r>
      <w:bookmarkEnd w:id="4"/>
    </w:p>
    <w:p w14:paraId="11D03B2F" w14:textId="2E42CA4A" w:rsidR="00607EDB" w:rsidRPr="00341B41" w:rsidRDefault="00607EDB" w:rsidP="00607EDB">
      <w:pPr>
        <w:pStyle w:val="Heading2"/>
      </w:pPr>
      <w:bookmarkStart w:id="5" w:name="_Toc486260821"/>
      <w:r w:rsidRPr="00341B41">
        <w:t>Journal publications</w:t>
      </w:r>
      <w:bookmarkEnd w:id="5"/>
    </w:p>
    <w:p w14:paraId="1A7CAEAA" w14:textId="17C8C755" w:rsidR="00607EDB" w:rsidRPr="00341B41" w:rsidRDefault="00607EDB" w:rsidP="00607EDB">
      <w:pPr>
        <w:ind w:left="720" w:hanging="720"/>
      </w:pPr>
      <w:r w:rsidRPr="00341B41">
        <w:t xml:space="preserve">Denis, D., Rowe, R., Williams, A.M., and Milne, E. (2016). The role of cortical sensorimotor oscillations in action anticipation. </w:t>
      </w:r>
      <w:proofErr w:type="spellStart"/>
      <w:r w:rsidRPr="00341B41">
        <w:rPr>
          <w:i/>
        </w:rPr>
        <w:t>NeuroImage</w:t>
      </w:r>
      <w:proofErr w:type="spellEnd"/>
      <w:r w:rsidRPr="00341B41">
        <w:t>. DOI: 10.1016/j.neuroimage.2016.10.022</w:t>
      </w:r>
    </w:p>
    <w:p w14:paraId="764AD250" w14:textId="458CEBFA" w:rsidR="00EA1EA8" w:rsidRPr="00341B41" w:rsidRDefault="00EA1EA8" w:rsidP="00EA1EA8">
      <w:pPr>
        <w:pStyle w:val="Heading2"/>
      </w:pPr>
      <w:bookmarkStart w:id="6" w:name="_Toc486260822"/>
      <w:r w:rsidRPr="00341B41">
        <w:t>Conference presentations</w:t>
      </w:r>
      <w:bookmarkEnd w:id="6"/>
    </w:p>
    <w:p w14:paraId="1AC653E3" w14:textId="22D48F95" w:rsidR="00EA1EA8" w:rsidRPr="00341B41" w:rsidRDefault="00EA1EA8" w:rsidP="00EA1EA8">
      <w:pPr>
        <w:ind w:left="720" w:hanging="720"/>
      </w:pPr>
      <w:r w:rsidRPr="00341B41">
        <w:t xml:space="preserve">Denis, D., Rowe, R., and Milne, E. An EEG study of skilled action anticipation. </w:t>
      </w:r>
      <w:r w:rsidRPr="00341B41">
        <w:rPr>
          <w:i/>
        </w:rPr>
        <w:t>British Association of Cognitive Neuroscience</w:t>
      </w:r>
      <w:r w:rsidRPr="00341B41">
        <w:t>. Budapest, Hungary</w:t>
      </w:r>
    </w:p>
    <w:p w14:paraId="5C317E0F" w14:textId="261B90B3" w:rsidR="00EA1EA8" w:rsidRPr="00341B41" w:rsidRDefault="00EA1EA8" w:rsidP="00EA1EA8">
      <w:pPr>
        <w:ind w:left="720" w:hanging="720"/>
      </w:pPr>
      <w:r w:rsidRPr="00341B41">
        <w:t xml:space="preserve">Denis, D., Rowe, R., and Milne, E. The role of cortical sensorimotor oscillations in skilled action anticipation. </w:t>
      </w:r>
      <w:r w:rsidRPr="00341B41">
        <w:rPr>
          <w:i/>
        </w:rPr>
        <w:t>Experimental Psychology Society</w:t>
      </w:r>
      <w:r w:rsidRPr="00341B41">
        <w:t>. Oxford, United Kingdom</w:t>
      </w:r>
    </w:p>
    <w:p w14:paraId="2D894B9F" w14:textId="77777777" w:rsidR="00D07C34" w:rsidRPr="00341B41" w:rsidRDefault="00D07C34" w:rsidP="0029738F">
      <w:pPr>
        <w:sectPr w:rsidR="00D07C34" w:rsidRPr="00341B41" w:rsidSect="007041C3">
          <w:pgSz w:w="12240" w:h="15840"/>
          <w:pgMar w:top="1440" w:right="1138" w:bottom="1440" w:left="2275" w:header="720" w:footer="720" w:gutter="0"/>
          <w:pgNumType w:fmt="lowerRoman" w:start="1"/>
          <w:cols w:space="720"/>
          <w:docGrid w:linePitch="360"/>
        </w:sectPr>
      </w:pPr>
    </w:p>
    <w:sdt>
      <w:sdtPr>
        <w:rPr>
          <w:rFonts w:eastAsiaTheme="minorHAnsi" w:cstheme="minorBidi"/>
          <w:b w:val="0"/>
          <w:bCs w:val="0"/>
          <w:color w:val="auto"/>
          <w:sz w:val="24"/>
          <w:szCs w:val="22"/>
          <w:lang w:val="en-GB"/>
        </w:rPr>
        <w:id w:val="152729750"/>
        <w:docPartObj>
          <w:docPartGallery w:val="Table of Contents"/>
          <w:docPartUnique/>
        </w:docPartObj>
      </w:sdtPr>
      <w:sdtEndPr>
        <w:rPr>
          <w:noProof/>
        </w:rPr>
      </w:sdtEndPr>
      <w:sdtContent>
        <w:p w14:paraId="126B5C29" w14:textId="1FE73948" w:rsidR="00EA1EA8" w:rsidRPr="00341B41" w:rsidRDefault="00EA1EA8">
          <w:pPr>
            <w:pStyle w:val="TOCHeading"/>
          </w:pPr>
          <w:r w:rsidRPr="00341B41">
            <w:t>Table of Contents</w:t>
          </w:r>
        </w:p>
        <w:p w14:paraId="326F8A70" w14:textId="77777777" w:rsidR="0081157C" w:rsidRPr="00341B41" w:rsidRDefault="00EA1EA8">
          <w:pPr>
            <w:pStyle w:val="TOC1"/>
            <w:tabs>
              <w:tab w:val="right" w:leader="dot" w:pos="8817"/>
            </w:tabs>
            <w:rPr>
              <w:rFonts w:asciiTheme="minorHAnsi" w:eastAsiaTheme="minorEastAsia" w:hAnsiTheme="minorHAnsi"/>
              <w:bCs w:val="0"/>
              <w:noProof/>
              <w:lang w:val="en-US"/>
            </w:rPr>
          </w:pPr>
          <w:r w:rsidRPr="00341B41">
            <w:rPr>
              <w:bCs w:val="0"/>
            </w:rPr>
            <w:fldChar w:fldCharType="begin"/>
          </w:r>
          <w:r w:rsidRPr="00341B41">
            <w:rPr>
              <w:bCs w:val="0"/>
            </w:rPr>
            <w:instrText xml:space="preserve"> TOC \o "1-3" </w:instrText>
          </w:r>
          <w:r w:rsidRPr="00341B41">
            <w:rPr>
              <w:bCs w:val="0"/>
            </w:rPr>
            <w:fldChar w:fldCharType="separate"/>
          </w:r>
          <w:r w:rsidR="0081157C" w:rsidRPr="00341B41">
            <w:rPr>
              <w:noProof/>
            </w:rPr>
            <w:t>Abstract</w:t>
          </w:r>
          <w:r w:rsidR="0081157C" w:rsidRPr="00341B41">
            <w:rPr>
              <w:noProof/>
            </w:rPr>
            <w:tab/>
          </w:r>
          <w:r w:rsidR="0081157C" w:rsidRPr="00341B41">
            <w:rPr>
              <w:noProof/>
            </w:rPr>
            <w:fldChar w:fldCharType="begin"/>
          </w:r>
          <w:r w:rsidR="0081157C" w:rsidRPr="00341B41">
            <w:rPr>
              <w:noProof/>
            </w:rPr>
            <w:instrText xml:space="preserve"> PAGEREF _Toc486260818 \h </w:instrText>
          </w:r>
          <w:r w:rsidR="0081157C" w:rsidRPr="00341B41">
            <w:rPr>
              <w:noProof/>
            </w:rPr>
          </w:r>
          <w:r w:rsidR="0081157C" w:rsidRPr="00341B41">
            <w:rPr>
              <w:noProof/>
            </w:rPr>
            <w:fldChar w:fldCharType="separate"/>
          </w:r>
          <w:r w:rsidR="0081157C" w:rsidRPr="00341B41">
            <w:rPr>
              <w:noProof/>
            </w:rPr>
            <w:t>ii</w:t>
          </w:r>
          <w:r w:rsidR="0081157C" w:rsidRPr="00341B41">
            <w:rPr>
              <w:noProof/>
            </w:rPr>
            <w:fldChar w:fldCharType="end"/>
          </w:r>
        </w:p>
        <w:p w14:paraId="7C1EB65D"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Acknowledgments</w:t>
          </w:r>
          <w:r w:rsidRPr="00341B41">
            <w:rPr>
              <w:noProof/>
            </w:rPr>
            <w:tab/>
          </w:r>
          <w:r w:rsidRPr="00341B41">
            <w:rPr>
              <w:noProof/>
            </w:rPr>
            <w:fldChar w:fldCharType="begin"/>
          </w:r>
          <w:r w:rsidRPr="00341B41">
            <w:rPr>
              <w:noProof/>
            </w:rPr>
            <w:instrText xml:space="preserve"> PAGEREF _Toc486260819 \h </w:instrText>
          </w:r>
          <w:r w:rsidRPr="00341B41">
            <w:rPr>
              <w:noProof/>
            </w:rPr>
          </w:r>
          <w:r w:rsidRPr="00341B41">
            <w:rPr>
              <w:noProof/>
            </w:rPr>
            <w:fldChar w:fldCharType="separate"/>
          </w:r>
          <w:r w:rsidRPr="00341B41">
            <w:rPr>
              <w:noProof/>
            </w:rPr>
            <w:t>iv</w:t>
          </w:r>
          <w:r w:rsidRPr="00341B41">
            <w:rPr>
              <w:noProof/>
            </w:rPr>
            <w:fldChar w:fldCharType="end"/>
          </w:r>
        </w:p>
        <w:p w14:paraId="4146F928"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Publications arising from this thesis</w:t>
          </w:r>
          <w:r w:rsidRPr="00341B41">
            <w:rPr>
              <w:noProof/>
            </w:rPr>
            <w:tab/>
          </w:r>
          <w:r w:rsidRPr="00341B41">
            <w:rPr>
              <w:noProof/>
            </w:rPr>
            <w:fldChar w:fldCharType="begin"/>
          </w:r>
          <w:r w:rsidRPr="00341B41">
            <w:rPr>
              <w:noProof/>
            </w:rPr>
            <w:instrText xml:space="preserve"> PAGEREF _Toc486260820 \h </w:instrText>
          </w:r>
          <w:r w:rsidRPr="00341B41">
            <w:rPr>
              <w:noProof/>
            </w:rPr>
          </w:r>
          <w:r w:rsidRPr="00341B41">
            <w:rPr>
              <w:noProof/>
            </w:rPr>
            <w:fldChar w:fldCharType="separate"/>
          </w:r>
          <w:r w:rsidRPr="00341B41">
            <w:rPr>
              <w:noProof/>
            </w:rPr>
            <w:t>vi</w:t>
          </w:r>
          <w:r w:rsidRPr="00341B41">
            <w:rPr>
              <w:noProof/>
            </w:rPr>
            <w:fldChar w:fldCharType="end"/>
          </w:r>
        </w:p>
        <w:p w14:paraId="5AD1589C" w14:textId="77777777" w:rsidR="0081157C" w:rsidRPr="00341B41" w:rsidRDefault="0081157C">
          <w:pPr>
            <w:pStyle w:val="TOC2"/>
            <w:tabs>
              <w:tab w:val="right" w:leader="dot" w:pos="8817"/>
            </w:tabs>
            <w:rPr>
              <w:rFonts w:asciiTheme="minorHAnsi" w:eastAsiaTheme="minorEastAsia" w:hAnsiTheme="minorHAnsi"/>
              <w:bCs w:val="0"/>
              <w:noProof/>
              <w:sz w:val="24"/>
              <w:szCs w:val="24"/>
              <w:lang w:val="en-US"/>
            </w:rPr>
          </w:pPr>
          <w:r w:rsidRPr="00341B41">
            <w:rPr>
              <w:noProof/>
            </w:rPr>
            <w:t>Journal publications</w:t>
          </w:r>
          <w:r w:rsidRPr="00341B41">
            <w:rPr>
              <w:noProof/>
            </w:rPr>
            <w:tab/>
          </w:r>
          <w:r w:rsidRPr="00341B41">
            <w:rPr>
              <w:noProof/>
            </w:rPr>
            <w:fldChar w:fldCharType="begin"/>
          </w:r>
          <w:r w:rsidRPr="00341B41">
            <w:rPr>
              <w:noProof/>
            </w:rPr>
            <w:instrText xml:space="preserve"> PAGEREF _Toc486260821 \h </w:instrText>
          </w:r>
          <w:r w:rsidRPr="00341B41">
            <w:rPr>
              <w:noProof/>
            </w:rPr>
          </w:r>
          <w:r w:rsidRPr="00341B41">
            <w:rPr>
              <w:noProof/>
            </w:rPr>
            <w:fldChar w:fldCharType="separate"/>
          </w:r>
          <w:r w:rsidRPr="00341B41">
            <w:rPr>
              <w:noProof/>
            </w:rPr>
            <w:t>vi</w:t>
          </w:r>
          <w:r w:rsidRPr="00341B41">
            <w:rPr>
              <w:noProof/>
            </w:rPr>
            <w:fldChar w:fldCharType="end"/>
          </w:r>
        </w:p>
        <w:p w14:paraId="2C4133C9" w14:textId="77777777" w:rsidR="0081157C" w:rsidRPr="00341B41" w:rsidRDefault="0081157C">
          <w:pPr>
            <w:pStyle w:val="TOC2"/>
            <w:tabs>
              <w:tab w:val="right" w:leader="dot" w:pos="8817"/>
            </w:tabs>
            <w:rPr>
              <w:rFonts w:asciiTheme="minorHAnsi" w:eastAsiaTheme="minorEastAsia" w:hAnsiTheme="minorHAnsi"/>
              <w:bCs w:val="0"/>
              <w:noProof/>
              <w:sz w:val="24"/>
              <w:szCs w:val="24"/>
              <w:lang w:val="en-US"/>
            </w:rPr>
          </w:pPr>
          <w:r w:rsidRPr="00341B41">
            <w:rPr>
              <w:noProof/>
            </w:rPr>
            <w:t>Conference presentations</w:t>
          </w:r>
          <w:r w:rsidRPr="00341B41">
            <w:rPr>
              <w:noProof/>
            </w:rPr>
            <w:tab/>
          </w:r>
          <w:r w:rsidRPr="00341B41">
            <w:rPr>
              <w:noProof/>
            </w:rPr>
            <w:fldChar w:fldCharType="begin"/>
          </w:r>
          <w:r w:rsidRPr="00341B41">
            <w:rPr>
              <w:noProof/>
            </w:rPr>
            <w:instrText xml:space="preserve"> PAGEREF _Toc486260822 \h </w:instrText>
          </w:r>
          <w:r w:rsidRPr="00341B41">
            <w:rPr>
              <w:noProof/>
            </w:rPr>
          </w:r>
          <w:r w:rsidRPr="00341B41">
            <w:rPr>
              <w:noProof/>
            </w:rPr>
            <w:fldChar w:fldCharType="separate"/>
          </w:r>
          <w:r w:rsidRPr="00341B41">
            <w:rPr>
              <w:noProof/>
            </w:rPr>
            <w:t>vi</w:t>
          </w:r>
          <w:r w:rsidRPr="00341B41">
            <w:rPr>
              <w:noProof/>
            </w:rPr>
            <w:fldChar w:fldCharType="end"/>
          </w:r>
        </w:p>
        <w:p w14:paraId="5C6C7B10"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List of tables</w:t>
          </w:r>
          <w:r w:rsidRPr="00341B41">
            <w:rPr>
              <w:noProof/>
            </w:rPr>
            <w:tab/>
          </w:r>
          <w:r w:rsidRPr="00341B41">
            <w:rPr>
              <w:noProof/>
            </w:rPr>
            <w:fldChar w:fldCharType="begin"/>
          </w:r>
          <w:r w:rsidRPr="00341B41">
            <w:rPr>
              <w:noProof/>
            </w:rPr>
            <w:instrText xml:space="preserve"> PAGEREF _Toc486260823 \h </w:instrText>
          </w:r>
          <w:r w:rsidRPr="00341B41">
            <w:rPr>
              <w:noProof/>
            </w:rPr>
          </w:r>
          <w:r w:rsidRPr="00341B41">
            <w:rPr>
              <w:noProof/>
            </w:rPr>
            <w:fldChar w:fldCharType="separate"/>
          </w:r>
          <w:r w:rsidRPr="00341B41">
            <w:rPr>
              <w:noProof/>
            </w:rPr>
            <w:t>11</w:t>
          </w:r>
          <w:r w:rsidRPr="00341B41">
            <w:rPr>
              <w:noProof/>
            </w:rPr>
            <w:fldChar w:fldCharType="end"/>
          </w:r>
        </w:p>
        <w:p w14:paraId="48B9F4DF"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List of figures</w:t>
          </w:r>
          <w:r w:rsidRPr="00341B41">
            <w:rPr>
              <w:noProof/>
            </w:rPr>
            <w:tab/>
          </w:r>
          <w:r w:rsidRPr="00341B41">
            <w:rPr>
              <w:noProof/>
            </w:rPr>
            <w:fldChar w:fldCharType="begin"/>
          </w:r>
          <w:r w:rsidRPr="00341B41">
            <w:rPr>
              <w:noProof/>
            </w:rPr>
            <w:instrText xml:space="preserve"> PAGEREF _Toc486260824 \h </w:instrText>
          </w:r>
          <w:r w:rsidRPr="00341B41">
            <w:rPr>
              <w:noProof/>
            </w:rPr>
          </w:r>
          <w:r w:rsidRPr="00341B41">
            <w:rPr>
              <w:noProof/>
            </w:rPr>
            <w:fldChar w:fldCharType="separate"/>
          </w:r>
          <w:r w:rsidRPr="00341B41">
            <w:rPr>
              <w:noProof/>
            </w:rPr>
            <w:t>12</w:t>
          </w:r>
          <w:r w:rsidRPr="00341B41">
            <w:rPr>
              <w:noProof/>
            </w:rPr>
            <w:fldChar w:fldCharType="end"/>
          </w:r>
        </w:p>
        <w:p w14:paraId="20F3E39C"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Chapter 1 – The perceptual, cognitive, and neural mechanisms underlying action anticipation skill in sports</w:t>
          </w:r>
          <w:r w:rsidRPr="00341B41">
            <w:rPr>
              <w:noProof/>
            </w:rPr>
            <w:tab/>
          </w:r>
          <w:r w:rsidRPr="00341B41">
            <w:rPr>
              <w:noProof/>
            </w:rPr>
            <w:fldChar w:fldCharType="begin"/>
          </w:r>
          <w:r w:rsidRPr="00341B41">
            <w:rPr>
              <w:noProof/>
            </w:rPr>
            <w:instrText xml:space="preserve"> PAGEREF _Toc486260825 \h </w:instrText>
          </w:r>
          <w:r w:rsidRPr="00341B41">
            <w:rPr>
              <w:noProof/>
            </w:rPr>
          </w:r>
          <w:r w:rsidRPr="00341B41">
            <w:rPr>
              <w:noProof/>
            </w:rPr>
            <w:fldChar w:fldCharType="separate"/>
          </w:r>
          <w:r w:rsidRPr="00341B41">
            <w:rPr>
              <w:noProof/>
            </w:rPr>
            <w:t>14</w:t>
          </w:r>
          <w:r w:rsidRPr="00341B41">
            <w:rPr>
              <w:noProof/>
            </w:rPr>
            <w:fldChar w:fldCharType="end"/>
          </w:r>
        </w:p>
        <w:p w14:paraId="476F8DEB"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1.1.</w:t>
          </w:r>
          <w:r w:rsidRPr="00341B41">
            <w:rPr>
              <w:rFonts w:asciiTheme="minorHAnsi" w:eastAsiaTheme="minorEastAsia" w:hAnsiTheme="minorHAnsi"/>
              <w:bCs w:val="0"/>
              <w:noProof/>
              <w:sz w:val="24"/>
              <w:szCs w:val="24"/>
              <w:lang w:val="en-US"/>
            </w:rPr>
            <w:tab/>
          </w:r>
          <w:r w:rsidRPr="00341B41">
            <w:rPr>
              <w:noProof/>
            </w:rPr>
            <w:t>Frameworks for studying expertise</w:t>
          </w:r>
          <w:r w:rsidRPr="00341B41">
            <w:rPr>
              <w:noProof/>
            </w:rPr>
            <w:tab/>
          </w:r>
          <w:r w:rsidRPr="00341B41">
            <w:rPr>
              <w:noProof/>
            </w:rPr>
            <w:fldChar w:fldCharType="begin"/>
          </w:r>
          <w:r w:rsidRPr="00341B41">
            <w:rPr>
              <w:noProof/>
            </w:rPr>
            <w:instrText xml:space="preserve"> PAGEREF _Toc486260826 \h </w:instrText>
          </w:r>
          <w:r w:rsidRPr="00341B41">
            <w:rPr>
              <w:noProof/>
            </w:rPr>
          </w:r>
          <w:r w:rsidRPr="00341B41">
            <w:rPr>
              <w:noProof/>
            </w:rPr>
            <w:fldChar w:fldCharType="separate"/>
          </w:r>
          <w:r w:rsidRPr="00341B41">
            <w:rPr>
              <w:noProof/>
            </w:rPr>
            <w:t>14</w:t>
          </w:r>
          <w:r w:rsidRPr="00341B41">
            <w:rPr>
              <w:noProof/>
            </w:rPr>
            <w:fldChar w:fldCharType="end"/>
          </w:r>
        </w:p>
        <w:p w14:paraId="1DA45DB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1.1.1.</w:t>
          </w:r>
          <w:r w:rsidRPr="00341B41">
            <w:rPr>
              <w:rFonts w:asciiTheme="minorHAnsi" w:eastAsiaTheme="minorEastAsia" w:hAnsiTheme="minorHAnsi"/>
              <w:noProof/>
              <w:sz w:val="24"/>
              <w:szCs w:val="24"/>
              <w:lang w:val="en-US"/>
            </w:rPr>
            <w:tab/>
          </w:r>
          <w:r w:rsidRPr="00341B41">
            <w:rPr>
              <w:noProof/>
            </w:rPr>
            <w:t>Cognitive components approach</w:t>
          </w:r>
          <w:r w:rsidRPr="00341B41">
            <w:rPr>
              <w:noProof/>
            </w:rPr>
            <w:tab/>
          </w:r>
          <w:r w:rsidRPr="00341B41">
            <w:rPr>
              <w:noProof/>
            </w:rPr>
            <w:fldChar w:fldCharType="begin"/>
          </w:r>
          <w:r w:rsidRPr="00341B41">
            <w:rPr>
              <w:noProof/>
            </w:rPr>
            <w:instrText xml:space="preserve"> PAGEREF _Toc486260827 \h </w:instrText>
          </w:r>
          <w:r w:rsidRPr="00341B41">
            <w:rPr>
              <w:noProof/>
            </w:rPr>
          </w:r>
          <w:r w:rsidRPr="00341B41">
            <w:rPr>
              <w:noProof/>
            </w:rPr>
            <w:fldChar w:fldCharType="separate"/>
          </w:r>
          <w:r w:rsidRPr="00341B41">
            <w:rPr>
              <w:noProof/>
            </w:rPr>
            <w:t>14</w:t>
          </w:r>
          <w:r w:rsidRPr="00341B41">
            <w:rPr>
              <w:noProof/>
            </w:rPr>
            <w:fldChar w:fldCharType="end"/>
          </w:r>
        </w:p>
        <w:p w14:paraId="45AB29AA"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1.1.2.</w:t>
          </w:r>
          <w:r w:rsidRPr="00341B41">
            <w:rPr>
              <w:rFonts w:asciiTheme="minorHAnsi" w:eastAsiaTheme="minorEastAsia" w:hAnsiTheme="minorHAnsi"/>
              <w:noProof/>
              <w:sz w:val="24"/>
              <w:szCs w:val="24"/>
              <w:lang w:val="en-US"/>
            </w:rPr>
            <w:tab/>
          </w:r>
          <w:r w:rsidRPr="00341B41">
            <w:rPr>
              <w:noProof/>
            </w:rPr>
            <w:t>Expert performance approach</w:t>
          </w:r>
          <w:r w:rsidRPr="00341B41">
            <w:rPr>
              <w:noProof/>
            </w:rPr>
            <w:tab/>
          </w:r>
          <w:r w:rsidRPr="00341B41">
            <w:rPr>
              <w:noProof/>
            </w:rPr>
            <w:fldChar w:fldCharType="begin"/>
          </w:r>
          <w:r w:rsidRPr="00341B41">
            <w:rPr>
              <w:noProof/>
            </w:rPr>
            <w:instrText xml:space="preserve"> PAGEREF _Toc486260828 \h </w:instrText>
          </w:r>
          <w:r w:rsidRPr="00341B41">
            <w:rPr>
              <w:noProof/>
            </w:rPr>
          </w:r>
          <w:r w:rsidRPr="00341B41">
            <w:rPr>
              <w:noProof/>
            </w:rPr>
            <w:fldChar w:fldCharType="separate"/>
          </w:r>
          <w:r w:rsidRPr="00341B41">
            <w:rPr>
              <w:noProof/>
            </w:rPr>
            <w:t>16</w:t>
          </w:r>
          <w:r w:rsidRPr="00341B41">
            <w:rPr>
              <w:noProof/>
            </w:rPr>
            <w:fldChar w:fldCharType="end"/>
          </w:r>
        </w:p>
        <w:p w14:paraId="526A3AD8"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1.2.</w:t>
          </w:r>
          <w:r w:rsidRPr="00341B41">
            <w:rPr>
              <w:rFonts w:asciiTheme="minorHAnsi" w:eastAsiaTheme="minorEastAsia" w:hAnsiTheme="minorHAnsi"/>
              <w:bCs w:val="0"/>
              <w:noProof/>
              <w:sz w:val="24"/>
              <w:szCs w:val="24"/>
              <w:lang w:val="en-US"/>
            </w:rPr>
            <w:tab/>
          </w:r>
          <w:r w:rsidRPr="00341B41">
            <w:rPr>
              <w:noProof/>
            </w:rPr>
            <w:t>Anticipation as a skill</w:t>
          </w:r>
          <w:r w:rsidRPr="00341B41">
            <w:rPr>
              <w:noProof/>
            </w:rPr>
            <w:tab/>
          </w:r>
          <w:r w:rsidRPr="00341B41">
            <w:rPr>
              <w:noProof/>
            </w:rPr>
            <w:fldChar w:fldCharType="begin"/>
          </w:r>
          <w:r w:rsidRPr="00341B41">
            <w:rPr>
              <w:noProof/>
            </w:rPr>
            <w:instrText xml:space="preserve"> PAGEREF _Toc486260829 \h </w:instrText>
          </w:r>
          <w:r w:rsidRPr="00341B41">
            <w:rPr>
              <w:noProof/>
            </w:rPr>
          </w:r>
          <w:r w:rsidRPr="00341B41">
            <w:rPr>
              <w:noProof/>
            </w:rPr>
            <w:fldChar w:fldCharType="separate"/>
          </w:r>
          <w:r w:rsidRPr="00341B41">
            <w:rPr>
              <w:noProof/>
            </w:rPr>
            <w:t>18</w:t>
          </w:r>
          <w:r w:rsidRPr="00341B41">
            <w:rPr>
              <w:noProof/>
            </w:rPr>
            <w:fldChar w:fldCharType="end"/>
          </w:r>
        </w:p>
        <w:p w14:paraId="50605360"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1.3.</w:t>
          </w:r>
          <w:r w:rsidRPr="00341B41">
            <w:rPr>
              <w:rFonts w:asciiTheme="minorHAnsi" w:eastAsiaTheme="minorEastAsia" w:hAnsiTheme="minorHAnsi"/>
              <w:bCs w:val="0"/>
              <w:noProof/>
              <w:sz w:val="24"/>
              <w:szCs w:val="24"/>
              <w:lang w:val="en-US"/>
            </w:rPr>
            <w:tab/>
          </w:r>
          <w:r w:rsidRPr="00341B41">
            <w:rPr>
              <w:noProof/>
            </w:rPr>
            <w:t>Cognitive models of anticipation</w:t>
          </w:r>
          <w:r w:rsidRPr="00341B41">
            <w:rPr>
              <w:noProof/>
            </w:rPr>
            <w:tab/>
          </w:r>
          <w:r w:rsidRPr="00341B41">
            <w:rPr>
              <w:noProof/>
            </w:rPr>
            <w:fldChar w:fldCharType="begin"/>
          </w:r>
          <w:r w:rsidRPr="00341B41">
            <w:rPr>
              <w:noProof/>
            </w:rPr>
            <w:instrText xml:space="preserve"> PAGEREF _Toc486260830 \h </w:instrText>
          </w:r>
          <w:r w:rsidRPr="00341B41">
            <w:rPr>
              <w:noProof/>
            </w:rPr>
          </w:r>
          <w:r w:rsidRPr="00341B41">
            <w:rPr>
              <w:noProof/>
            </w:rPr>
            <w:fldChar w:fldCharType="separate"/>
          </w:r>
          <w:r w:rsidRPr="00341B41">
            <w:rPr>
              <w:noProof/>
            </w:rPr>
            <w:t>19</w:t>
          </w:r>
          <w:r w:rsidRPr="00341B41">
            <w:rPr>
              <w:noProof/>
            </w:rPr>
            <w:fldChar w:fldCharType="end"/>
          </w:r>
        </w:p>
        <w:p w14:paraId="1A6B5ABA"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1.4.</w:t>
          </w:r>
          <w:r w:rsidRPr="00341B41">
            <w:rPr>
              <w:rFonts w:asciiTheme="minorHAnsi" w:eastAsiaTheme="minorEastAsia" w:hAnsiTheme="minorHAnsi"/>
              <w:bCs w:val="0"/>
              <w:noProof/>
              <w:sz w:val="24"/>
              <w:szCs w:val="24"/>
              <w:lang w:val="en-US"/>
            </w:rPr>
            <w:tab/>
          </w:r>
          <w:r w:rsidRPr="00341B41">
            <w:rPr>
              <w:noProof/>
            </w:rPr>
            <w:t>Perceptual and cognitive mechanisms underlying expert anticipation skill</w:t>
          </w:r>
          <w:r w:rsidRPr="00341B41">
            <w:rPr>
              <w:noProof/>
            </w:rPr>
            <w:tab/>
          </w:r>
          <w:r w:rsidRPr="00341B41">
            <w:rPr>
              <w:noProof/>
            </w:rPr>
            <w:fldChar w:fldCharType="begin"/>
          </w:r>
          <w:r w:rsidRPr="00341B41">
            <w:rPr>
              <w:noProof/>
            </w:rPr>
            <w:instrText xml:space="preserve"> PAGEREF _Toc486260831 \h </w:instrText>
          </w:r>
          <w:r w:rsidRPr="00341B41">
            <w:rPr>
              <w:noProof/>
            </w:rPr>
          </w:r>
          <w:r w:rsidRPr="00341B41">
            <w:rPr>
              <w:noProof/>
            </w:rPr>
            <w:fldChar w:fldCharType="separate"/>
          </w:r>
          <w:r w:rsidRPr="00341B41">
            <w:rPr>
              <w:noProof/>
            </w:rPr>
            <w:t>23</w:t>
          </w:r>
          <w:r w:rsidRPr="00341B41">
            <w:rPr>
              <w:noProof/>
            </w:rPr>
            <w:fldChar w:fldCharType="end"/>
          </w:r>
        </w:p>
        <w:p w14:paraId="238444AC" w14:textId="77777777" w:rsidR="0081157C" w:rsidRPr="00341B41" w:rsidRDefault="0081157C">
          <w:pPr>
            <w:pStyle w:val="TOC3"/>
            <w:tabs>
              <w:tab w:val="left" w:pos="1200"/>
              <w:tab w:val="right" w:leader="dot" w:pos="8817"/>
            </w:tabs>
            <w:rPr>
              <w:rFonts w:asciiTheme="minorHAnsi" w:eastAsiaTheme="minorEastAsia" w:hAnsiTheme="minorHAnsi"/>
              <w:noProof/>
              <w:sz w:val="24"/>
              <w:szCs w:val="24"/>
              <w:lang w:val="en-US"/>
            </w:rPr>
          </w:pPr>
          <w:r w:rsidRPr="00341B41">
            <w:rPr>
              <w:noProof/>
            </w:rPr>
            <w:t>1.4.1</w:t>
          </w:r>
          <w:r w:rsidRPr="00341B41">
            <w:rPr>
              <w:rFonts w:asciiTheme="minorHAnsi" w:eastAsiaTheme="minorEastAsia" w:hAnsiTheme="minorHAnsi"/>
              <w:noProof/>
              <w:sz w:val="24"/>
              <w:szCs w:val="24"/>
              <w:lang w:val="en-US"/>
            </w:rPr>
            <w:tab/>
          </w:r>
          <w:r w:rsidRPr="00341B41">
            <w:rPr>
              <w:noProof/>
            </w:rPr>
            <w:t>Visual search strategies</w:t>
          </w:r>
          <w:r w:rsidRPr="00341B41">
            <w:rPr>
              <w:noProof/>
            </w:rPr>
            <w:tab/>
          </w:r>
          <w:r w:rsidRPr="00341B41">
            <w:rPr>
              <w:noProof/>
            </w:rPr>
            <w:fldChar w:fldCharType="begin"/>
          </w:r>
          <w:r w:rsidRPr="00341B41">
            <w:rPr>
              <w:noProof/>
            </w:rPr>
            <w:instrText xml:space="preserve"> PAGEREF _Toc486260832 \h </w:instrText>
          </w:r>
          <w:r w:rsidRPr="00341B41">
            <w:rPr>
              <w:noProof/>
            </w:rPr>
          </w:r>
          <w:r w:rsidRPr="00341B41">
            <w:rPr>
              <w:noProof/>
            </w:rPr>
            <w:fldChar w:fldCharType="separate"/>
          </w:r>
          <w:r w:rsidRPr="00341B41">
            <w:rPr>
              <w:noProof/>
            </w:rPr>
            <w:t>23</w:t>
          </w:r>
          <w:r w:rsidRPr="00341B41">
            <w:rPr>
              <w:noProof/>
            </w:rPr>
            <w:fldChar w:fldCharType="end"/>
          </w:r>
        </w:p>
        <w:p w14:paraId="244B4FAE"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1.4.2.</w:t>
          </w:r>
          <w:r w:rsidRPr="00341B41">
            <w:rPr>
              <w:rFonts w:asciiTheme="minorHAnsi" w:eastAsiaTheme="minorEastAsia" w:hAnsiTheme="minorHAnsi"/>
              <w:noProof/>
              <w:sz w:val="24"/>
              <w:szCs w:val="24"/>
              <w:lang w:val="en-US"/>
            </w:rPr>
            <w:tab/>
          </w:r>
          <w:r w:rsidRPr="00341B41">
            <w:rPr>
              <w:noProof/>
            </w:rPr>
            <w:t>Use of kinematic cues</w:t>
          </w:r>
          <w:r w:rsidRPr="00341B41">
            <w:rPr>
              <w:noProof/>
            </w:rPr>
            <w:tab/>
          </w:r>
          <w:r w:rsidRPr="00341B41">
            <w:rPr>
              <w:noProof/>
            </w:rPr>
            <w:fldChar w:fldCharType="begin"/>
          </w:r>
          <w:r w:rsidRPr="00341B41">
            <w:rPr>
              <w:noProof/>
            </w:rPr>
            <w:instrText xml:space="preserve"> PAGEREF _Toc486260833 \h </w:instrText>
          </w:r>
          <w:r w:rsidRPr="00341B41">
            <w:rPr>
              <w:noProof/>
            </w:rPr>
          </w:r>
          <w:r w:rsidRPr="00341B41">
            <w:rPr>
              <w:noProof/>
            </w:rPr>
            <w:fldChar w:fldCharType="separate"/>
          </w:r>
          <w:r w:rsidRPr="00341B41">
            <w:rPr>
              <w:noProof/>
            </w:rPr>
            <w:t>26</w:t>
          </w:r>
          <w:r w:rsidRPr="00341B41">
            <w:rPr>
              <w:noProof/>
            </w:rPr>
            <w:fldChar w:fldCharType="end"/>
          </w:r>
        </w:p>
        <w:p w14:paraId="783C8DD7"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1.4.3.</w:t>
          </w:r>
          <w:r w:rsidRPr="00341B41">
            <w:rPr>
              <w:rFonts w:asciiTheme="minorHAnsi" w:eastAsiaTheme="minorEastAsia" w:hAnsiTheme="minorHAnsi"/>
              <w:noProof/>
              <w:sz w:val="24"/>
              <w:szCs w:val="24"/>
              <w:lang w:val="en-US"/>
            </w:rPr>
            <w:tab/>
          </w:r>
          <w:r w:rsidRPr="00341B41">
            <w:rPr>
              <w:noProof/>
            </w:rPr>
            <w:t>Use of probabilities and expectations</w:t>
          </w:r>
          <w:r w:rsidRPr="00341B41">
            <w:rPr>
              <w:noProof/>
            </w:rPr>
            <w:tab/>
          </w:r>
          <w:r w:rsidRPr="00341B41">
            <w:rPr>
              <w:noProof/>
            </w:rPr>
            <w:fldChar w:fldCharType="begin"/>
          </w:r>
          <w:r w:rsidRPr="00341B41">
            <w:rPr>
              <w:noProof/>
            </w:rPr>
            <w:instrText xml:space="preserve"> PAGEREF _Toc486260834 \h </w:instrText>
          </w:r>
          <w:r w:rsidRPr="00341B41">
            <w:rPr>
              <w:noProof/>
            </w:rPr>
          </w:r>
          <w:r w:rsidRPr="00341B41">
            <w:rPr>
              <w:noProof/>
            </w:rPr>
            <w:fldChar w:fldCharType="separate"/>
          </w:r>
          <w:r w:rsidRPr="00341B41">
            <w:rPr>
              <w:noProof/>
            </w:rPr>
            <w:t>32</w:t>
          </w:r>
          <w:r w:rsidRPr="00341B41">
            <w:rPr>
              <w:noProof/>
            </w:rPr>
            <w:fldChar w:fldCharType="end"/>
          </w:r>
        </w:p>
        <w:p w14:paraId="461A63D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1.4.4.</w:t>
          </w:r>
          <w:r w:rsidRPr="00341B41">
            <w:rPr>
              <w:rFonts w:asciiTheme="minorHAnsi" w:eastAsiaTheme="minorEastAsia" w:hAnsiTheme="minorHAnsi"/>
              <w:noProof/>
              <w:sz w:val="24"/>
              <w:szCs w:val="24"/>
              <w:lang w:val="en-US"/>
            </w:rPr>
            <w:tab/>
          </w:r>
          <w:r w:rsidRPr="00341B41">
            <w:rPr>
              <w:noProof/>
            </w:rPr>
            <w:t>Interaction between mechanisms during anticipation</w:t>
          </w:r>
          <w:r w:rsidRPr="00341B41">
            <w:rPr>
              <w:noProof/>
            </w:rPr>
            <w:tab/>
          </w:r>
          <w:r w:rsidRPr="00341B41">
            <w:rPr>
              <w:noProof/>
            </w:rPr>
            <w:fldChar w:fldCharType="begin"/>
          </w:r>
          <w:r w:rsidRPr="00341B41">
            <w:rPr>
              <w:noProof/>
            </w:rPr>
            <w:instrText xml:space="preserve"> PAGEREF _Toc486260835 \h </w:instrText>
          </w:r>
          <w:r w:rsidRPr="00341B41">
            <w:rPr>
              <w:noProof/>
            </w:rPr>
          </w:r>
          <w:r w:rsidRPr="00341B41">
            <w:rPr>
              <w:noProof/>
            </w:rPr>
            <w:fldChar w:fldCharType="separate"/>
          </w:r>
          <w:r w:rsidRPr="00341B41">
            <w:rPr>
              <w:noProof/>
            </w:rPr>
            <w:t>34</w:t>
          </w:r>
          <w:r w:rsidRPr="00341B41">
            <w:rPr>
              <w:noProof/>
            </w:rPr>
            <w:fldChar w:fldCharType="end"/>
          </w:r>
        </w:p>
        <w:p w14:paraId="7D744CB9"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1.4.5.</w:t>
          </w:r>
          <w:r w:rsidRPr="00341B41">
            <w:rPr>
              <w:rFonts w:asciiTheme="minorHAnsi" w:eastAsiaTheme="minorEastAsia" w:hAnsiTheme="minorHAnsi"/>
              <w:noProof/>
              <w:sz w:val="24"/>
              <w:szCs w:val="24"/>
              <w:lang w:val="en-US"/>
            </w:rPr>
            <w:tab/>
          </w:r>
          <w:r w:rsidRPr="00341B41">
            <w:rPr>
              <w:noProof/>
            </w:rPr>
            <w:t>External constraints on anticipation accuracy</w:t>
          </w:r>
          <w:r w:rsidRPr="00341B41">
            <w:rPr>
              <w:noProof/>
            </w:rPr>
            <w:tab/>
          </w:r>
          <w:r w:rsidRPr="00341B41">
            <w:rPr>
              <w:noProof/>
            </w:rPr>
            <w:fldChar w:fldCharType="begin"/>
          </w:r>
          <w:r w:rsidRPr="00341B41">
            <w:rPr>
              <w:noProof/>
            </w:rPr>
            <w:instrText xml:space="preserve"> PAGEREF _Toc486260836 \h </w:instrText>
          </w:r>
          <w:r w:rsidRPr="00341B41">
            <w:rPr>
              <w:noProof/>
            </w:rPr>
          </w:r>
          <w:r w:rsidRPr="00341B41">
            <w:rPr>
              <w:noProof/>
            </w:rPr>
            <w:fldChar w:fldCharType="separate"/>
          </w:r>
          <w:r w:rsidRPr="00341B41">
            <w:rPr>
              <w:noProof/>
            </w:rPr>
            <w:t>35</w:t>
          </w:r>
          <w:r w:rsidRPr="00341B41">
            <w:rPr>
              <w:noProof/>
            </w:rPr>
            <w:fldChar w:fldCharType="end"/>
          </w:r>
        </w:p>
        <w:p w14:paraId="71B04273"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1.4.6.</w:t>
          </w:r>
          <w:r w:rsidRPr="00341B41">
            <w:rPr>
              <w:rFonts w:asciiTheme="minorHAnsi" w:eastAsiaTheme="minorEastAsia" w:hAnsiTheme="minorHAnsi"/>
              <w:noProof/>
              <w:sz w:val="24"/>
              <w:szCs w:val="24"/>
              <w:lang w:val="en-US"/>
            </w:rPr>
            <w:tab/>
          </w:r>
          <w:r w:rsidRPr="00341B41">
            <w:rPr>
              <w:noProof/>
            </w:rPr>
            <w:t>Transfer of anticipation skill between domains</w:t>
          </w:r>
          <w:r w:rsidRPr="00341B41">
            <w:rPr>
              <w:noProof/>
            </w:rPr>
            <w:tab/>
          </w:r>
          <w:r w:rsidRPr="00341B41">
            <w:rPr>
              <w:noProof/>
            </w:rPr>
            <w:fldChar w:fldCharType="begin"/>
          </w:r>
          <w:r w:rsidRPr="00341B41">
            <w:rPr>
              <w:noProof/>
            </w:rPr>
            <w:instrText xml:space="preserve"> PAGEREF _Toc486260837 \h </w:instrText>
          </w:r>
          <w:r w:rsidRPr="00341B41">
            <w:rPr>
              <w:noProof/>
            </w:rPr>
          </w:r>
          <w:r w:rsidRPr="00341B41">
            <w:rPr>
              <w:noProof/>
            </w:rPr>
            <w:fldChar w:fldCharType="separate"/>
          </w:r>
          <w:r w:rsidRPr="00341B41">
            <w:rPr>
              <w:noProof/>
            </w:rPr>
            <w:t>35</w:t>
          </w:r>
          <w:r w:rsidRPr="00341B41">
            <w:rPr>
              <w:noProof/>
            </w:rPr>
            <w:fldChar w:fldCharType="end"/>
          </w:r>
        </w:p>
        <w:p w14:paraId="11F22FB0"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1.5.</w:t>
          </w:r>
          <w:r w:rsidRPr="00341B41">
            <w:rPr>
              <w:rFonts w:asciiTheme="minorHAnsi" w:eastAsiaTheme="minorEastAsia" w:hAnsiTheme="minorHAnsi"/>
              <w:bCs w:val="0"/>
              <w:noProof/>
              <w:sz w:val="24"/>
              <w:szCs w:val="24"/>
              <w:lang w:val="en-US"/>
            </w:rPr>
            <w:tab/>
          </w:r>
          <w:r w:rsidRPr="00341B41">
            <w:rPr>
              <w:noProof/>
            </w:rPr>
            <w:t>Interim summary</w:t>
          </w:r>
          <w:r w:rsidRPr="00341B41">
            <w:rPr>
              <w:noProof/>
            </w:rPr>
            <w:tab/>
          </w:r>
          <w:r w:rsidRPr="00341B41">
            <w:rPr>
              <w:noProof/>
            </w:rPr>
            <w:fldChar w:fldCharType="begin"/>
          </w:r>
          <w:r w:rsidRPr="00341B41">
            <w:rPr>
              <w:noProof/>
            </w:rPr>
            <w:instrText xml:space="preserve"> PAGEREF _Toc486260838 \h </w:instrText>
          </w:r>
          <w:r w:rsidRPr="00341B41">
            <w:rPr>
              <w:noProof/>
            </w:rPr>
          </w:r>
          <w:r w:rsidRPr="00341B41">
            <w:rPr>
              <w:noProof/>
            </w:rPr>
            <w:fldChar w:fldCharType="separate"/>
          </w:r>
          <w:r w:rsidRPr="00341B41">
            <w:rPr>
              <w:noProof/>
            </w:rPr>
            <w:t>37</w:t>
          </w:r>
          <w:r w:rsidRPr="00341B41">
            <w:rPr>
              <w:noProof/>
            </w:rPr>
            <w:fldChar w:fldCharType="end"/>
          </w:r>
        </w:p>
        <w:p w14:paraId="131C3ACC"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1.6.</w:t>
          </w:r>
          <w:r w:rsidRPr="00341B41">
            <w:rPr>
              <w:rFonts w:asciiTheme="minorHAnsi" w:eastAsiaTheme="minorEastAsia" w:hAnsiTheme="minorHAnsi"/>
              <w:bCs w:val="0"/>
              <w:noProof/>
              <w:sz w:val="24"/>
              <w:szCs w:val="24"/>
              <w:lang w:val="en-US"/>
            </w:rPr>
            <w:tab/>
          </w:r>
          <w:r w:rsidRPr="00341B41">
            <w:rPr>
              <w:noProof/>
            </w:rPr>
            <w:t>Action understanding in the brain</w:t>
          </w:r>
          <w:r w:rsidRPr="00341B41">
            <w:rPr>
              <w:noProof/>
            </w:rPr>
            <w:tab/>
          </w:r>
          <w:r w:rsidRPr="00341B41">
            <w:rPr>
              <w:noProof/>
            </w:rPr>
            <w:fldChar w:fldCharType="begin"/>
          </w:r>
          <w:r w:rsidRPr="00341B41">
            <w:rPr>
              <w:noProof/>
            </w:rPr>
            <w:instrText xml:space="preserve"> PAGEREF _Toc486260839 \h </w:instrText>
          </w:r>
          <w:r w:rsidRPr="00341B41">
            <w:rPr>
              <w:noProof/>
            </w:rPr>
          </w:r>
          <w:r w:rsidRPr="00341B41">
            <w:rPr>
              <w:noProof/>
            </w:rPr>
            <w:fldChar w:fldCharType="separate"/>
          </w:r>
          <w:r w:rsidRPr="00341B41">
            <w:rPr>
              <w:noProof/>
            </w:rPr>
            <w:t>38</w:t>
          </w:r>
          <w:r w:rsidRPr="00341B41">
            <w:rPr>
              <w:noProof/>
            </w:rPr>
            <w:fldChar w:fldCharType="end"/>
          </w:r>
        </w:p>
        <w:p w14:paraId="3D085F01"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1.6.1.</w:t>
          </w:r>
          <w:r w:rsidRPr="00341B41">
            <w:rPr>
              <w:rFonts w:asciiTheme="minorHAnsi" w:eastAsiaTheme="minorEastAsia" w:hAnsiTheme="minorHAnsi"/>
              <w:noProof/>
              <w:sz w:val="24"/>
              <w:szCs w:val="24"/>
              <w:lang w:val="en-US"/>
            </w:rPr>
            <w:tab/>
          </w:r>
          <w:r w:rsidRPr="00341B41">
            <w:rPr>
              <w:noProof/>
            </w:rPr>
            <w:t>The action observation network</w:t>
          </w:r>
          <w:r w:rsidRPr="00341B41">
            <w:rPr>
              <w:noProof/>
            </w:rPr>
            <w:tab/>
          </w:r>
          <w:r w:rsidRPr="00341B41">
            <w:rPr>
              <w:noProof/>
            </w:rPr>
            <w:fldChar w:fldCharType="begin"/>
          </w:r>
          <w:r w:rsidRPr="00341B41">
            <w:rPr>
              <w:noProof/>
            </w:rPr>
            <w:instrText xml:space="preserve"> PAGEREF _Toc486260840 \h </w:instrText>
          </w:r>
          <w:r w:rsidRPr="00341B41">
            <w:rPr>
              <w:noProof/>
            </w:rPr>
          </w:r>
          <w:r w:rsidRPr="00341B41">
            <w:rPr>
              <w:noProof/>
            </w:rPr>
            <w:fldChar w:fldCharType="separate"/>
          </w:r>
          <w:r w:rsidRPr="00341B41">
            <w:rPr>
              <w:noProof/>
            </w:rPr>
            <w:t>39</w:t>
          </w:r>
          <w:r w:rsidRPr="00341B41">
            <w:rPr>
              <w:noProof/>
            </w:rPr>
            <w:fldChar w:fldCharType="end"/>
          </w:r>
        </w:p>
        <w:p w14:paraId="05317A5D"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1.6.2.</w:t>
          </w:r>
          <w:r w:rsidRPr="00341B41">
            <w:rPr>
              <w:rFonts w:asciiTheme="minorHAnsi" w:eastAsiaTheme="minorEastAsia" w:hAnsiTheme="minorHAnsi"/>
              <w:noProof/>
              <w:sz w:val="24"/>
              <w:szCs w:val="24"/>
              <w:lang w:val="en-US"/>
            </w:rPr>
            <w:tab/>
          </w:r>
          <w:r w:rsidRPr="00341B41">
            <w:rPr>
              <w:noProof/>
            </w:rPr>
            <w:t>Expertise modulation of the action observation network</w:t>
          </w:r>
          <w:r w:rsidRPr="00341B41">
            <w:rPr>
              <w:noProof/>
            </w:rPr>
            <w:tab/>
          </w:r>
          <w:r w:rsidRPr="00341B41">
            <w:rPr>
              <w:noProof/>
            </w:rPr>
            <w:fldChar w:fldCharType="begin"/>
          </w:r>
          <w:r w:rsidRPr="00341B41">
            <w:rPr>
              <w:noProof/>
            </w:rPr>
            <w:instrText xml:space="preserve"> PAGEREF _Toc486260841 \h </w:instrText>
          </w:r>
          <w:r w:rsidRPr="00341B41">
            <w:rPr>
              <w:noProof/>
            </w:rPr>
          </w:r>
          <w:r w:rsidRPr="00341B41">
            <w:rPr>
              <w:noProof/>
            </w:rPr>
            <w:fldChar w:fldCharType="separate"/>
          </w:r>
          <w:r w:rsidRPr="00341B41">
            <w:rPr>
              <w:noProof/>
            </w:rPr>
            <w:t>40</w:t>
          </w:r>
          <w:r w:rsidRPr="00341B41">
            <w:rPr>
              <w:noProof/>
            </w:rPr>
            <w:fldChar w:fldCharType="end"/>
          </w:r>
        </w:p>
        <w:p w14:paraId="563002D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1.6.3.</w:t>
          </w:r>
          <w:r w:rsidRPr="00341B41">
            <w:rPr>
              <w:rFonts w:asciiTheme="minorHAnsi" w:eastAsiaTheme="minorEastAsia" w:hAnsiTheme="minorHAnsi"/>
              <w:noProof/>
              <w:sz w:val="24"/>
              <w:szCs w:val="24"/>
              <w:lang w:val="en-US"/>
            </w:rPr>
            <w:tab/>
          </w:r>
          <w:r w:rsidRPr="00341B41">
            <w:rPr>
              <w:noProof/>
            </w:rPr>
            <w:t>The role of the motor system in understanding actions</w:t>
          </w:r>
          <w:r w:rsidRPr="00341B41">
            <w:rPr>
              <w:noProof/>
            </w:rPr>
            <w:tab/>
          </w:r>
          <w:r w:rsidRPr="00341B41">
            <w:rPr>
              <w:noProof/>
            </w:rPr>
            <w:fldChar w:fldCharType="begin"/>
          </w:r>
          <w:r w:rsidRPr="00341B41">
            <w:rPr>
              <w:noProof/>
            </w:rPr>
            <w:instrText xml:space="preserve"> PAGEREF _Toc486260842 \h </w:instrText>
          </w:r>
          <w:r w:rsidRPr="00341B41">
            <w:rPr>
              <w:noProof/>
            </w:rPr>
          </w:r>
          <w:r w:rsidRPr="00341B41">
            <w:rPr>
              <w:noProof/>
            </w:rPr>
            <w:fldChar w:fldCharType="separate"/>
          </w:r>
          <w:r w:rsidRPr="00341B41">
            <w:rPr>
              <w:noProof/>
            </w:rPr>
            <w:t>41</w:t>
          </w:r>
          <w:r w:rsidRPr="00341B41">
            <w:rPr>
              <w:noProof/>
            </w:rPr>
            <w:fldChar w:fldCharType="end"/>
          </w:r>
        </w:p>
        <w:p w14:paraId="0AE9259B"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1.7.</w:t>
          </w:r>
          <w:r w:rsidRPr="00341B41">
            <w:rPr>
              <w:rFonts w:asciiTheme="minorHAnsi" w:eastAsiaTheme="minorEastAsia" w:hAnsiTheme="minorHAnsi"/>
              <w:bCs w:val="0"/>
              <w:noProof/>
              <w:sz w:val="24"/>
              <w:szCs w:val="24"/>
              <w:lang w:val="en-US"/>
            </w:rPr>
            <w:tab/>
          </w:r>
          <w:r w:rsidRPr="00341B41">
            <w:rPr>
              <w:noProof/>
            </w:rPr>
            <w:t>The role of the sensorimotor system in expert action anticipation</w:t>
          </w:r>
          <w:r w:rsidRPr="00341B41">
            <w:rPr>
              <w:noProof/>
            </w:rPr>
            <w:tab/>
          </w:r>
          <w:r w:rsidRPr="00341B41">
            <w:rPr>
              <w:noProof/>
            </w:rPr>
            <w:fldChar w:fldCharType="begin"/>
          </w:r>
          <w:r w:rsidRPr="00341B41">
            <w:rPr>
              <w:noProof/>
            </w:rPr>
            <w:instrText xml:space="preserve"> PAGEREF _Toc486260843 \h </w:instrText>
          </w:r>
          <w:r w:rsidRPr="00341B41">
            <w:rPr>
              <w:noProof/>
            </w:rPr>
          </w:r>
          <w:r w:rsidRPr="00341B41">
            <w:rPr>
              <w:noProof/>
            </w:rPr>
            <w:fldChar w:fldCharType="separate"/>
          </w:r>
          <w:r w:rsidRPr="00341B41">
            <w:rPr>
              <w:noProof/>
            </w:rPr>
            <w:t>52</w:t>
          </w:r>
          <w:r w:rsidRPr="00341B41">
            <w:rPr>
              <w:noProof/>
            </w:rPr>
            <w:fldChar w:fldCharType="end"/>
          </w:r>
        </w:p>
        <w:p w14:paraId="2D5473B1"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1.8.</w:t>
          </w:r>
          <w:r w:rsidRPr="00341B41">
            <w:rPr>
              <w:rFonts w:asciiTheme="minorHAnsi" w:eastAsiaTheme="minorEastAsia" w:hAnsiTheme="minorHAnsi"/>
              <w:bCs w:val="0"/>
              <w:noProof/>
              <w:sz w:val="24"/>
              <w:szCs w:val="24"/>
              <w:lang w:val="en-US"/>
            </w:rPr>
            <w:tab/>
          </w:r>
          <w:r w:rsidRPr="00341B41">
            <w:rPr>
              <w:noProof/>
            </w:rPr>
            <w:t>Studying action anticipation using EEG</w:t>
          </w:r>
          <w:r w:rsidRPr="00341B41">
            <w:rPr>
              <w:noProof/>
            </w:rPr>
            <w:tab/>
          </w:r>
          <w:r w:rsidRPr="00341B41">
            <w:rPr>
              <w:noProof/>
            </w:rPr>
            <w:fldChar w:fldCharType="begin"/>
          </w:r>
          <w:r w:rsidRPr="00341B41">
            <w:rPr>
              <w:noProof/>
            </w:rPr>
            <w:instrText xml:space="preserve"> PAGEREF _Toc486260844 \h </w:instrText>
          </w:r>
          <w:r w:rsidRPr="00341B41">
            <w:rPr>
              <w:noProof/>
            </w:rPr>
          </w:r>
          <w:r w:rsidRPr="00341B41">
            <w:rPr>
              <w:noProof/>
            </w:rPr>
            <w:fldChar w:fldCharType="separate"/>
          </w:r>
          <w:r w:rsidRPr="00341B41">
            <w:rPr>
              <w:noProof/>
            </w:rPr>
            <w:t>58</w:t>
          </w:r>
          <w:r w:rsidRPr="00341B41">
            <w:rPr>
              <w:noProof/>
            </w:rPr>
            <w:fldChar w:fldCharType="end"/>
          </w:r>
        </w:p>
        <w:p w14:paraId="1BE7129D"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1.8.1.</w:t>
          </w:r>
          <w:r w:rsidRPr="00341B41">
            <w:rPr>
              <w:rFonts w:asciiTheme="minorHAnsi" w:eastAsiaTheme="minorEastAsia" w:hAnsiTheme="minorHAnsi"/>
              <w:noProof/>
              <w:sz w:val="24"/>
              <w:szCs w:val="24"/>
              <w:lang w:val="en-US"/>
            </w:rPr>
            <w:tab/>
          </w:r>
          <w:r w:rsidRPr="00341B41">
            <w:rPr>
              <w:noProof/>
            </w:rPr>
            <w:t>Measuring motor system activity using EEG</w:t>
          </w:r>
          <w:r w:rsidRPr="00341B41">
            <w:rPr>
              <w:noProof/>
            </w:rPr>
            <w:tab/>
          </w:r>
          <w:r w:rsidRPr="00341B41">
            <w:rPr>
              <w:noProof/>
            </w:rPr>
            <w:fldChar w:fldCharType="begin"/>
          </w:r>
          <w:r w:rsidRPr="00341B41">
            <w:rPr>
              <w:noProof/>
            </w:rPr>
            <w:instrText xml:space="preserve"> PAGEREF _Toc486260845 \h </w:instrText>
          </w:r>
          <w:r w:rsidRPr="00341B41">
            <w:rPr>
              <w:noProof/>
            </w:rPr>
          </w:r>
          <w:r w:rsidRPr="00341B41">
            <w:rPr>
              <w:noProof/>
            </w:rPr>
            <w:fldChar w:fldCharType="separate"/>
          </w:r>
          <w:r w:rsidRPr="00341B41">
            <w:rPr>
              <w:noProof/>
            </w:rPr>
            <w:t>61</w:t>
          </w:r>
          <w:r w:rsidRPr="00341B41">
            <w:rPr>
              <w:noProof/>
            </w:rPr>
            <w:fldChar w:fldCharType="end"/>
          </w:r>
        </w:p>
        <w:p w14:paraId="0AC1C530"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lastRenderedPageBreak/>
            <w:t>1.9.</w:t>
          </w:r>
          <w:r w:rsidRPr="00341B41">
            <w:rPr>
              <w:rFonts w:asciiTheme="minorHAnsi" w:eastAsiaTheme="minorEastAsia" w:hAnsiTheme="minorHAnsi"/>
              <w:bCs w:val="0"/>
              <w:noProof/>
              <w:sz w:val="24"/>
              <w:szCs w:val="24"/>
              <w:lang w:val="en-US"/>
            </w:rPr>
            <w:tab/>
          </w:r>
          <w:r w:rsidRPr="00341B41">
            <w:rPr>
              <w:noProof/>
            </w:rPr>
            <w:t>Thesis aims and objectives</w:t>
          </w:r>
          <w:r w:rsidRPr="00341B41">
            <w:rPr>
              <w:noProof/>
            </w:rPr>
            <w:tab/>
          </w:r>
          <w:r w:rsidRPr="00341B41">
            <w:rPr>
              <w:noProof/>
            </w:rPr>
            <w:fldChar w:fldCharType="begin"/>
          </w:r>
          <w:r w:rsidRPr="00341B41">
            <w:rPr>
              <w:noProof/>
            </w:rPr>
            <w:instrText xml:space="preserve"> PAGEREF _Toc486260846 \h </w:instrText>
          </w:r>
          <w:r w:rsidRPr="00341B41">
            <w:rPr>
              <w:noProof/>
            </w:rPr>
          </w:r>
          <w:r w:rsidRPr="00341B41">
            <w:rPr>
              <w:noProof/>
            </w:rPr>
            <w:fldChar w:fldCharType="separate"/>
          </w:r>
          <w:r w:rsidRPr="00341B41">
            <w:rPr>
              <w:noProof/>
            </w:rPr>
            <w:t>66</w:t>
          </w:r>
          <w:r w:rsidRPr="00341B41">
            <w:rPr>
              <w:noProof/>
            </w:rPr>
            <w:fldChar w:fldCharType="end"/>
          </w:r>
        </w:p>
        <w:p w14:paraId="46B68619"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Chapter 2 – Development of a video-based test of anticipation skill suitable for EEG</w:t>
          </w:r>
          <w:r w:rsidRPr="00341B41">
            <w:rPr>
              <w:noProof/>
            </w:rPr>
            <w:tab/>
          </w:r>
          <w:r w:rsidRPr="00341B41">
            <w:rPr>
              <w:noProof/>
            </w:rPr>
            <w:fldChar w:fldCharType="begin"/>
          </w:r>
          <w:r w:rsidRPr="00341B41">
            <w:rPr>
              <w:noProof/>
            </w:rPr>
            <w:instrText xml:space="preserve"> PAGEREF _Toc486260847 \h </w:instrText>
          </w:r>
          <w:r w:rsidRPr="00341B41">
            <w:rPr>
              <w:noProof/>
            </w:rPr>
          </w:r>
          <w:r w:rsidRPr="00341B41">
            <w:rPr>
              <w:noProof/>
            </w:rPr>
            <w:fldChar w:fldCharType="separate"/>
          </w:r>
          <w:r w:rsidRPr="00341B41">
            <w:rPr>
              <w:noProof/>
            </w:rPr>
            <w:t>70</w:t>
          </w:r>
          <w:r w:rsidRPr="00341B41">
            <w:rPr>
              <w:noProof/>
            </w:rPr>
            <w:fldChar w:fldCharType="end"/>
          </w:r>
        </w:p>
        <w:p w14:paraId="634347BE"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2.1.</w:t>
          </w:r>
          <w:r w:rsidRPr="00341B41">
            <w:rPr>
              <w:rFonts w:asciiTheme="minorHAnsi" w:eastAsiaTheme="minorEastAsia" w:hAnsiTheme="minorHAnsi"/>
              <w:bCs w:val="0"/>
              <w:noProof/>
              <w:sz w:val="24"/>
              <w:szCs w:val="24"/>
              <w:lang w:val="en-US"/>
            </w:rPr>
            <w:tab/>
          </w:r>
          <w:r w:rsidRPr="00341B41">
            <w:rPr>
              <w:noProof/>
            </w:rPr>
            <w:t>Introduction</w:t>
          </w:r>
          <w:r w:rsidRPr="00341B41">
            <w:rPr>
              <w:noProof/>
            </w:rPr>
            <w:tab/>
          </w:r>
          <w:r w:rsidRPr="00341B41">
            <w:rPr>
              <w:noProof/>
            </w:rPr>
            <w:fldChar w:fldCharType="begin"/>
          </w:r>
          <w:r w:rsidRPr="00341B41">
            <w:rPr>
              <w:noProof/>
            </w:rPr>
            <w:instrText xml:space="preserve"> PAGEREF _Toc486260848 \h </w:instrText>
          </w:r>
          <w:r w:rsidRPr="00341B41">
            <w:rPr>
              <w:noProof/>
            </w:rPr>
          </w:r>
          <w:r w:rsidRPr="00341B41">
            <w:rPr>
              <w:noProof/>
            </w:rPr>
            <w:fldChar w:fldCharType="separate"/>
          </w:r>
          <w:r w:rsidRPr="00341B41">
            <w:rPr>
              <w:noProof/>
            </w:rPr>
            <w:t>70</w:t>
          </w:r>
          <w:r w:rsidRPr="00341B41">
            <w:rPr>
              <w:noProof/>
            </w:rPr>
            <w:fldChar w:fldCharType="end"/>
          </w:r>
        </w:p>
        <w:p w14:paraId="27243BFC"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2.1.1.</w:t>
          </w:r>
          <w:r w:rsidRPr="00341B41">
            <w:rPr>
              <w:rFonts w:asciiTheme="minorHAnsi" w:eastAsiaTheme="minorEastAsia" w:hAnsiTheme="minorHAnsi"/>
              <w:noProof/>
              <w:sz w:val="24"/>
              <w:szCs w:val="24"/>
              <w:lang w:val="en-US"/>
            </w:rPr>
            <w:tab/>
          </w:r>
          <w:r w:rsidRPr="00341B41">
            <w:rPr>
              <w:noProof/>
            </w:rPr>
            <w:t>The utility of video-based anticipation tests</w:t>
          </w:r>
          <w:r w:rsidRPr="00341B41">
            <w:rPr>
              <w:noProof/>
            </w:rPr>
            <w:tab/>
          </w:r>
          <w:r w:rsidRPr="00341B41">
            <w:rPr>
              <w:noProof/>
            </w:rPr>
            <w:fldChar w:fldCharType="begin"/>
          </w:r>
          <w:r w:rsidRPr="00341B41">
            <w:rPr>
              <w:noProof/>
            </w:rPr>
            <w:instrText xml:space="preserve"> PAGEREF _Toc486260849 \h </w:instrText>
          </w:r>
          <w:r w:rsidRPr="00341B41">
            <w:rPr>
              <w:noProof/>
            </w:rPr>
          </w:r>
          <w:r w:rsidRPr="00341B41">
            <w:rPr>
              <w:noProof/>
            </w:rPr>
            <w:fldChar w:fldCharType="separate"/>
          </w:r>
          <w:r w:rsidRPr="00341B41">
            <w:rPr>
              <w:noProof/>
            </w:rPr>
            <w:t>70</w:t>
          </w:r>
          <w:r w:rsidRPr="00341B41">
            <w:rPr>
              <w:noProof/>
            </w:rPr>
            <w:fldChar w:fldCharType="end"/>
          </w:r>
        </w:p>
        <w:p w14:paraId="341E04F8"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2.1.2.</w:t>
          </w:r>
          <w:r w:rsidRPr="00341B41">
            <w:rPr>
              <w:rFonts w:asciiTheme="minorHAnsi" w:eastAsiaTheme="minorEastAsia" w:hAnsiTheme="minorHAnsi"/>
              <w:noProof/>
              <w:sz w:val="24"/>
              <w:szCs w:val="24"/>
              <w:lang w:val="en-US"/>
            </w:rPr>
            <w:tab/>
          </w:r>
          <w:r w:rsidRPr="00341B41">
            <w:rPr>
              <w:noProof/>
            </w:rPr>
            <w:t>Designing a paradigm to elicit mu and beta sensorimotor oscillations</w:t>
          </w:r>
          <w:r w:rsidRPr="00341B41">
            <w:rPr>
              <w:noProof/>
            </w:rPr>
            <w:tab/>
          </w:r>
          <w:r w:rsidRPr="00341B41">
            <w:rPr>
              <w:noProof/>
            </w:rPr>
            <w:fldChar w:fldCharType="begin"/>
          </w:r>
          <w:r w:rsidRPr="00341B41">
            <w:rPr>
              <w:noProof/>
            </w:rPr>
            <w:instrText xml:space="preserve"> PAGEREF _Toc486260850 \h </w:instrText>
          </w:r>
          <w:r w:rsidRPr="00341B41">
            <w:rPr>
              <w:noProof/>
            </w:rPr>
          </w:r>
          <w:r w:rsidRPr="00341B41">
            <w:rPr>
              <w:noProof/>
            </w:rPr>
            <w:fldChar w:fldCharType="separate"/>
          </w:r>
          <w:r w:rsidRPr="00341B41">
            <w:rPr>
              <w:noProof/>
            </w:rPr>
            <w:t>72</w:t>
          </w:r>
          <w:r w:rsidRPr="00341B41">
            <w:rPr>
              <w:noProof/>
            </w:rPr>
            <w:fldChar w:fldCharType="end"/>
          </w:r>
        </w:p>
        <w:p w14:paraId="7EB17070"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2.1.3.</w:t>
          </w:r>
          <w:r w:rsidRPr="00341B41">
            <w:rPr>
              <w:rFonts w:asciiTheme="minorHAnsi" w:eastAsiaTheme="minorEastAsia" w:hAnsiTheme="minorHAnsi"/>
              <w:noProof/>
              <w:sz w:val="24"/>
              <w:szCs w:val="24"/>
              <w:lang w:val="en-US"/>
            </w:rPr>
            <w:tab/>
          </w:r>
          <w:r w:rsidRPr="00341B41">
            <w:rPr>
              <w:noProof/>
            </w:rPr>
            <w:t>The effect of opponent handedness on anticipation accuracy</w:t>
          </w:r>
          <w:r w:rsidRPr="00341B41">
            <w:rPr>
              <w:noProof/>
            </w:rPr>
            <w:tab/>
          </w:r>
          <w:r w:rsidRPr="00341B41">
            <w:rPr>
              <w:noProof/>
            </w:rPr>
            <w:fldChar w:fldCharType="begin"/>
          </w:r>
          <w:r w:rsidRPr="00341B41">
            <w:rPr>
              <w:noProof/>
            </w:rPr>
            <w:instrText xml:space="preserve"> PAGEREF _Toc486260851 \h </w:instrText>
          </w:r>
          <w:r w:rsidRPr="00341B41">
            <w:rPr>
              <w:noProof/>
            </w:rPr>
          </w:r>
          <w:r w:rsidRPr="00341B41">
            <w:rPr>
              <w:noProof/>
            </w:rPr>
            <w:fldChar w:fldCharType="separate"/>
          </w:r>
          <w:r w:rsidRPr="00341B41">
            <w:rPr>
              <w:noProof/>
            </w:rPr>
            <w:t>75</w:t>
          </w:r>
          <w:r w:rsidRPr="00341B41">
            <w:rPr>
              <w:noProof/>
            </w:rPr>
            <w:fldChar w:fldCharType="end"/>
          </w:r>
        </w:p>
        <w:p w14:paraId="78336A6D"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2.2.</w:t>
          </w:r>
          <w:r w:rsidRPr="00341B41">
            <w:rPr>
              <w:rFonts w:asciiTheme="minorHAnsi" w:eastAsiaTheme="minorEastAsia" w:hAnsiTheme="minorHAnsi"/>
              <w:bCs w:val="0"/>
              <w:noProof/>
              <w:sz w:val="24"/>
              <w:szCs w:val="24"/>
              <w:lang w:val="en-US"/>
            </w:rPr>
            <w:tab/>
          </w:r>
          <w:r w:rsidRPr="00341B41">
            <w:rPr>
              <w:noProof/>
            </w:rPr>
            <w:t>Experiment 1 – Method</w:t>
          </w:r>
          <w:r w:rsidRPr="00341B41">
            <w:rPr>
              <w:noProof/>
            </w:rPr>
            <w:tab/>
          </w:r>
          <w:r w:rsidRPr="00341B41">
            <w:rPr>
              <w:noProof/>
            </w:rPr>
            <w:fldChar w:fldCharType="begin"/>
          </w:r>
          <w:r w:rsidRPr="00341B41">
            <w:rPr>
              <w:noProof/>
            </w:rPr>
            <w:instrText xml:space="preserve"> PAGEREF _Toc486260852 \h </w:instrText>
          </w:r>
          <w:r w:rsidRPr="00341B41">
            <w:rPr>
              <w:noProof/>
            </w:rPr>
          </w:r>
          <w:r w:rsidRPr="00341B41">
            <w:rPr>
              <w:noProof/>
            </w:rPr>
            <w:fldChar w:fldCharType="separate"/>
          </w:r>
          <w:r w:rsidRPr="00341B41">
            <w:rPr>
              <w:noProof/>
            </w:rPr>
            <w:t>77</w:t>
          </w:r>
          <w:r w:rsidRPr="00341B41">
            <w:rPr>
              <w:noProof/>
            </w:rPr>
            <w:fldChar w:fldCharType="end"/>
          </w:r>
        </w:p>
        <w:p w14:paraId="6786CD9C"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2.2.1.</w:t>
          </w:r>
          <w:r w:rsidRPr="00341B41">
            <w:rPr>
              <w:rFonts w:asciiTheme="minorHAnsi" w:eastAsiaTheme="minorEastAsia" w:hAnsiTheme="minorHAnsi"/>
              <w:noProof/>
              <w:sz w:val="24"/>
              <w:szCs w:val="24"/>
              <w:lang w:val="en-US"/>
            </w:rPr>
            <w:tab/>
          </w:r>
          <w:r w:rsidRPr="00341B41">
            <w:rPr>
              <w:noProof/>
            </w:rPr>
            <w:t>Participants</w:t>
          </w:r>
          <w:r w:rsidRPr="00341B41">
            <w:rPr>
              <w:noProof/>
            </w:rPr>
            <w:tab/>
          </w:r>
          <w:r w:rsidRPr="00341B41">
            <w:rPr>
              <w:noProof/>
            </w:rPr>
            <w:fldChar w:fldCharType="begin"/>
          </w:r>
          <w:r w:rsidRPr="00341B41">
            <w:rPr>
              <w:noProof/>
            </w:rPr>
            <w:instrText xml:space="preserve"> PAGEREF _Toc486260853 \h </w:instrText>
          </w:r>
          <w:r w:rsidRPr="00341B41">
            <w:rPr>
              <w:noProof/>
            </w:rPr>
          </w:r>
          <w:r w:rsidRPr="00341B41">
            <w:rPr>
              <w:noProof/>
            </w:rPr>
            <w:fldChar w:fldCharType="separate"/>
          </w:r>
          <w:r w:rsidRPr="00341B41">
            <w:rPr>
              <w:noProof/>
            </w:rPr>
            <w:t>77</w:t>
          </w:r>
          <w:r w:rsidRPr="00341B41">
            <w:rPr>
              <w:noProof/>
            </w:rPr>
            <w:fldChar w:fldCharType="end"/>
          </w:r>
        </w:p>
        <w:p w14:paraId="398AB6CF"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2.2.2.</w:t>
          </w:r>
          <w:r w:rsidRPr="00341B41">
            <w:rPr>
              <w:rFonts w:asciiTheme="minorHAnsi" w:eastAsiaTheme="minorEastAsia" w:hAnsiTheme="minorHAnsi"/>
              <w:noProof/>
              <w:sz w:val="24"/>
              <w:szCs w:val="24"/>
              <w:lang w:val="en-US"/>
            </w:rPr>
            <w:tab/>
          </w:r>
          <w:r w:rsidRPr="00341B41">
            <w:rPr>
              <w:noProof/>
            </w:rPr>
            <w:t>Materials</w:t>
          </w:r>
          <w:r w:rsidRPr="00341B41">
            <w:rPr>
              <w:noProof/>
            </w:rPr>
            <w:tab/>
          </w:r>
          <w:r w:rsidRPr="00341B41">
            <w:rPr>
              <w:noProof/>
            </w:rPr>
            <w:fldChar w:fldCharType="begin"/>
          </w:r>
          <w:r w:rsidRPr="00341B41">
            <w:rPr>
              <w:noProof/>
            </w:rPr>
            <w:instrText xml:space="preserve"> PAGEREF _Toc486260854 \h </w:instrText>
          </w:r>
          <w:r w:rsidRPr="00341B41">
            <w:rPr>
              <w:noProof/>
            </w:rPr>
          </w:r>
          <w:r w:rsidRPr="00341B41">
            <w:rPr>
              <w:noProof/>
            </w:rPr>
            <w:fldChar w:fldCharType="separate"/>
          </w:r>
          <w:r w:rsidRPr="00341B41">
            <w:rPr>
              <w:noProof/>
            </w:rPr>
            <w:t>77</w:t>
          </w:r>
          <w:r w:rsidRPr="00341B41">
            <w:rPr>
              <w:noProof/>
            </w:rPr>
            <w:fldChar w:fldCharType="end"/>
          </w:r>
        </w:p>
        <w:p w14:paraId="1993F493"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2.2.3.</w:t>
          </w:r>
          <w:r w:rsidRPr="00341B41">
            <w:rPr>
              <w:rFonts w:asciiTheme="minorHAnsi" w:eastAsiaTheme="minorEastAsia" w:hAnsiTheme="minorHAnsi"/>
              <w:noProof/>
              <w:sz w:val="24"/>
              <w:szCs w:val="24"/>
              <w:lang w:val="en-US"/>
            </w:rPr>
            <w:tab/>
          </w:r>
          <w:r w:rsidRPr="00341B41">
            <w:rPr>
              <w:noProof/>
            </w:rPr>
            <w:t>Procedure</w:t>
          </w:r>
          <w:r w:rsidRPr="00341B41">
            <w:rPr>
              <w:noProof/>
            </w:rPr>
            <w:tab/>
          </w:r>
          <w:r w:rsidRPr="00341B41">
            <w:rPr>
              <w:noProof/>
            </w:rPr>
            <w:fldChar w:fldCharType="begin"/>
          </w:r>
          <w:r w:rsidRPr="00341B41">
            <w:rPr>
              <w:noProof/>
            </w:rPr>
            <w:instrText xml:space="preserve"> PAGEREF _Toc486260855 \h </w:instrText>
          </w:r>
          <w:r w:rsidRPr="00341B41">
            <w:rPr>
              <w:noProof/>
            </w:rPr>
          </w:r>
          <w:r w:rsidRPr="00341B41">
            <w:rPr>
              <w:noProof/>
            </w:rPr>
            <w:fldChar w:fldCharType="separate"/>
          </w:r>
          <w:r w:rsidRPr="00341B41">
            <w:rPr>
              <w:noProof/>
            </w:rPr>
            <w:t>80</w:t>
          </w:r>
          <w:r w:rsidRPr="00341B41">
            <w:rPr>
              <w:noProof/>
            </w:rPr>
            <w:fldChar w:fldCharType="end"/>
          </w:r>
        </w:p>
        <w:p w14:paraId="5C1A68EB"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2.3.</w:t>
          </w:r>
          <w:r w:rsidRPr="00341B41">
            <w:rPr>
              <w:rFonts w:asciiTheme="minorHAnsi" w:eastAsiaTheme="minorEastAsia" w:hAnsiTheme="minorHAnsi"/>
              <w:bCs w:val="0"/>
              <w:noProof/>
              <w:sz w:val="24"/>
              <w:szCs w:val="24"/>
              <w:lang w:val="en-US"/>
            </w:rPr>
            <w:tab/>
          </w:r>
          <w:r w:rsidRPr="00341B41">
            <w:rPr>
              <w:noProof/>
            </w:rPr>
            <w:t>Experiment 1 – Results</w:t>
          </w:r>
          <w:r w:rsidRPr="00341B41">
            <w:rPr>
              <w:noProof/>
            </w:rPr>
            <w:tab/>
          </w:r>
          <w:r w:rsidRPr="00341B41">
            <w:rPr>
              <w:noProof/>
            </w:rPr>
            <w:fldChar w:fldCharType="begin"/>
          </w:r>
          <w:r w:rsidRPr="00341B41">
            <w:rPr>
              <w:noProof/>
            </w:rPr>
            <w:instrText xml:space="preserve"> PAGEREF _Toc486260856 \h </w:instrText>
          </w:r>
          <w:r w:rsidRPr="00341B41">
            <w:rPr>
              <w:noProof/>
            </w:rPr>
          </w:r>
          <w:r w:rsidRPr="00341B41">
            <w:rPr>
              <w:noProof/>
            </w:rPr>
            <w:fldChar w:fldCharType="separate"/>
          </w:r>
          <w:r w:rsidRPr="00341B41">
            <w:rPr>
              <w:noProof/>
            </w:rPr>
            <w:t>81</w:t>
          </w:r>
          <w:r w:rsidRPr="00341B41">
            <w:rPr>
              <w:noProof/>
            </w:rPr>
            <w:fldChar w:fldCharType="end"/>
          </w:r>
        </w:p>
        <w:p w14:paraId="7C37DE14"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2.4.</w:t>
          </w:r>
          <w:r w:rsidRPr="00341B41">
            <w:rPr>
              <w:rFonts w:asciiTheme="minorHAnsi" w:eastAsiaTheme="minorEastAsia" w:hAnsiTheme="minorHAnsi"/>
              <w:bCs w:val="0"/>
              <w:noProof/>
              <w:sz w:val="24"/>
              <w:szCs w:val="24"/>
              <w:lang w:val="en-US"/>
            </w:rPr>
            <w:tab/>
          </w:r>
          <w:r w:rsidRPr="00341B41">
            <w:rPr>
              <w:noProof/>
            </w:rPr>
            <w:t>Experiment 1 – Discussion</w:t>
          </w:r>
          <w:r w:rsidRPr="00341B41">
            <w:rPr>
              <w:noProof/>
            </w:rPr>
            <w:tab/>
          </w:r>
          <w:r w:rsidRPr="00341B41">
            <w:rPr>
              <w:noProof/>
            </w:rPr>
            <w:fldChar w:fldCharType="begin"/>
          </w:r>
          <w:r w:rsidRPr="00341B41">
            <w:rPr>
              <w:noProof/>
            </w:rPr>
            <w:instrText xml:space="preserve"> PAGEREF _Toc486260857 \h </w:instrText>
          </w:r>
          <w:r w:rsidRPr="00341B41">
            <w:rPr>
              <w:noProof/>
            </w:rPr>
          </w:r>
          <w:r w:rsidRPr="00341B41">
            <w:rPr>
              <w:noProof/>
            </w:rPr>
            <w:fldChar w:fldCharType="separate"/>
          </w:r>
          <w:r w:rsidRPr="00341B41">
            <w:rPr>
              <w:noProof/>
            </w:rPr>
            <w:t>82</w:t>
          </w:r>
          <w:r w:rsidRPr="00341B41">
            <w:rPr>
              <w:noProof/>
            </w:rPr>
            <w:fldChar w:fldCharType="end"/>
          </w:r>
        </w:p>
        <w:p w14:paraId="064F95E3"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2.5.</w:t>
          </w:r>
          <w:r w:rsidRPr="00341B41">
            <w:rPr>
              <w:rFonts w:asciiTheme="minorHAnsi" w:eastAsiaTheme="minorEastAsia" w:hAnsiTheme="minorHAnsi"/>
              <w:bCs w:val="0"/>
              <w:noProof/>
              <w:sz w:val="24"/>
              <w:szCs w:val="24"/>
              <w:lang w:val="en-US"/>
            </w:rPr>
            <w:tab/>
          </w:r>
          <w:r w:rsidRPr="00341B41">
            <w:rPr>
              <w:noProof/>
            </w:rPr>
            <w:t>Experiment 2 – Method</w:t>
          </w:r>
          <w:r w:rsidRPr="00341B41">
            <w:rPr>
              <w:noProof/>
            </w:rPr>
            <w:tab/>
          </w:r>
          <w:r w:rsidRPr="00341B41">
            <w:rPr>
              <w:noProof/>
            </w:rPr>
            <w:fldChar w:fldCharType="begin"/>
          </w:r>
          <w:r w:rsidRPr="00341B41">
            <w:rPr>
              <w:noProof/>
            </w:rPr>
            <w:instrText xml:space="preserve"> PAGEREF _Toc486260858 \h </w:instrText>
          </w:r>
          <w:r w:rsidRPr="00341B41">
            <w:rPr>
              <w:noProof/>
            </w:rPr>
          </w:r>
          <w:r w:rsidRPr="00341B41">
            <w:rPr>
              <w:noProof/>
            </w:rPr>
            <w:fldChar w:fldCharType="separate"/>
          </w:r>
          <w:r w:rsidRPr="00341B41">
            <w:rPr>
              <w:noProof/>
            </w:rPr>
            <w:t>83</w:t>
          </w:r>
          <w:r w:rsidRPr="00341B41">
            <w:rPr>
              <w:noProof/>
            </w:rPr>
            <w:fldChar w:fldCharType="end"/>
          </w:r>
        </w:p>
        <w:p w14:paraId="3635D93E"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2.5.1.</w:t>
          </w:r>
          <w:r w:rsidRPr="00341B41">
            <w:rPr>
              <w:rFonts w:asciiTheme="minorHAnsi" w:eastAsiaTheme="minorEastAsia" w:hAnsiTheme="minorHAnsi"/>
              <w:noProof/>
              <w:sz w:val="24"/>
              <w:szCs w:val="24"/>
              <w:lang w:val="en-US"/>
            </w:rPr>
            <w:tab/>
          </w:r>
          <w:r w:rsidRPr="00341B41">
            <w:rPr>
              <w:noProof/>
            </w:rPr>
            <w:t>Participants</w:t>
          </w:r>
          <w:r w:rsidRPr="00341B41">
            <w:rPr>
              <w:noProof/>
            </w:rPr>
            <w:tab/>
          </w:r>
          <w:r w:rsidRPr="00341B41">
            <w:rPr>
              <w:noProof/>
            </w:rPr>
            <w:fldChar w:fldCharType="begin"/>
          </w:r>
          <w:r w:rsidRPr="00341B41">
            <w:rPr>
              <w:noProof/>
            </w:rPr>
            <w:instrText xml:space="preserve"> PAGEREF _Toc486260859 \h </w:instrText>
          </w:r>
          <w:r w:rsidRPr="00341B41">
            <w:rPr>
              <w:noProof/>
            </w:rPr>
          </w:r>
          <w:r w:rsidRPr="00341B41">
            <w:rPr>
              <w:noProof/>
            </w:rPr>
            <w:fldChar w:fldCharType="separate"/>
          </w:r>
          <w:r w:rsidRPr="00341B41">
            <w:rPr>
              <w:noProof/>
            </w:rPr>
            <w:t>83</w:t>
          </w:r>
          <w:r w:rsidRPr="00341B41">
            <w:rPr>
              <w:noProof/>
            </w:rPr>
            <w:fldChar w:fldCharType="end"/>
          </w:r>
        </w:p>
        <w:p w14:paraId="4ADBE6B4"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2.5.2.</w:t>
          </w:r>
          <w:r w:rsidRPr="00341B41">
            <w:rPr>
              <w:rFonts w:asciiTheme="minorHAnsi" w:eastAsiaTheme="minorEastAsia" w:hAnsiTheme="minorHAnsi"/>
              <w:noProof/>
              <w:sz w:val="24"/>
              <w:szCs w:val="24"/>
              <w:lang w:val="en-US"/>
            </w:rPr>
            <w:tab/>
          </w:r>
          <w:r w:rsidRPr="00341B41">
            <w:rPr>
              <w:noProof/>
            </w:rPr>
            <w:t>Materials</w:t>
          </w:r>
          <w:r w:rsidRPr="00341B41">
            <w:rPr>
              <w:noProof/>
            </w:rPr>
            <w:tab/>
          </w:r>
          <w:r w:rsidRPr="00341B41">
            <w:rPr>
              <w:noProof/>
            </w:rPr>
            <w:fldChar w:fldCharType="begin"/>
          </w:r>
          <w:r w:rsidRPr="00341B41">
            <w:rPr>
              <w:noProof/>
            </w:rPr>
            <w:instrText xml:space="preserve"> PAGEREF _Toc486260860 \h </w:instrText>
          </w:r>
          <w:r w:rsidRPr="00341B41">
            <w:rPr>
              <w:noProof/>
            </w:rPr>
          </w:r>
          <w:r w:rsidRPr="00341B41">
            <w:rPr>
              <w:noProof/>
            </w:rPr>
            <w:fldChar w:fldCharType="separate"/>
          </w:r>
          <w:r w:rsidRPr="00341B41">
            <w:rPr>
              <w:noProof/>
            </w:rPr>
            <w:t>84</w:t>
          </w:r>
          <w:r w:rsidRPr="00341B41">
            <w:rPr>
              <w:noProof/>
            </w:rPr>
            <w:fldChar w:fldCharType="end"/>
          </w:r>
        </w:p>
        <w:p w14:paraId="712E76A8"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2.5.3.</w:t>
          </w:r>
          <w:r w:rsidRPr="00341B41">
            <w:rPr>
              <w:rFonts w:asciiTheme="minorHAnsi" w:eastAsiaTheme="minorEastAsia" w:hAnsiTheme="minorHAnsi"/>
              <w:noProof/>
              <w:sz w:val="24"/>
              <w:szCs w:val="24"/>
              <w:lang w:val="en-US"/>
            </w:rPr>
            <w:tab/>
          </w:r>
          <w:r w:rsidRPr="00341B41">
            <w:rPr>
              <w:noProof/>
            </w:rPr>
            <w:t>Procedure</w:t>
          </w:r>
          <w:r w:rsidRPr="00341B41">
            <w:rPr>
              <w:noProof/>
            </w:rPr>
            <w:tab/>
          </w:r>
          <w:r w:rsidRPr="00341B41">
            <w:rPr>
              <w:noProof/>
            </w:rPr>
            <w:fldChar w:fldCharType="begin"/>
          </w:r>
          <w:r w:rsidRPr="00341B41">
            <w:rPr>
              <w:noProof/>
            </w:rPr>
            <w:instrText xml:space="preserve"> PAGEREF _Toc486260861 \h </w:instrText>
          </w:r>
          <w:r w:rsidRPr="00341B41">
            <w:rPr>
              <w:noProof/>
            </w:rPr>
          </w:r>
          <w:r w:rsidRPr="00341B41">
            <w:rPr>
              <w:noProof/>
            </w:rPr>
            <w:fldChar w:fldCharType="separate"/>
          </w:r>
          <w:r w:rsidRPr="00341B41">
            <w:rPr>
              <w:noProof/>
            </w:rPr>
            <w:t>85</w:t>
          </w:r>
          <w:r w:rsidRPr="00341B41">
            <w:rPr>
              <w:noProof/>
            </w:rPr>
            <w:fldChar w:fldCharType="end"/>
          </w:r>
        </w:p>
        <w:p w14:paraId="1E8B011F"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2.6.</w:t>
          </w:r>
          <w:r w:rsidRPr="00341B41">
            <w:rPr>
              <w:rFonts w:asciiTheme="minorHAnsi" w:eastAsiaTheme="minorEastAsia" w:hAnsiTheme="minorHAnsi"/>
              <w:bCs w:val="0"/>
              <w:noProof/>
              <w:sz w:val="24"/>
              <w:szCs w:val="24"/>
              <w:lang w:val="en-US"/>
            </w:rPr>
            <w:tab/>
          </w:r>
          <w:r w:rsidRPr="00341B41">
            <w:rPr>
              <w:noProof/>
            </w:rPr>
            <w:t>Experiment 2 – Results</w:t>
          </w:r>
          <w:r w:rsidRPr="00341B41">
            <w:rPr>
              <w:noProof/>
            </w:rPr>
            <w:tab/>
          </w:r>
          <w:r w:rsidRPr="00341B41">
            <w:rPr>
              <w:noProof/>
            </w:rPr>
            <w:fldChar w:fldCharType="begin"/>
          </w:r>
          <w:r w:rsidRPr="00341B41">
            <w:rPr>
              <w:noProof/>
            </w:rPr>
            <w:instrText xml:space="preserve"> PAGEREF _Toc486260862 \h </w:instrText>
          </w:r>
          <w:r w:rsidRPr="00341B41">
            <w:rPr>
              <w:noProof/>
            </w:rPr>
          </w:r>
          <w:r w:rsidRPr="00341B41">
            <w:rPr>
              <w:noProof/>
            </w:rPr>
            <w:fldChar w:fldCharType="separate"/>
          </w:r>
          <w:r w:rsidRPr="00341B41">
            <w:rPr>
              <w:noProof/>
            </w:rPr>
            <w:t>85</w:t>
          </w:r>
          <w:r w:rsidRPr="00341B41">
            <w:rPr>
              <w:noProof/>
            </w:rPr>
            <w:fldChar w:fldCharType="end"/>
          </w:r>
        </w:p>
        <w:p w14:paraId="55B6BFED"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2.7.</w:t>
          </w:r>
          <w:r w:rsidRPr="00341B41">
            <w:rPr>
              <w:rFonts w:asciiTheme="minorHAnsi" w:eastAsiaTheme="minorEastAsia" w:hAnsiTheme="minorHAnsi"/>
              <w:bCs w:val="0"/>
              <w:noProof/>
              <w:sz w:val="24"/>
              <w:szCs w:val="24"/>
              <w:lang w:val="en-US"/>
            </w:rPr>
            <w:tab/>
          </w:r>
          <w:r w:rsidRPr="00341B41">
            <w:rPr>
              <w:noProof/>
            </w:rPr>
            <w:t>Experiment 2 – Discussion</w:t>
          </w:r>
          <w:r w:rsidRPr="00341B41">
            <w:rPr>
              <w:noProof/>
            </w:rPr>
            <w:tab/>
          </w:r>
          <w:r w:rsidRPr="00341B41">
            <w:rPr>
              <w:noProof/>
            </w:rPr>
            <w:fldChar w:fldCharType="begin"/>
          </w:r>
          <w:r w:rsidRPr="00341B41">
            <w:rPr>
              <w:noProof/>
            </w:rPr>
            <w:instrText xml:space="preserve"> PAGEREF _Toc486260863 \h </w:instrText>
          </w:r>
          <w:r w:rsidRPr="00341B41">
            <w:rPr>
              <w:noProof/>
            </w:rPr>
          </w:r>
          <w:r w:rsidRPr="00341B41">
            <w:rPr>
              <w:noProof/>
            </w:rPr>
            <w:fldChar w:fldCharType="separate"/>
          </w:r>
          <w:r w:rsidRPr="00341B41">
            <w:rPr>
              <w:noProof/>
            </w:rPr>
            <w:t>88</w:t>
          </w:r>
          <w:r w:rsidRPr="00341B41">
            <w:rPr>
              <w:noProof/>
            </w:rPr>
            <w:fldChar w:fldCharType="end"/>
          </w:r>
        </w:p>
        <w:p w14:paraId="5EEDD3BE"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Chapter 3 – The role of cortical sensorimotor oscillations in action anticipation</w:t>
          </w:r>
          <w:r w:rsidRPr="00341B41">
            <w:rPr>
              <w:noProof/>
            </w:rPr>
            <w:tab/>
          </w:r>
          <w:r w:rsidRPr="00341B41">
            <w:rPr>
              <w:noProof/>
            </w:rPr>
            <w:fldChar w:fldCharType="begin"/>
          </w:r>
          <w:r w:rsidRPr="00341B41">
            <w:rPr>
              <w:noProof/>
            </w:rPr>
            <w:instrText xml:space="preserve"> PAGEREF _Toc486260864 \h </w:instrText>
          </w:r>
          <w:r w:rsidRPr="00341B41">
            <w:rPr>
              <w:noProof/>
            </w:rPr>
          </w:r>
          <w:r w:rsidRPr="00341B41">
            <w:rPr>
              <w:noProof/>
            </w:rPr>
            <w:fldChar w:fldCharType="separate"/>
          </w:r>
          <w:r w:rsidRPr="00341B41">
            <w:rPr>
              <w:noProof/>
            </w:rPr>
            <w:t>95</w:t>
          </w:r>
          <w:r w:rsidRPr="00341B41">
            <w:rPr>
              <w:noProof/>
            </w:rPr>
            <w:fldChar w:fldCharType="end"/>
          </w:r>
        </w:p>
        <w:p w14:paraId="64E10866"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3.1.</w:t>
          </w:r>
          <w:r w:rsidRPr="00341B41">
            <w:rPr>
              <w:rFonts w:asciiTheme="minorHAnsi" w:eastAsiaTheme="minorEastAsia" w:hAnsiTheme="minorHAnsi"/>
              <w:bCs w:val="0"/>
              <w:noProof/>
              <w:sz w:val="24"/>
              <w:szCs w:val="24"/>
              <w:lang w:val="en-US"/>
            </w:rPr>
            <w:tab/>
          </w:r>
          <w:r w:rsidRPr="00341B41">
            <w:rPr>
              <w:noProof/>
            </w:rPr>
            <w:t>Introduction</w:t>
          </w:r>
          <w:r w:rsidRPr="00341B41">
            <w:rPr>
              <w:noProof/>
            </w:rPr>
            <w:tab/>
          </w:r>
          <w:r w:rsidRPr="00341B41">
            <w:rPr>
              <w:noProof/>
            </w:rPr>
            <w:fldChar w:fldCharType="begin"/>
          </w:r>
          <w:r w:rsidRPr="00341B41">
            <w:rPr>
              <w:noProof/>
            </w:rPr>
            <w:instrText xml:space="preserve"> PAGEREF _Toc486260865 \h </w:instrText>
          </w:r>
          <w:r w:rsidRPr="00341B41">
            <w:rPr>
              <w:noProof/>
            </w:rPr>
          </w:r>
          <w:r w:rsidRPr="00341B41">
            <w:rPr>
              <w:noProof/>
            </w:rPr>
            <w:fldChar w:fldCharType="separate"/>
          </w:r>
          <w:r w:rsidRPr="00341B41">
            <w:rPr>
              <w:noProof/>
            </w:rPr>
            <w:t>95</w:t>
          </w:r>
          <w:r w:rsidRPr="00341B41">
            <w:rPr>
              <w:noProof/>
            </w:rPr>
            <w:fldChar w:fldCharType="end"/>
          </w:r>
        </w:p>
        <w:p w14:paraId="280C0BDF"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3.2.</w:t>
          </w:r>
          <w:r w:rsidRPr="00341B41">
            <w:rPr>
              <w:rFonts w:asciiTheme="minorHAnsi" w:eastAsiaTheme="minorEastAsia" w:hAnsiTheme="minorHAnsi"/>
              <w:bCs w:val="0"/>
              <w:noProof/>
              <w:sz w:val="24"/>
              <w:szCs w:val="24"/>
              <w:lang w:val="en-US"/>
            </w:rPr>
            <w:tab/>
          </w:r>
          <w:r w:rsidRPr="00341B41">
            <w:rPr>
              <w:noProof/>
            </w:rPr>
            <w:t>Experiment 3 – Method</w:t>
          </w:r>
          <w:r w:rsidRPr="00341B41">
            <w:rPr>
              <w:noProof/>
            </w:rPr>
            <w:tab/>
          </w:r>
          <w:r w:rsidRPr="00341B41">
            <w:rPr>
              <w:noProof/>
            </w:rPr>
            <w:fldChar w:fldCharType="begin"/>
          </w:r>
          <w:r w:rsidRPr="00341B41">
            <w:rPr>
              <w:noProof/>
            </w:rPr>
            <w:instrText xml:space="preserve"> PAGEREF _Toc486260866 \h </w:instrText>
          </w:r>
          <w:r w:rsidRPr="00341B41">
            <w:rPr>
              <w:noProof/>
            </w:rPr>
          </w:r>
          <w:r w:rsidRPr="00341B41">
            <w:rPr>
              <w:noProof/>
            </w:rPr>
            <w:fldChar w:fldCharType="separate"/>
          </w:r>
          <w:r w:rsidRPr="00341B41">
            <w:rPr>
              <w:noProof/>
            </w:rPr>
            <w:t>97</w:t>
          </w:r>
          <w:r w:rsidRPr="00341B41">
            <w:rPr>
              <w:noProof/>
            </w:rPr>
            <w:fldChar w:fldCharType="end"/>
          </w:r>
        </w:p>
        <w:p w14:paraId="7130232E"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3.2.1.</w:t>
          </w:r>
          <w:r w:rsidRPr="00341B41">
            <w:rPr>
              <w:rFonts w:asciiTheme="minorHAnsi" w:eastAsiaTheme="minorEastAsia" w:hAnsiTheme="minorHAnsi"/>
              <w:noProof/>
              <w:sz w:val="24"/>
              <w:szCs w:val="24"/>
              <w:lang w:val="en-US"/>
            </w:rPr>
            <w:tab/>
          </w:r>
          <w:r w:rsidRPr="00341B41">
            <w:rPr>
              <w:noProof/>
            </w:rPr>
            <w:t>Participants</w:t>
          </w:r>
          <w:r w:rsidRPr="00341B41">
            <w:rPr>
              <w:noProof/>
            </w:rPr>
            <w:tab/>
          </w:r>
          <w:r w:rsidRPr="00341B41">
            <w:rPr>
              <w:noProof/>
            </w:rPr>
            <w:fldChar w:fldCharType="begin"/>
          </w:r>
          <w:r w:rsidRPr="00341B41">
            <w:rPr>
              <w:noProof/>
            </w:rPr>
            <w:instrText xml:space="preserve"> PAGEREF _Toc486260867 \h </w:instrText>
          </w:r>
          <w:r w:rsidRPr="00341B41">
            <w:rPr>
              <w:noProof/>
            </w:rPr>
          </w:r>
          <w:r w:rsidRPr="00341B41">
            <w:rPr>
              <w:noProof/>
            </w:rPr>
            <w:fldChar w:fldCharType="separate"/>
          </w:r>
          <w:r w:rsidRPr="00341B41">
            <w:rPr>
              <w:noProof/>
            </w:rPr>
            <w:t>97</w:t>
          </w:r>
          <w:r w:rsidRPr="00341B41">
            <w:rPr>
              <w:noProof/>
            </w:rPr>
            <w:fldChar w:fldCharType="end"/>
          </w:r>
        </w:p>
        <w:p w14:paraId="5EC28C40"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3.2.2.</w:t>
          </w:r>
          <w:r w:rsidRPr="00341B41">
            <w:rPr>
              <w:rFonts w:asciiTheme="minorHAnsi" w:eastAsiaTheme="minorEastAsia" w:hAnsiTheme="minorHAnsi"/>
              <w:noProof/>
              <w:sz w:val="24"/>
              <w:szCs w:val="24"/>
              <w:lang w:val="en-US"/>
            </w:rPr>
            <w:tab/>
          </w:r>
          <w:r w:rsidRPr="00341B41">
            <w:rPr>
              <w:noProof/>
            </w:rPr>
            <w:t>Materials</w:t>
          </w:r>
          <w:r w:rsidRPr="00341B41">
            <w:rPr>
              <w:noProof/>
            </w:rPr>
            <w:tab/>
          </w:r>
          <w:r w:rsidRPr="00341B41">
            <w:rPr>
              <w:noProof/>
            </w:rPr>
            <w:fldChar w:fldCharType="begin"/>
          </w:r>
          <w:r w:rsidRPr="00341B41">
            <w:rPr>
              <w:noProof/>
            </w:rPr>
            <w:instrText xml:space="preserve"> PAGEREF _Toc486260868 \h </w:instrText>
          </w:r>
          <w:r w:rsidRPr="00341B41">
            <w:rPr>
              <w:noProof/>
            </w:rPr>
          </w:r>
          <w:r w:rsidRPr="00341B41">
            <w:rPr>
              <w:noProof/>
            </w:rPr>
            <w:fldChar w:fldCharType="separate"/>
          </w:r>
          <w:r w:rsidRPr="00341B41">
            <w:rPr>
              <w:noProof/>
            </w:rPr>
            <w:t>98</w:t>
          </w:r>
          <w:r w:rsidRPr="00341B41">
            <w:rPr>
              <w:noProof/>
            </w:rPr>
            <w:fldChar w:fldCharType="end"/>
          </w:r>
        </w:p>
        <w:p w14:paraId="688B6CDB"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3.2.3.</w:t>
          </w:r>
          <w:r w:rsidRPr="00341B41">
            <w:rPr>
              <w:rFonts w:asciiTheme="minorHAnsi" w:eastAsiaTheme="minorEastAsia" w:hAnsiTheme="minorHAnsi"/>
              <w:noProof/>
              <w:sz w:val="24"/>
              <w:szCs w:val="24"/>
              <w:lang w:val="en-US"/>
            </w:rPr>
            <w:tab/>
          </w:r>
          <w:r w:rsidRPr="00341B41">
            <w:rPr>
              <w:noProof/>
            </w:rPr>
            <w:t>Procedure</w:t>
          </w:r>
          <w:r w:rsidRPr="00341B41">
            <w:rPr>
              <w:noProof/>
            </w:rPr>
            <w:tab/>
          </w:r>
          <w:r w:rsidRPr="00341B41">
            <w:rPr>
              <w:noProof/>
            </w:rPr>
            <w:fldChar w:fldCharType="begin"/>
          </w:r>
          <w:r w:rsidRPr="00341B41">
            <w:rPr>
              <w:noProof/>
            </w:rPr>
            <w:instrText xml:space="preserve"> PAGEREF _Toc486260869 \h </w:instrText>
          </w:r>
          <w:r w:rsidRPr="00341B41">
            <w:rPr>
              <w:noProof/>
            </w:rPr>
          </w:r>
          <w:r w:rsidRPr="00341B41">
            <w:rPr>
              <w:noProof/>
            </w:rPr>
            <w:fldChar w:fldCharType="separate"/>
          </w:r>
          <w:r w:rsidRPr="00341B41">
            <w:rPr>
              <w:noProof/>
            </w:rPr>
            <w:t>98</w:t>
          </w:r>
          <w:r w:rsidRPr="00341B41">
            <w:rPr>
              <w:noProof/>
            </w:rPr>
            <w:fldChar w:fldCharType="end"/>
          </w:r>
        </w:p>
        <w:p w14:paraId="47DC0631"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3.2.4.</w:t>
          </w:r>
          <w:r w:rsidRPr="00341B41">
            <w:rPr>
              <w:rFonts w:asciiTheme="minorHAnsi" w:eastAsiaTheme="minorEastAsia" w:hAnsiTheme="minorHAnsi"/>
              <w:noProof/>
              <w:sz w:val="24"/>
              <w:szCs w:val="24"/>
              <w:lang w:val="en-US"/>
            </w:rPr>
            <w:tab/>
          </w:r>
          <w:r w:rsidRPr="00341B41">
            <w:rPr>
              <w:noProof/>
            </w:rPr>
            <w:t>EEG data acquisition</w:t>
          </w:r>
          <w:r w:rsidRPr="00341B41">
            <w:rPr>
              <w:noProof/>
            </w:rPr>
            <w:tab/>
          </w:r>
          <w:r w:rsidRPr="00341B41">
            <w:rPr>
              <w:noProof/>
            </w:rPr>
            <w:fldChar w:fldCharType="begin"/>
          </w:r>
          <w:r w:rsidRPr="00341B41">
            <w:rPr>
              <w:noProof/>
            </w:rPr>
            <w:instrText xml:space="preserve"> PAGEREF _Toc486260870 \h </w:instrText>
          </w:r>
          <w:r w:rsidRPr="00341B41">
            <w:rPr>
              <w:noProof/>
            </w:rPr>
          </w:r>
          <w:r w:rsidRPr="00341B41">
            <w:rPr>
              <w:noProof/>
            </w:rPr>
            <w:fldChar w:fldCharType="separate"/>
          </w:r>
          <w:r w:rsidRPr="00341B41">
            <w:rPr>
              <w:noProof/>
            </w:rPr>
            <w:t>98</w:t>
          </w:r>
          <w:r w:rsidRPr="00341B41">
            <w:rPr>
              <w:noProof/>
            </w:rPr>
            <w:fldChar w:fldCharType="end"/>
          </w:r>
        </w:p>
        <w:p w14:paraId="5EE6709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3.2.5.</w:t>
          </w:r>
          <w:r w:rsidRPr="00341B41">
            <w:rPr>
              <w:rFonts w:asciiTheme="minorHAnsi" w:eastAsiaTheme="minorEastAsia" w:hAnsiTheme="minorHAnsi"/>
              <w:noProof/>
              <w:sz w:val="24"/>
              <w:szCs w:val="24"/>
              <w:lang w:val="en-US"/>
            </w:rPr>
            <w:tab/>
          </w:r>
          <w:r w:rsidRPr="00341B41">
            <w:rPr>
              <w:noProof/>
            </w:rPr>
            <w:t>EEG pre-processing</w:t>
          </w:r>
          <w:r w:rsidRPr="00341B41">
            <w:rPr>
              <w:noProof/>
            </w:rPr>
            <w:tab/>
          </w:r>
          <w:r w:rsidRPr="00341B41">
            <w:rPr>
              <w:noProof/>
            </w:rPr>
            <w:fldChar w:fldCharType="begin"/>
          </w:r>
          <w:r w:rsidRPr="00341B41">
            <w:rPr>
              <w:noProof/>
            </w:rPr>
            <w:instrText xml:space="preserve"> PAGEREF _Toc486260871 \h </w:instrText>
          </w:r>
          <w:r w:rsidRPr="00341B41">
            <w:rPr>
              <w:noProof/>
            </w:rPr>
          </w:r>
          <w:r w:rsidRPr="00341B41">
            <w:rPr>
              <w:noProof/>
            </w:rPr>
            <w:fldChar w:fldCharType="separate"/>
          </w:r>
          <w:r w:rsidRPr="00341B41">
            <w:rPr>
              <w:noProof/>
            </w:rPr>
            <w:t>99</w:t>
          </w:r>
          <w:r w:rsidRPr="00341B41">
            <w:rPr>
              <w:noProof/>
            </w:rPr>
            <w:fldChar w:fldCharType="end"/>
          </w:r>
        </w:p>
        <w:p w14:paraId="49798B06"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3.2.6.</w:t>
          </w:r>
          <w:r w:rsidRPr="00341B41">
            <w:rPr>
              <w:rFonts w:asciiTheme="minorHAnsi" w:eastAsiaTheme="minorEastAsia" w:hAnsiTheme="minorHAnsi"/>
              <w:noProof/>
              <w:sz w:val="24"/>
              <w:szCs w:val="24"/>
              <w:lang w:val="en-US"/>
            </w:rPr>
            <w:tab/>
          </w:r>
          <w:r w:rsidRPr="00341B41">
            <w:rPr>
              <w:noProof/>
            </w:rPr>
            <w:t>EEG data analysis</w:t>
          </w:r>
          <w:r w:rsidRPr="00341B41">
            <w:rPr>
              <w:noProof/>
            </w:rPr>
            <w:tab/>
          </w:r>
          <w:r w:rsidRPr="00341B41">
            <w:rPr>
              <w:noProof/>
            </w:rPr>
            <w:fldChar w:fldCharType="begin"/>
          </w:r>
          <w:r w:rsidRPr="00341B41">
            <w:rPr>
              <w:noProof/>
            </w:rPr>
            <w:instrText xml:space="preserve"> PAGEREF _Toc486260872 \h </w:instrText>
          </w:r>
          <w:r w:rsidRPr="00341B41">
            <w:rPr>
              <w:noProof/>
            </w:rPr>
          </w:r>
          <w:r w:rsidRPr="00341B41">
            <w:rPr>
              <w:noProof/>
            </w:rPr>
            <w:fldChar w:fldCharType="separate"/>
          </w:r>
          <w:r w:rsidRPr="00341B41">
            <w:rPr>
              <w:noProof/>
            </w:rPr>
            <w:t>100</w:t>
          </w:r>
          <w:r w:rsidRPr="00341B41">
            <w:rPr>
              <w:noProof/>
            </w:rPr>
            <w:fldChar w:fldCharType="end"/>
          </w:r>
        </w:p>
        <w:p w14:paraId="56D733EE"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3.2.7.</w:t>
          </w:r>
          <w:r w:rsidRPr="00341B41">
            <w:rPr>
              <w:rFonts w:asciiTheme="minorHAnsi" w:eastAsiaTheme="minorEastAsia" w:hAnsiTheme="minorHAnsi"/>
              <w:noProof/>
              <w:sz w:val="24"/>
              <w:szCs w:val="24"/>
              <w:lang w:val="en-US"/>
            </w:rPr>
            <w:tab/>
          </w:r>
          <w:r w:rsidRPr="00341B41">
            <w:rPr>
              <w:noProof/>
            </w:rPr>
            <w:t>Statistical analysis</w:t>
          </w:r>
          <w:r w:rsidRPr="00341B41">
            <w:rPr>
              <w:noProof/>
            </w:rPr>
            <w:tab/>
          </w:r>
          <w:r w:rsidRPr="00341B41">
            <w:rPr>
              <w:noProof/>
            </w:rPr>
            <w:fldChar w:fldCharType="begin"/>
          </w:r>
          <w:r w:rsidRPr="00341B41">
            <w:rPr>
              <w:noProof/>
            </w:rPr>
            <w:instrText xml:space="preserve"> PAGEREF _Toc486260873 \h </w:instrText>
          </w:r>
          <w:r w:rsidRPr="00341B41">
            <w:rPr>
              <w:noProof/>
            </w:rPr>
          </w:r>
          <w:r w:rsidRPr="00341B41">
            <w:rPr>
              <w:noProof/>
            </w:rPr>
            <w:fldChar w:fldCharType="separate"/>
          </w:r>
          <w:r w:rsidRPr="00341B41">
            <w:rPr>
              <w:noProof/>
            </w:rPr>
            <w:t>102</w:t>
          </w:r>
          <w:r w:rsidRPr="00341B41">
            <w:rPr>
              <w:noProof/>
            </w:rPr>
            <w:fldChar w:fldCharType="end"/>
          </w:r>
        </w:p>
        <w:p w14:paraId="18F007A2"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3.3.</w:t>
          </w:r>
          <w:r w:rsidRPr="00341B41">
            <w:rPr>
              <w:rFonts w:asciiTheme="minorHAnsi" w:eastAsiaTheme="minorEastAsia" w:hAnsiTheme="minorHAnsi"/>
              <w:bCs w:val="0"/>
              <w:noProof/>
              <w:sz w:val="24"/>
              <w:szCs w:val="24"/>
              <w:lang w:val="en-US"/>
            </w:rPr>
            <w:tab/>
          </w:r>
          <w:r w:rsidRPr="00341B41">
            <w:rPr>
              <w:noProof/>
            </w:rPr>
            <w:t>Experiment 3 – Results</w:t>
          </w:r>
          <w:r w:rsidRPr="00341B41">
            <w:rPr>
              <w:noProof/>
            </w:rPr>
            <w:tab/>
          </w:r>
          <w:r w:rsidRPr="00341B41">
            <w:rPr>
              <w:noProof/>
            </w:rPr>
            <w:fldChar w:fldCharType="begin"/>
          </w:r>
          <w:r w:rsidRPr="00341B41">
            <w:rPr>
              <w:noProof/>
            </w:rPr>
            <w:instrText xml:space="preserve"> PAGEREF _Toc486260874 \h </w:instrText>
          </w:r>
          <w:r w:rsidRPr="00341B41">
            <w:rPr>
              <w:noProof/>
            </w:rPr>
          </w:r>
          <w:r w:rsidRPr="00341B41">
            <w:rPr>
              <w:noProof/>
            </w:rPr>
            <w:fldChar w:fldCharType="separate"/>
          </w:r>
          <w:r w:rsidRPr="00341B41">
            <w:rPr>
              <w:noProof/>
            </w:rPr>
            <w:t>103</w:t>
          </w:r>
          <w:r w:rsidRPr="00341B41">
            <w:rPr>
              <w:noProof/>
            </w:rPr>
            <w:fldChar w:fldCharType="end"/>
          </w:r>
        </w:p>
        <w:p w14:paraId="4B6180FB"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3.3.1.</w:t>
          </w:r>
          <w:r w:rsidRPr="00341B41">
            <w:rPr>
              <w:rFonts w:asciiTheme="minorHAnsi" w:eastAsiaTheme="minorEastAsia" w:hAnsiTheme="minorHAnsi"/>
              <w:noProof/>
              <w:sz w:val="24"/>
              <w:szCs w:val="24"/>
              <w:lang w:val="en-US"/>
            </w:rPr>
            <w:tab/>
          </w:r>
          <w:r w:rsidRPr="00341B41">
            <w:rPr>
              <w:noProof/>
            </w:rPr>
            <w:t>Behavioural results</w:t>
          </w:r>
          <w:r w:rsidRPr="00341B41">
            <w:rPr>
              <w:noProof/>
            </w:rPr>
            <w:tab/>
          </w:r>
          <w:r w:rsidRPr="00341B41">
            <w:rPr>
              <w:noProof/>
            </w:rPr>
            <w:fldChar w:fldCharType="begin"/>
          </w:r>
          <w:r w:rsidRPr="00341B41">
            <w:rPr>
              <w:noProof/>
            </w:rPr>
            <w:instrText xml:space="preserve"> PAGEREF _Toc486260875 \h </w:instrText>
          </w:r>
          <w:r w:rsidRPr="00341B41">
            <w:rPr>
              <w:noProof/>
            </w:rPr>
          </w:r>
          <w:r w:rsidRPr="00341B41">
            <w:rPr>
              <w:noProof/>
            </w:rPr>
            <w:fldChar w:fldCharType="separate"/>
          </w:r>
          <w:r w:rsidRPr="00341B41">
            <w:rPr>
              <w:noProof/>
            </w:rPr>
            <w:t>103</w:t>
          </w:r>
          <w:r w:rsidRPr="00341B41">
            <w:rPr>
              <w:noProof/>
            </w:rPr>
            <w:fldChar w:fldCharType="end"/>
          </w:r>
        </w:p>
        <w:p w14:paraId="769E00AF"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3.3.2.</w:t>
          </w:r>
          <w:r w:rsidRPr="00341B41">
            <w:rPr>
              <w:rFonts w:asciiTheme="minorHAnsi" w:eastAsiaTheme="minorEastAsia" w:hAnsiTheme="minorHAnsi"/>
              <w:noProof/>
              <w:sz w:val="24"/>
              <w:szCs w:val="24"/>
              <w:lang w:val="en-US"/>
            </w:rPr>
            <w:tab/>
          </w:r>
          <w:r w:rsidRPr="00341B41">
            <w:rPr>
              <w:noProof/>
            </w:rPr>
            <w:t>EEG results</w:t>
          </w:r>
          <w:r w:rsidRPr="00341B41">
            <w:rPr>
              <w:noProof/>
            </w:rPr>
            <w:tab/>
          </w:r>
          <w:r w:rsidRPr="00341B41">
            <w:rPr>
              <w:noProof/>
            </w:rPr>
            <w:fldChar w:fldCharType="begin"/>
          </w:r>
          <w:r w:rsidRPr="00341B41">
            <w:rPr>
              <w:noProof/>
            </w:rPr>
            <w:instrText xml:space="preserve"> PAGEREF _Toc486260876 \h </w:instrText>
          </w:r>
          <w:r w:rsidRPr="00341B41">
            <w:rPr>
              <w:noProof/>
            </w:rPr>
          </w:r>
          <w:r w:rsidRPr="00341B41">
            <w:rPr>
              <w:noProof/>
            </w:rPr>
            <w:fldChar w:fldCharType="separate"/>
          </w:r>
          <w:r w:rsidRPr="00341B41">
            <w:rPr>
              <w:noProof/>
            </w:rPr>
            <w:t>103</w:t>
          </w:r>
          <w:r w:rsidRPr="00341B41">
            <w:rPr>
              <w:noProof/>
            </w:rPr>
            <w:fldChar w:fldCharType="end"/>
          </w:r>
        </w:p>
        <w:p w14:paraId="268D422C"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3.4.</w:t>
          </w:r>
          <w:r w:rsidRPr="00341B41">
            <w:rPr>
              <w:rFonts w:asciiTheme="minorHAnsi" w:eastAsiaTheme="minorEastAsia" w:hAnsiTheme="minorHAnsi"/>
              <w:bCs w:val="0"/>
              <w:noProof/>
              <w:sz w:val="24"/>
              <w:szCs w:val="24"/>
              <w:lang w:val="en-US"/>
            </w:rPr>
            <w:tab/>
          </w:r>
          <w:r w:rsidRPr="00341B41">
            <w:rPr>
              <w:noProof/>
            </w:rPr>
            <w:t>Discussion</w:t>
          </w:r>
          <w:r w:rsidRPr="00341B41">
            <w:rPr>
              <w:noProof/>
            </w:rPr>
            <w:tab/>
          </w:r>
          <w:r w:rsidRPr="00341B41">
            <w:rPr>
              <w:noProof/>
            </w:rPr>
            <w:fldChar w:fldCharType="begin"/>
          </w:r>
          <w:r w:rsidRPr="00341B41">
            <w:rPr>
              <w:noProof/>
            </w:rPr>
            <w:instrText xml:space="preserve"> PAGEREF _Toc486260877 \h </w:instrText>
          </w:r>
          <w:r w:rsidRPr="00341B41">
            <w:rPr>
              <w:noProof/>
            </w:rPr>
          </w:r>
          <w:r w:rsidRPr="00341B41">
            <w:rPr>
              <w:noProof/>
            </w:rPr>
            <w:fldChar w:fldCharType="separate"/>
          </w:r>
          <w:r w:rsidRPr="00341B41">
            <w:rPr>
              <w:noProof/>
            </w:rPr>
            <w:t>110</w:t>
          </w:r>
          <w:r w:rsidRPr="00341B41">
            <w:rPr>
              <w:noProof/>
            </w:rPr>
            <w:fldChar w:fldCharType="end"/>
          </w:r>
        </w:p>
        <w:p w14:paraId="14304A8F"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lastRenderedPageBreak/>
            <w:t>Chapter 4 – Using independent component analysis to assess the ongoing brain dynamics during action observation and anticipation</w:t>
          </w:r>
          <w:r w:rsidRPr="00341B41">
            <w:rPr>
              <w:noProof/>
            </w:rPr>
            <w:tab/>
          </w:r>
          <w:r w:rsidRPr="00341B41">
            <w:rPr>
              <w:noProof/>
            </w:rPr>
            <w:fldChar w:fldCharType="begin"/>
          </w:r>
          <w:r w:rsidRPr="00341B41">
            <w:rPr>
              <w:noProof/>
            </w:rPr>
            <w:instrText xml:space="preserve"> PAGEREF _Toc486260878 \h </w:instrText>
          </w:r>
          <w:r w:rsidRPr="00341B41">
            <w:rPr>
              <w:noProof/>
            </w:rPr>
          </w:r>
          <w:r w:rsidRPr="00341B41">
            <w:rPr>
              <w:noProof/>
            </w:rPr>
            <w:fldChar w:fldCharType="separate"/>
          </w:r>
          <w:r w:rsidRPr="00341B41">
            <w:rPr>
              <w:noProof/>
            </w:rPr>
            <w:t>115</w:t>
          </w:r>
          <w:r w:rsidRPr="00341B41">
            <w:rPr>
              <w:noProof/>
            </w:rPr>
            <w:fldChar w:fldCharType="end"/>
          </w:r>
        </w:p>
        <w:p w14:paraId="1BA908BF"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4.1.</w:t>
          </w:r>
          <w:r w:rsidRPr="00341B41">
            <w:rPr>
              <w:rFonts w:asciiTheme="minorHAnsi" w:eastAsiaTheme="minorEastAsia" w:hAnsiTheme="minorHAnsi"/>
              <w:bCs w:val="0"/>
              <w:noProof/>
              <w:sz w:val="24"/>
              <w:szCs w:val="24"/>
              <w:lang w:val="en-US"/>
            </w:rPr>
            <w:tab/>
          </w:r>
          <w:r w:rsidRPr="00341B41">
            <w:rPr>
              <w:noProof/>
            </w:rPr>
            <w:t>Introduction</w:t>
          </w:r>
          <w:r w:rsidRPr="00341B41">
            <w:rPr>
              <w:noProof/>
            </w:rPr>
            <w:tab/>
          </w:r>
          <w:r w:rsidRPr="00341B41">
            <w:rPr>
              <w:noProof/>
            </w:rPr>
            <w:fldChar w:fldCharType="begin"/>
          </w:r>
          <w:r w:rsidRPr="00341B41">
            <w:rPr>
              <w:noProof/>
            </w:rPr>
            <w:instrText xml:space="preserve"> PAGEREF _Toc486260879 \h </w:instrText>
          </w:r>
          <w:r w:rsidRPr="00341B41">
            <w:rPr>
              <w:noProof/>
            </w:rPr>
          </w:r>
          <w:r w:rsidRPr="00341B41">
            <w:rPr>
              <w:noProof/>
            </w:rPr>
            <w:fldChar w:fldCharType="separate"/>
          </w:r>
          <w:r w:rsidRPr="00341B41">
            <w:rPr>
              <w:noProof/>
            </w:rPr>
            <w:t>115</w:t>
          </w:r>
          <w:r w:rsidRPr="00341B41">
            <w:rPr>
              <w:noProof/>
            </w:rPr>
            <w:fldChar w:fldCharType="end"/>
          </w:r>
        </w:p>
        <w:p w14:paraId="3EC15516"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4.2.</w:t>
          </w:r>
          <w:r w:rsidRPr="00341B41">
            <w:rPr>
              <w:rFonts w:asciiTheme="minorHAnsi" w:eastAsiaTheme="minorEastAsia" w:hAnsiTheme="minorHAnsi"/>
              <w:bCs w:val="0"/>
              <w:noProof/>
              <w:sz w:val="24"/>
              <w:szCs w:val="24"/>
              <w:lang w:val="en-US"/>
            </w:rPr>
            <w:tab/>
          </w:r>
          <w:r w:rsidRPr="00341B41">
            <w:rPr>
              <w:noProof/>
            </w:rPr>
            <w:t>Method</w:t>
          </w:r>
          <w:r w:rsidRPr="00341B41">
            <w:rPr>
              <w:noProof/>
            </w:rPr>
            <w:tab/>
          </w:r>
          <w:r w:rsidRPr="00341B41">
            <w:rPr>
              <w:noProof/>
            </w:rPr>
            <w:fldChar w:fldCharType="begin"/>
          </w:r>
          <w:r w:rsidRPr="00341B41">
            <w:rPr>
              <w:noProof/>
            </w:rPr>
            <w:instrText xml:space="preserve"> PAGEREF _Toc486260880 \h </w:instrText>
          </w:r>
          <w:r w:rsidRPr="00341B41">
            <w:rPr>
              <w:noProof/>
            </w:rPr>
          </w:r>
          <w:r w:rsidRPr="00341B41">
            <w:rPr>
              <w:noProof/>
            </w:rPr>
            <w:fldChar w:fldCharType="separate"/>
          </w:r>
          <w:r w:rsidRPr="00341B41">
            <w:rPr>
              <w:noProof/>
            </w:rPr>
            <w:t>121</w:t>
          </w:r>
          <w:r w:rsidRPr="00341B41">
            <w:rPr>
              <w:noProof/>
            </w:rPr>
            <w:fldChar w:fldCharType="end"/>
          </w:r>
        </w:p>
        <w:p w14:paraId="19EA14B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4.2.1.</w:t>
          </w:r>
          <w:r w:rsidRPr="00341B41">
            <w:rPr>
              <w:rFonts w:asciiTheme="minorHAnsi" w:eastAsiaTheme="minorEastAsia" w:hAnsiTheme="minorHAnsi"/>
              <w:noProof/>
              <w:sz w:val="24"/>
              <w:szCs w:val="24"/>
              <w:lang w:val="en-US"/>
            </w:rPr>
            <w:tab/>
          </w:r>
          <w:r w:rsidRPr="00341B41">
            <w:rPr>
              <w:noProof/>
            </w:rPr>
            <w:t>Independent component analysis</w:t>
          </w:r>
          <w:r w:rsidRPr="00341B41">
            <w:rPr>
              <w:noProof/>
            </w:rPr>
            <w:tab/>
          </w:r>
          <w:r w:rsidRPr="00341B41">
            <w:rPr>
              <w:noProof/>
            </w:rPr>
            <w:fldChar w:fldCharType="begin"/>
          </w:r>
          <w:r w:rsidRPr="00341B41">
            <w:rPr>
              <w:noProof/>
            </w:rPr>
            <w:instrText xml:space="preserve"> PAGEREF _Toc486260881 \h </w:instrText>
          </w:r>
          <w:r w:rsidRPr="00341B41">
            <w:rPr>
              <w:noProof/>
            </w:rPr>
          </w:r>
          <w:r w:rsidRPr="00341B41">
            <w:rPr>
              <w:noProof/>
            </w:rPr>
            <w:fldChar w:fldCharType="separate"/>
          </w:r>
          <w:r w:rsidRPr="00341B41">
            <w:rPr>
              <w:noProof/>
            </w:rPr>
            <w:t>121</w:t>
          </w:r>
          <w:r w:rsidRPr="00341B41">
            <w:rPr>
              <w:noProof/>
            </w:rPr>
            <w:fldChar w:fldCharType="end"/>
          </w:r>
        </w:p>
        <w:p w14:paraId="4428B320"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4.2.2.</w:t>
          </w:r>
          <w:r w:rsidRPr="00341B41">
            <w:rPr>
              <w:rFonts w:asciiTheme="minorHAnsi" w:eastAsiaTheme="minorEastAsia" w:hAnsiTheme="minorHAnsi"/>
              <w:noProof/>
              <w:sz w:val="24"/>
              <w:szCs w:val="24"/>
              <w:lang w:val="en-US"/>
            </w:rPr>
            <w:tab/>
          </w:r>
          <w:r w:rsidRPr="00341B41">
            <w:rPr>
              <w:noProof/>
            </w:rPr>
            <w:t>EEG data analysis</w:t>
          </w:r>
          <w:r w:rsidRPr="00341B41">
            <w:rPr>
              <w:noProof/>
            </w:rPr>
            <w:tab/>
          </w:r>
          <w:r w:rsidRPr="00341B41">
            <w:rPr>
              <w:noProof/>
            </w:rPr>
            <w:fldChar w:fldCharType="begin"/>
          </w:r>
          <w:r w:rsidRPr="00341B41">
            <w:rPr>
              <w:noProof/>
            </w:rPr>
            <w:instrText xml:space="preserve"> PAGEREF _Toc486260882 \h </w:instrText>
          </w:r>
          <w:r w:rsidRPr="00341B41">
            <w:rPr>
              <w:noProof/>
            </w:rPr>
          </w:r>
          <w:r w:rsidRPr="00341B41">
            <w:rPr>
              <w:noProof/>
            </w:rPr>
            <w:fldChar w:fldCharType="separate"/>
          </w:r>
          <w:r w:rsidRPr="00341B41">
            <w:rPr>
              <w:noProof/>
            </w:rPr>
            <w:t>122</w:t>
          </w:r>
          <w:r w:rsidRPr="00341B41">
            <w:rPr>
              <w:noProof/>
            </w:rPr>
            <w:fldChar w:fldCharType="end"/>
          </w:r>
        </w:p>
        <w:p w14:paraId="686CB0E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4.2.3.</w:t>
          </w:r>
          <w:r w:rsidRPr="00341B41">
            <w:rPr>
              <w:rFonts w:asciiTheme="minorHAnsi" w:eastAsiaTheme="minorEastAsia" w:hAnsiTheme="minorHAnsi"/>
              <w:noProof/>
              <w:sz w:val="24"/>
              <w:szCs w:val="24"/>
              <w:lang w:val="en-US"/>
            </w:rPr>
            <w:tab/>
          </w:r>
          <w:r w:rsidRPr="00341B41">
            <w:rPr>
              <w:noProof/>
            </w:rPr>
            <w:t>Statistical analysis</w:t>
          </w:r>
          <w:r w:rsidRPr="00341B41">
            <w:rPr>
              <w:noProof/>
            </w:rPr>
            <w:tab/>
          </w:r>
          <w:r w:rsidRPr="00341B41">
            <w:rPr>
              <w:noProof/>
            </w:rPr>
            <w:fldChar w:fldCharType="begin"/>
          </w:r>
          <w:r w:rsidRPr="00341B41">
            <w:rPr>
              <w:noProof/>
            </w:rPr>
            <w:instrText xml:space="preserve"> PAGEREF _Toc486260883 \h </w:instrText>
          </w:r>
          <w:r w:rsidRPr="00341B41">
            <w:rPr>
              <w:noProof/>
            </w:rPr>
          </w:r>
          <w:r w:rsidRPr="00341B41">
            <w:rPr>
              <w:noProof/>
            </w:rPr>
            <w:fldChar w:fldCharType="separate"/>
          </w:r>
          <w:r w:rsidRPr="00341B41">
            <w:rPr>
              <w:noProof/>
            </w:rPr>
            <w:t>122</w:t>
          </w:r>
          <w:r w:rsidRPr="00341B41">
            <w:rPr>
              <w:noProof/>
            </w:rPr>
            <w:fldChar w:fldCharType="end"/>
          </w:r>
        </w:p>
        <w:p w14:paraId="2CCABB46"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4.3.</w:t>
          </w:r>
          <w:r w:rsidRPr="00341B41">
            <w:rPr>
              <w:rFonts w:asciiTheme="minorHAnsi" w:eastAsiaTheme="minorEastAsia" w:hAnsiTheme="minorHAnsi"/>
              <w:bCs w:val="0"/>
              <w:noProof/>
              <w:sz w:val="24"/>
              <w:szCs w:val="24"/>
              <w:lang w:val="en-US"/>
            </w:rPr>
            <w:tab/>
          </w:r>
          <w:r w:rsidRPr="00341B41">
            <w:rPr>
              <w:noProof/>
            </w:rPr>
            <w:t>Results</w:t>
          </w:r>
          <w:r w:rsidRPr="00341B41">
            <w:rPr>
              <w:noProof/>
            </w:rPr>
            <w:tab/>
          </w:r>
          <w:r w:rsidRPr="00341B41">
            <w:rPr>
              <w:noProof/>
            </w:rPr>
            <w:fldChar w:fldCharType="begin"/>
          </w:r>
          <w:r w:rsidRPr="00341B41">
            <w:rPr>
              <w:noProof/>
            </w:rPr>
            <w:instrText xml:space="preserve"> PAGEREF _Toc486260884 \h </w:instrText>
          </w:r>
          <w:r w:rsidRPr="00341B41">
            <w:rPr>
              <w:noProof/>
            </w:rPr>
          </w:r>
          <w:r w:rsidRPr="00341B41">
            <w:rPr>
              <w:noProof/>
            </w:rPr>
            <w:fldChar w:fldCharType="separate"/>
          </w:r>
          <w:r w:rsidRPr="00341B41">
            <w:rPr>
              <w:noProof/>
            </w:rPr>
            <w:t>123</w:t>
          </w:r>
          <w:r w:rsidRPr="00341B41">
            <w:rPr>
              <w:noProof/>
            </w:rPr>
            <w:fldChar w:fldCharType="end"/>
          </w:r>
        </w:p>
        <w:p w14:paraId="787F38DA"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4.3.1.</w:t>
          </w:r>
          <w:r w:rsidRPr="00341B41">
            <w:rPr>
              <w:rFonts w:asciiTheme="minorHAnsi" w:eastAsiaTheme="minorEastAsia" w:hAnsiTheme="minorHAnsi"/>
              <w:noProof/>
              <w:sz w:val="24"/>
              <w:szCs w:val="24"/>
              <w:lang w:val="en-US"/>
            </w:rPr>
            <w:tab/>
          </w:r>
          <w:r w:rsidRPr="00341B41">
            <w:rPr>
              <w:noProof/>
            </w:rPr>
            <w:t>Component clustering</w:t>
          </w:r>
          <w:r w:rsidRPr="00341B41">
            <w:rPr>
              <w:noProof/>
            </w:rPr>
            <w:tab/>
          </w:r>
          <w:r w:rsidRPr="00341B41">
            <w:rPr>
              <w:noProof/>
            </w:rPr>
            <w:fldChar w:fldCharType="begin"/>
          </w:r>
          <w:r w:rsidRPr="00341B41">
            <w:rPr>
              <w:noProof/>
            </w:rPr>
            <w:instrText xml:space="preserve"> PAGEREF _Toc486260885 \h </w:instrText>
          </w:r>
          <w:r w:rsidRPr="00341B41">
            <w:rPr>
              <w:noProof/>
            </w:rPr>
          </w:r>
          <w:r w:rsidRPr="00341B41">
            <w:rPr>
              <w:noProof/>
            </w:rPr>
            <w:fldChar w:fldCharType="separate"/>
          </w:r>
          <w:r w:rsidRPr="00341B41">
            <w:rPr>
              <w:noProof/>
            </w:rPr>
            <w:t>123</w:t>
          </w:r>
          <w:r w:rsidRPr="00341B41">
            <w:rPr>
              <w:noProof/>
            </w:rPr>
            <w:fldChar w:fldCharType="end"/>
          </w:r>
        </w:p>
        <w:p w14:paraId="43B50DE3"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4.3.2.</w:t>
          </w:r>
          <w:r w:rsidRPr="00341B41">
            <w:rPr>
              <w:rFonts w:asciiTheme="minorHAnsi" w:eastAsiaTheme="minorEastAsia" w:hAnsiTheme="minorHAnsi"/>
              <w:noProof/>
              <w:sz w:val="24"/>
              <w:szCs w:val="24"/>
              <w:lang w:val="en-US"/>
            </w:rPr>
            <w:tab/>
          </w:r>
          <w:r w:rsidRPr="00341B41">
            <w:rPr>
              <w:noProof/>
            </w:rPr>
            <w:t>EEG results</w:t>
          </w:r>
          <w:r w:rsidRPr="00341B41">
            <w:rPr>
              <w:noProof/>
            </w:rPr>
            <w:tab/>
          </w:r>
          <w:r w:rsidRPr="00341B41">
            <w:rPr>
              <w:noProof/>
            </w:rPr>
            <w:fldChar w:fldCharType="begin"/>
          </w:r>
          <w:r w:rsidRPr="00341B41">
            <w:rPr>
              <w:noProof/>
            </w:rPr>
            <w:instrText xml:space="preserve"> PAGEREF _Toc486260886 \h </w:instrText>
          </w:r>
          <w:r w:rsidRPr="00341B41">
            <w:rPr>
              <w:noProof/>
            </w:rPr>
          </w:r>
          <w:r w:rsidRPr="00341B41">
            <w:rPr>
              <w:noProof/>
            </w:rPr>
            <w:fldChar w:fldCharType="separate"/>
          </w:r>
          <w:r w:rsidRPr="00341B41">
            <w:rPr>
              <w:noProof/>
            </w:rPr>
            <w:t>125</w:t>
          </w:r>
          <w:r w:rsidRPr="00341B41">
            <w:rPr>
              <w:noProof/>
            </w:rPr>
            <w:fldChar w:fldCharType="end"/>
          </w:r>
        </w:p>
        <w:p w14:paraId="13E29FB3"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4.4.</w:t>
          </w:r>
          <w:r w:rsidRPr="00341B41">
            <w:rPr>
              <w:rFonts w:asciiTheme="minorHAnsi" w:eastAsiaTheme="minorEastAsia" w:hAnsiTheme="minorHAnsi"/>
              <w:bCs w:val="0"/>
              <w:noProof/>
              <w:sz w:val="24"/>
              <w:szCs w:val="24"/>
              <w:lang w:val="en-US"/>
            </w:rPr>
            <w:tab/>
          </w:r>
          <w:r w:rsidRPr="00341B41">
            <w:rPr>
              <w:noProof/>
            </w:rPr>
            <w:t>Discussion</w:t>
          </w:r>
          <w:r w:rsidRPr="00341B41">
            <w:rPr>
              <w:noProof/>
            </w:rPr>
            <w:tab/>
          </w:r>
          <w:r w:rsidRPr="00341B41">
            <w:rPr>
              <w:noProof/>
            </w:rPr>
            <w:fldChar w:fldCharType="begin"/>
          </w:r>
          <w:r w:rsidRPr="00341B41">
            <w:rPr>
              <w:noProof/>
            </w:rPr>
            <w:instrText xml:space="preserve"> PAGEREF _Toc486260887 \h </w:instrText>
          </w:r>
          <w:r w:rsidRPr="00341B41">
            <w:rPr>
              <w:noProof/>
            </w:rPr>
          </w:r>
          <w:r w:rsidRPr="00341B41">
            <w:rPr>
              <w:noProof/>
            </w:rPr>
            <w:fldChar w:fldCharType="separate"/>
          </w:r>
          <w:r w:rsidRPr="00341B41">
            <w:rPr>
              <w:noProof/>
            </w:rPr>
            <w:t>136</w:t>
          </w:r>
          <w:r w:rsidRPr="00341B41">
            <w:rPr>
              <w:noProof/>
            </w:rPr>
            <w:fldChar w:fldCharType="end"/>
          </w:r>
        </w:p>
        <w:p w14:paraId="78154E85"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Chapter 5 – Contrasting correctly vs incorrectly anticipated trials and an individual level analyses of expertise modulated sensorimotor activity during action anticipation</w:t>
          </w:r>
          <w:r w:rsidRPr="00341B41">
            <w:rPr>
              <w:noProof/>
            </w:rPr>
            <w:tab/>
          </w:r>
          <w:r w:rsidRPr="00341B41">
            <w:rPr>
              <w:noProof/>
            </w:rPr>
            <w:fldChar w:fldCharType="begin"/>
          </w:r>
          <w:r w:rsidRPr="00341B41">
            <w:rPr>
              <w:noProof/>
            </w:rPr>
            <w:instrText xml:space="preserve"> PAGEREF _Toc486260888 \h </w:instrText>
          </w:r>
          <w:r w:rsidRPr="00341B41">
            <w:rPr>
              <w:noProof/>
            </w:rPr>
          </w:r>
          <w:r w:rsidRPr="00341B41">
            <w:rPr>
              <w:noProof/>
            </w:rPr>
            <w:fldChar w:fldCharType="separate"/>
          </w:r>
          <w:r w:rsidRPr="00341B41">
            <w:rPr>
              <w:noProof/>
            </w:rPr>
            <w:t>143</w:t>
          </w:r>
          <w:r w:rsidRPr="00341B41">
            <w:rPr>
              <w:noProof/>
            </w:rPr>
            <w:fldChar w:fldCharType="end"/>
          </w:r>
        </w:p>
        <w:p w14:paraId="647242DE"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5.1.</w:t>
          </w:r>
          <w:r w:rsidRPr="00341B41">
            <w:rPr>
              <w:rFonts w:asciiTheme="minorHAnsi" w:eastAsiaTheme="minorEastAsia" w:hAnsiTheme="minorHAnsi"/>
              <w:bCs w:val="0"/>
              <w:noProof/>
              <w:sz w:val="24"/>
              <w:szCs w:val="24"/>
              <w:lang w:val="en-US"/>
            </w:rPr>
            <w:tab/>
          </w:r>
          <w:r w:rsidRPr="00341B41">
            <w:rPr>
              <w:noProof/>
            </w:rPr>
            <w:t>Introduction</w:t>
          </w:r>
          <w:r w:rsidRPr="00341B41">
            <w:rPr>
              <w:noProof/>
            </w:rPr>
            <w:tab/>
          </w:r>
          <w:r w:rsidRPr="00341B41">
            <w:rPr>
              <w:noProof/>
            </w:rPr>
            <w:fldChar w:fldCharType="begin"/>
          </w:r>
          <w:r w:rsidRPr="00341B41">
            <w:rPr>
              <w:noProof/>
            </w:rPr>
            <w:instrText xml:space="preserve"> PAGEREF _Toc486260889 \h </w:instrText>
          </w:r>
          <w:r w:rsidRPr="00341B41">
            <w:rPr>
              <w:noProof/>
            </w:rPr>
          </w:r>
          <w:r w:rsidRPr="00341B41">
            <w:rPr>
              <w:noProof/>
            </w:rPr>
            <w:fldChar w:fldCharType="separate"/>
          </w:r>
          <w:r w:rsidRPr="00341B41">
            <w:rPr>
              <w:noProof/>
            </w:rPr>
            <w:t>143</w:t>
          </w:r>
          <w:r w:rsidRPr="00341B41">
            <w:rPr>
              <w:noProof/>
            </w:rPr>
            <w:fldChar w:fldCharType="end"/>
          </w:r>
        </w:p>
        <w:p w14:paraId="0E7C36E9"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5.2.</w:t>
          </w:r>
          <w:r w:rsidRPr="00341B41">
            <w:rPr>
              <w:rFonts w:asciiTheme="minorHAnsi" w:eastAsiaTheme="minorEastAsia" w:hAnsiTheme="minorHAnsi"/>
              <w:bCs w:val="0"/>
              <w:noProof/>
              <w:sz w:val="24"/>
              <w:szCs w:val="24"/>
              <w:lang w:val="en-US"/>
            </w:rPr>
            <w:tab/>
          </w:r>
          <w:r w:rsidRPr="00341B41">
            <w:rPr>
              <w:noProof/>
            </w:rPr>
            <w:t>Method</w:t>
          </w:r>
          <w:r w:rsidRPr="00341B41">
            <w:rPr>
              <w:noProof/>
            </w:rPr>
            <w:tab/>
          </w:r>
          <w:r w:rsidRPr="00341B41">
            <w:rPr>
              <w:noProof/>
            </w:rPr>
            <w:fldChar w:fldCharType="begin"/>
          </w:r>
          <w:r w:rsidRPr="00341B41">
            <w:rPr>
              <w:noProof/>
            </w:rPr>
            <w:instrText xml:space="preserve"> PAGEREF _Toc486260890 \h </w:instrText>
          </w:r>
          <w:r w:rsidRPr="00341B41">
            <w:rPr>
              <w:noProof/>
            </w:rPr>
          </w:r>
          <w:r w:rsidRPr="00341B41">
            <w:rPr>
              <w:noProof/>
            </w:rPr>
            <w:fldChar w:fldCharType="separate"/>
          </w:r>
          <w:r w:rsidRPr="00341B41">
            <w:rPr>
              <w:noProof/>
            </w:rPr>
            <w:t>145</w:t>
          </w:r>
          <w:r w:rsidRPr="00341B41">
            <w:rPr>
              <w:noProof/>
            </w:rPr>
            <w:fldChar w:fldCharType="end"/>
          </w:r>
        </w:p>
        <w:p w14:paraId="4E535093"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5.2.1.</w:t>
          </w:r>
          <w:r w:rsidRPr="00341B41">
            <w:rPr>
              <w:rFonts w:asciiTheme="minorHAnsi" w:eastAsiaTheme="minorEastAsia" w:hAnsiTheme="minorHAnsi"/>
              <w:noProof/>
              <w:sz w:val="24"/>
              <w:szCs w:val="24"/>
              <w:lang w:val="en-US"/>
            </w:rPr>
            <w:tab/>
          </w:r>
          <w:r w:rsidRPr="00341B41">
            <w:rPr>
              <w:noProof/>
            </w:rPr>
            <w:t>EEG analysis</w:t>
          </w:r>
          <w:r w:rsidRPr="00341B41">
            <w:rPr>
              <w:noProof/>
            </w:rPr>
            <w:tab/>
          </w:r>
          <w:r w:rsidRPr="00341B41">
            <w:rPr>
              <w:noProof/>
            </w:rPr>
            <w:fldChar w:fldCharType="begin"/>
          </w:r>
          <w:r w:rsidRPr="00341B41">
            <w:rPr>
              <w:noProof/>
            </w:rPr>
            <w:instrText xml:space="preserve"> PAGEREF _Toc486260891 \h </w:instrText>
          </w:r>
          <w:r w:rsidRPr="00341B41">
            <w:rPr>
              <w:noProof/>
            </w:rPr>
          </w:r>
          <w:r w:rsidRPr="00341B41">
            <w:rPr>
              <w:noProof/>
            </w:rPr>
            <w:fldChar w:fldCharType="separate"/>
          </w:r>
          <w:r w:rsidRPr="00341B41">
            <w:rPr>
              <w:noProof/>
            </w:rPr>
            <w:t>145</w:t>
          </w:r>
          <w:r w:rsidRPr="00341B41">
            <w:rPr>
              <w:noProof/>
            </w:rPr>
            <w:fldChar w:fldCharType="end"/>
          </w:r>
        </w:p>
        <w:p w14:paraId="6D46FFA0"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5.2.2.</w:t>
          </w:r>
          <w:r w:rsidRPr="00341B41">
            <w:rPr>
              <w:rFonts w:asciiTheme="minorHAnsi" w:eastAsiaTheme="minorEastAsia" w:hAnsiTheme="minorHAnsi"/>
              <w:noProof/>
              <w:sz w:val="24"/>
              <w:szCs w:val="24"/>
              <w:lang w:val="en-US"/>
            </w:rPr>
            <w:tab/>
          </w:r>
          <w:r w:rsidRPr="00341B41">
            <w:rPr>
              <w:noProof/>
            </w:rPr>
            <w:t>Statistical analysis</w:t>
          </w:r>
          <w:r w:rsidRPr="00341B41">
            <w:rPr>
              <w:noProof/>
            </w:rPr>
            <w:tab/>
          </w:r>
          <w:r w:rsidRPr="00341B41">
            <w:rPr>
              <w:noProof/>
            </w:rPr>
            <w:fldChar w:fldCharType="begin"/>
          </w:r>
          <w:r w:rsidRPr="00341B41">
            <w:rPr>
              <w:noProof/>
            </w:rPr>
            <w:instrText xml:space="preserve"> PAGEREF _Toc486260892 \h </w:instrText>
          </w:r>
          <w:r w:rsidRPr="00341B41">
            <w:rPr>
              <w:noProof/>
            </w:rPr>
          </w:r>
          <w:r w:rsidRPr="00341B41">
            <w:rPr>
              <w:noProof/>
            </w:rPr>
            <w:fldChar w:fldCharType="separate"/>
          </w:r>
          <w:r w:rsidRPr="00341B41">
            <w:rPr>
              <w:noProof/>
            </w:rPr>
            <w:t>145</w:t>
          </w:r>
          <w:r w:rsidRPr="00341B41">
            <w:rPr>
              <w:noProof/>
            </w:rPr>
            <w:fldChar w:fldCharType="end"/>
          </w:r>
        </w:p>
        <w:p w14:paraId="57C9905D"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5.3.</w:t>
          </w:r>
          <w:r w:rsidRPr="00341B41">
            <w:rPr>
              <w:rFonts w:asciiTheme="minorHAnsi" w:eastAsiaTheme="minorEastAsia" w:hAnsiTheme="minorHAnsi"/>
              <w:bCs w:val="0"/>
              <w:noProof/>
              <w:sz w:val="24"/>
              <w:szCs w:val="24"/>
              <w:lang w:val="en-US"/>
            </w:rPr>
            <w:tab/>
          </w:r>
          <w:r w:rsidRPr="00341B41">
            <w:rPr>
              <w:noProof/>
            </w:rPr>
            <w:t>Results</w:t>
          </w:r>
          <w:r w:rsidRPr="00341B41">
            <w:rPr>
              <w:noProof/>
            </w:rPr>
            <w:tab/>
          </w:r>
          <w:r w:rsidRPr="00341B41">
            <w:rPr>
              <w:noProof/>
            </w:rPr>
            <w:fldChar w:fldCharType="begin"/>
          </w:r>
          <w:r w:rsidRPr="00341B41">
            <w:rPr>
              <w:noProof/>
            </w:rPr>
            <w:instrText xml:space="preserve"> PAGEREF _Toc486260893 \h </w:instrText>
          </w:r>
          <w:r w:rsidRPr="00341B41">
            <w:rPr>
              <w:noProof/>
            </w:rPr>
          </w:r>
          <w:r w:rsidRPr="00341B41">
            <w:rPr>
              <w:noProof/>
            </w:rPr>
            <w:fldChar w:fldCharType="separate"/>
          </w:r>
          <w:r w:rsidRPr="00341B41">
            <w:rPr>
              <w:noProof/>
            </w:rPr>
            <w:t>146</w:t>
          </w:r>
          <w:r w:rsidRPr="00341B41">
            <w:rPr>
              <w:noProof/>
            </w:rPr>
            <w:fldChar w:fldCharType="end"/>
          </w:r>
        </w:p>
        <w:p w14:paraId="6AB427B5"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5.3.1.</w:t>
          </w:r>
          <w:r w:rsidRPr="00341B41">
            <w:rPr>
              <w:rFonts w:asciiTheme="minorHAnsi" w:eastAsiaTheme="minorEastAsia" w:hAnsiTheme="minorHAnsi"/>
              <w:noProof/>
              <w:sz w:val="24"/>
              <w:szCs w:val="24"/>
              <w:lang w:val="en-US"/>
            </w:rPr>
            <w:tab/>
          </w:r>
          <w:r w:rsidRPr="00341B41">
            <w:rPr>
              <w:noProof/>
            </w:rPr>
            <w:t>Behavioural results</w:t>
          </w:r>
          <w:r w:rsidRPr="00341B41">
            <w:rPr>
              <w:noProof/>
            </w:rPr>
            <w:tab/>
          </w:r>
          <w:r w:rsidRPr="00341B41">
            <w:rPr>
              <w:noProof/>
            </w:rPr>
            <w:fldChar w:fldCharType="begin"/>
          </w:r>
          <w:r w:rsidRPr="00341B41">
            <w:rPr>
              <w:noProof/>
            </w:rPr>
            <w:instrText xml:space="preserve"> PAGEREF _Toc486260894 \h </w:instrText>
          </w:r>
          <w:r w:rsidRPr="00341B41">
            <w:rPr>
              <w:noProof/>
            </w:rPr>
          </w:r>
          <w:r w:rsidRPr="00341B41">
            <w:rPr>
              <w:noProof/>
            </w:rPr>
            <w:fldChar w:fldCharType="separate"/>
          </w:r>
          <w:r w:rsidRPr="00341B41">
            <w:rPr>
              <w:noProof/>
            </w:rPr>
            <w:t>146</w:t>
          </w:r>
          <w:r w:rsidRPr="00341B41">
            <w:rPr>
              <w:noProof/>
            </w:rPr>
            <w:fldChar w:fldCharType="end"/>
          </w:r>
        </w:p>
        <w:p w14:paraId="1C64487C"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5.3.2.</w:t>
          </w:r>
          <w:r w:rsidRPr="00341B41">
            <w:rPr>
              <w:rFonts w:asciiTheme="minorHAnsi" w:eastAsiaTheme="minorEastAsia" w:hAnsiTheme="minorHAnsi"/>
              <w:noProof/>
              <w:sz w:val="24"/>
              <w:szCs w:val="24"/>
              <w:lang w:val="en-US"/>
            </w:rPr>
            <w:tab/>
          </w:r>
          <w:r w:rsidRPr="00341B41">
            <w:rPr>
              <w:noProof/>
            </w:rPr>
            <w:t>EEG results</w:t>
          </w:r>
          <w:r w:rsidRPr="00341B41">
            <w:rPr>
              <w:noProof/>
            </w:rPr>
            <w:tab/>
          </w:r>
          <w:r w:rsidRPr="00341B41">
            <w:rPr>
              <w:noProof/>
            </w:rPr>
            <w:fldChar w:fldCharType="begin"/>
          </w:r>
          <w:r w:rsidRPr="00341B41">
            <w:rPr>
              <w:noProof/>
            </w:rPr>
            <w:instrText xml:space="preserve"> PAGEREF _Toc486260895 \h </w:instrText>
          </w:r>
          <w:r w:rsidRPr="00341B41">
            <w:rPr>
              <w:noProof/>
            </w:rPr>
          </w:r>
          <w:r w:rsidRPr="00341B41">
            <w:rPr>
              <w:noProof/>
            </w:rPr>
            <w:fldChar w:fldCharType="separate"/>
          </w:r>
          <w:r w:rsidRPr="00341B41">
            <w:rPr>
              <w:noProof/>
            </w:rPr>
            <w:t>146</w:t>
          </w:r>
          <w:r w:rsidRPr="00341B41">
            <w:rPr>
              <w:noProof/>
            </w:rPr>
            <w:fldChar w:fldCharType="end"/>
          </w:r>
        </w:p>
        <w:p w14:paraId="4E3D8EF1"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5.4.</w:t>
          </w:r>
          <w:r w:rsidRPr="00341B41">
            <w:rPr>
              <w:rFonts w:asciiTheme="minorHAnsi" w:eastAsiaTheme="minorEastAsia" w:hAnsiTheme="minorHAnsi"/>
              <w:bCs w:val="0"/>
              <w:noProof/>
              <w:sz w:val="24"/>
              <w:szCs w:val="24"/>
              <w:lang w:val="en-US"/>
            </w:rPr>
            <w:tab/>
          </w:r>
          <w:r w:rsidRPr="00341B41">
            <w:rPr>
              <w:noProof/>
            </w:rPr>
            <w:t>Discussion</w:t>
          </w:r>
          <w:r w:rsidRPr="00341B41">
            <w:rPr>
              <w:noProof/>
            </w:rPr>
            <w:tab/>
          </w:r>
          <w:r w:rsidRPr="00341B41">
            <w:rPr>
              <w:noProof/>
            </w:rPr>
            <w:fldChar w:fldCharType="begin"/>
          </w:r>
          <w:r w:rsidRPr="00341B41">
            <w:rPr>
              <w:noProof/>
            </w:rPr>
            <w:instrText xml:space="preserve"> PAGEREF _Toc486260896 \h </w:instrText>
          </w:r>
          <w:r w:rsidRPr="00341B41">
            <w:rPr>
              <w:noProof/>
            </w:rPr>
          </w:r>
          <w:r w:rsidRPr="00341B41">
            <w:rPr>
              <w:noProof/>
            </w:rPr>
            <w:fldChar w:fldCharType="separate"/>
          </w:r>
          <w:r w:rsidRPr="00341B41">
            <w:rPr>
              <w:noProof/>
            </w:rPr>
            <w:t>165</w:t>
          </w:r>
          <w:r w:rsidRPr="00341B41">
            <w:rPr>
              <w:noProof/>
            </w:rPr>
            <w:fldChar w:fldCharType="end"/>
          </w:r>
        </w:p>
        <w:p w14:paraId="2AA1A1D9"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Chapter 6 – The neural basis of action anticipation in real-world skills: General discussion</w:t>
          </w:r>
          <w:r w:rsidRPr="00341B41">
            <w:rPr>
              <w:noProof/>
            </w:rPr>
            <w:tab/>
          </w:r>
          <w:r w:rsidRPr="00341B41">
            <w:rPr>
              <w:noProof/>
            </w:rPr>
            <w:fldChar w:fldCharType="begin"/>
          </w:r>
          <w:r w:rsidRPr="00341B41">
            <w:rPr>
              <w:noProof/>
            </w:rPr>
            <w:instrText xml:space="preserve"> PAGEREF _Toc486260897 \h </w:instrText>
          </w:r>
          <w:r w:rsidRPr="00341B41">
            <w:rPr>
              <w:noProof/>
            </w:rPr>
          </w:r>
          <w:r w:rsidRPr="00341B41">
            <w:rPr>
              <w:noProof/>
            </w:rPr>
            <w:fldChar w:fldCharType="separate"/>
          </w:r>
          <w:r w:rsidRPr="00341B41">
            <w:rPr>
              <w:noProof/>
            </w:rPr>
            <w:t>168</w:t>
          </w:r>
          <w:r w:rsidRPr="00341B41">
            <w:rPr>
              <w:noProof/>
            </w:rPr>
            <w:fldChar w:fldCharType="end"/>
          </w:r>
        </w:p>
        <w:p w14:paraId="15CAC3B2"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6.1.</w:t>
          </w:r>
          <w:r w:rsidRPr="00341B41">
            <w:rPr>
              <w:rFonts w:asciiTheme="minorHAnsi" w:eastAsiaTheme="minorEastAsia" w:hAnsiTheme="minorHAnsi"/>
              <w:bCs w:val="0"/>
              <w:noProof/>
              <w:sz w:val="24"/>
              <w:szCs w:val="24"/>
              <w:lang w:val="en-US"/>
            </w:rPr>
            <w:tab/>
          </w:r>
          <w:r w:rsidRPr="00341B41">
            <w:rPr>
              <w:noProof/>
            </w:rPr>
            <w:t>Summary of findings</w:t>
          </w:r>
          <w:r w:rsidRPr="00341B41">
            <w:rPr>
              <w:noProof/>
            </w:rPr>
            <w:tab/>
          </w:r>
          <w:r w:rsidRPr="00341B41">
            <w:rPr>
              <w:noProof/>
            </w:rPr>
            <w:fldChar w:fldCharType="begin"/>
          </w:r>
          <w:r w:rsidRPr="00341B41">
            <w:rPr>
              <w:noProof/>
            </w:rPr>
            <w:instrText xml:space="preserve"> PAGEREF _Toc486260898 \h </w:instrText>
          </w:r>
          <w:r w:rsidRPr="00341B41">
            <w:rPr>
              <w:noProof/>
            </w:rPr>
          </w:r>
          <w:r w:rsidRPr="00341B41">
            <w:rPr>
              <w:noProof/>
            </w:rPr>
            <w:fldChar w:fldCharType="separate"/>
          </w:r>
          <w:r w:rsidRPr="00341B41">
            <w:rPr>
              <w:noProof/>
            </w:rPr>
            <w:t>168</w:t>
          </w:r>
          <w:r w:rsidRPr="00341B41">
            <w:rPr>
              <w:noProof/>
            </w:rPr>
            <w:fldChar w:fldCharType="end"/>
          </w:r>
        </w:p>
        <w:p w14:paraId="1EC2508B"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6.2.</w:t>
          </w:r>
          <w:r w:rsidRPr="00341B41">
            <w:rPr>
              <w:rFonts w:asciiTheme="minorHAnsi" w:eastAsiaTheme="minorEastAsia" w:hAnsiTheme="minorHAnsi"/>
              <w:bCs w:val="0"/>
              <w:noProof/>
              <w:sz w:val="24"/>
              <w:szCs w:val="24"/>
              <w:lang w:val="en-US"/>
            </w:rPr>
            <w:tab/>
          </w:r>
          <w:r w:rsidRPr="00341B41">
            <w:rPr>
              <w:noProof/>
            </w:rPr>
            <w:t>Implications for our understanding of skilled anticipation</w:t>
          </w:r>
          <w:r w:rsidRPr="00341B41">
            <w:rPr>
              <w:noProof/>
            </w:rPr>
            <w:tab/>
          </w:r>
          <w:r w:rsidRPr="00341B41">
            <w:rPr>
              <w:noProof/>
            </w:rPr>
            <w:fldChar w:fldCharType="begin"/>
          </w:r>
          <w:r w:rsidRPr="00341B41">
            <w:rPr>
              <w:noProof/>
            </w:rPr>
            <w:instrText xml:space="preserve"> PAGEREF _Toc486260899 \h </w:instrText>
          </w:r>
          <w:r w:rsidRPr="00341B41">
            <w:rPr>
              <w:noProof/>
            </w:rPr>
          </w:r>
          <w:r w:rsidRPr="00341B41">
            <w:rPr>
              <w:noProof/>
            </w:rPr>
            <w:fldChar w:fldCharType="separate"/>
          </w:r>
          <w:r w:rsidRPr="00341B41">
            <w:rPr>
              <w:noProof/>
            </w:rPr>
            <w:t>171</w:t>
          </w:r>
          <w:r w:rsidRPr="00341B41">
            <w:rPr>
              <w:noProof/>
            </w:rPr>
            <w:fldChar w:fldCharType="end"/>
          </w:r>
        </w:p>
        <w:p w14:paraId="1F98A5E9"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6.3.</w:t>
          </w:r>
          <w:r w:rsidRPr="00341B41">
            <w:rPr>
              <w:rFonts w:asciiTheme="minorHAnsi" w:eastAsiaTheme="minorEastAsia" w:hAnsiTheme="minorHAnsi"/>
              <w:bCs w:val="0"/>
              <w:noProof/>
              <w:sz w:val="24"/>
              <w:szCs w:val="24"/>
              <w:lang w:val="en-US"/>
            </w:rPr>
            <w:tab/>
          </w:r>
          <w:r w:rsidRPr="00341B41">
            <w:rPr>
              <w:noProof/>
            </w:rPr>
            <w:t>Application to sports performance</w:t>
          </w:r>
          <w:r w:rsidRPr="00341B41">
            <w:rPr>
              <w:noProof/>
            </w:rPr>
            <w:tab/>
          </w:r>
          <w:r w:rsidRPr="00341B41">
            <w:rPr>
              <w:noProof/>
            </w:rPr>
            <w:fldChar w:fldCharType="begin"/>
          </w:r>
          <w:r w:rsidRPr="00341B41">
            <w:rPr>
              <w:noProof/>
            </w:rPr>
            <w:instrText xml:space="preserve"> PAGEREF _Toc486260900 \h </w:instrText>
          </w:r>
          <w:r w:rsidRPr="00341B41">
            <w:rPr>
              <w:noProof/>
            </w:rPr>
          </w:r>
          <w:r w:rsidRPr="00341B41">
            <w:rPr>
              <w:noProof/>
            </w:rPr>
            <w:fldChar w:fldCharType="separate"/>
          </w:r>
          <w:r w:rsidRPr="00341B41">
            <w:rPr>
              <w:noProof/>
            </w:rPr>
            <w:t>174</w:t>
          </w:r>
          <w:r w:rsidRPr="00341B41">
            <w:rPr>
              <w:noProof/>
            </w:rPr>
            <w:fldChar w:fldCharType="end"/>
          </w:r>
        </w:p>
        <w:p w14:paraId="3E21A513" w14:textId="77777777" w:rsidR="0081157C" w:rsidRPr="00341B41" w:rsidRDefault="0081157C">
          <w:pPr>
            <w:pStyle w:val="TOC2"/>
            <w:tabs>
              <w:tab w:val="left" w:pos="960"/>
              <w:tab w:val="right" w:leader="dot" w:pos="8817"/>
            </w:tabs>
            <w:rPr>
              <w:rFonts w:asciiTheme="minorHAnsi" w:eastAsiaTheme="minorEastAsia" w:hAnsiTheme="minorHAnsi"/>
              <w:bCs w:val="0"/>
              <w:noProof/>
              <w:sz w:val="24"/>
              <w:szCs w:val="24"/>
              <w:lang w:val="en-US"/>
            </w:rPr>
          </w:pPr>
          <w:r w:rsidRPr="00341B41">
            <w:rPr>
              <w:noProof/>
            </w:rPr>
            <w:t>6.4.</w:t>
          </w:r>
          <w:r w:rsidRPr="00341B41">
            <w:rPr>
              <w:rFonts w:asciiTheme="minorHAnsi" w:eastAsiaTheme="minorEastAsia" w:hAnsiTheme="minorHAnsi"/>
              <w:bCs w:val="0"/>
              <w:noProof/>
              <w:sz w:val="24"/>
              <w:szCs w:val="24"/>
              <w:lang w:val="en-US"/>
            </w:rPr>
            <w:tab/>
          </w:r>
          <w:r w:rsidRPr="00341B41">
            <w:rPr>
              <w:noProof/>
            </w:rPr>
            <w:t>Limitations and future directions</w:t>
          </w:r>
          <w:r w:rsidRPr="00341B41">
            <w:rPr>
              <w:noProof/>
            </w:rPr>
            <w:tab/>
          </w:r>
          <w:r w:rsidRPr="00341B41">
            <w:rPr>
              <w:noProof/>
            </w:rPr>
            <w:fldChar w:fldCharType="begin"/>
          </w:r>
          <w:r w:rsidRPr="00341B41">
            <w:rPr>
              <w:noProof/>
            </w:rPr>
            <w:instrText xml:space="preserve"> PAGEREF _Toc486260901 \h </w:instrText>
          </w:r>
          <w:r w:rsidRPr="00341B41">
            <w:rPr>
              <w:noProof/>
            </w:rPr>
          </w:r>
          <w:r w:rsidRPr="00341B41">
            <w:rPr>
              <w:noProof/>
            </w:rPr>
            <w:fldChar w:fldCharType="separate"/>
          </w:r>
          <w:r w:rsidRPr="00341B41">
            <w:rPr>
              <w:noProof/>
            </w:rPr>
            <w:t>177</w:t>
          </w:r>
          <w:r w:rsidRPr="00341B41">
            <w:rPr>
              <w:noProof/>
            </w:rPr>
            <w:fldChar w:fldCharType="end"/>
          </w:r>
        </w:p>
        <w:p w14:paraId="2BC6A40B"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6.4.1.</w:t>
          </w:r>
          <w:r w:rsidRPr="00341B41">
            <w:rPr>
              <w:rFonts w:asciiTheme="minorHAnsi" w:eastAsiaTheme="minorEastAsia" w:hAnsiTheme="minorHAnsi"/>
              <w:noProof/>
              <w:sz w:val="24"/>
              <w:szCs w:val="24"/>
              <w:lang w:val="en-US"/>
            </w:rPr>
            <w:tab/>
          </w:r>
          <w:r w:rsidRPr="00341B41">
            <w:rPr>
              <w:noProof/>
            </w:rPr>
            <w:t>Issues associated with test development and experimental stimuli</w:t>
          </w:r>
          <w:r w:rsidRPr="00341B41">
            <w:rPr>
              <w:noProof/>
            </w:rPr>
            <w:tab/>
          </w:r>
          <w:r w:rsidRPr="00341B41">
            <w:rPr>
              <w:noProof/>
            </w:rPr>
            <w:fldChar w:fldCharType="begin"/>
          </w:r>
          <w:r w:rsidRPr="00341B41">
            <w:rPr>
              <w:noProof/>
            </w:rPr>
            <w:instrText xml:space="preserve"> PAGEREF _Toc486260902 \h </w:instrText>
          </w:r>
          <w:r w:rsidRPr="00341B41">
            <w:rPr>
              <w:noProof/>
            </w:rPr>
          </w:r>
          <w:r w:rsidRPr="00341B41">
            <w:rPr>
              <w:noProof/>
            </w:rPr>
            <w:fldChar w:fldCharType="separate"/>
          </w:r>
          <w:r w:rsidRPr="00341B41">
            <w:rPr>
              <w:noProof/>
            </w:rPr>
            <w:t>177</w:t>
          </w:r>
          <w:r w:rsidRPr="00341B41">
            <w:rPr>
              <w:noProof/>
            </w:rPr>
            <w:fldChar w:fldCharType="end"/>
          </w:r>
        </w:p>
        <w:p w14:paraId="7E90012D"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6.4.2.</w:t>
          </w:r>
          <w:r w:rsidRPr="00341B41">
            <w:rPr>
              <w:rFonts w:asciiTheme="minorHAnsi" w:eastAsiaTheme="minorEastAsia" w:hAnsiTheme="minorHAnsi"/>
              <w:noProof/>
              <w:sz w:val="24"/>
              <w:szCs w:val="24"/>
              <w:lang w:val="en-US"/>
            </w:rPr>
            <w:tab/>
          </w:r>
          <w:r w:rsidRPr="00341B41">
            <w:rPr>
              <w:noProof/>
            </w:rPr>
            <w:t>Motor response preparation during the action observation period</w:t>
          </w:r>
          <w:r w:rsidRPr="00341B41">
            <w:rPr>
              <w:noProof/>
            </w:rPr>
            <w:tab/>
          </w:r>
          <w:r w:rsidRPr="00341B41">
            <w:rPr>
              <w:noProof/>
            </w:rPr>
            <w:fldChar w:fldCharType="begin"/>
          </w:r>
          <w:r w:rsidRPr="00341B41">
            <w:rPr>
              <w:noProof/>
            </w:rPr>
            <w:instrText xml:space="preserve"> PAGEREF _Toc486260903 \h </w:instrText>
          </w:r>
          <w:r w:rsidRPr="00341B41">
            <w:rPr>
              <w:noProof/>
            </w:rPr>
          </w:r>
          <w:r w:rsidRPr="00341B41">
            <w:rPr>
              <w:noProof/>
            </w:rPr>
            <w:fldChar w:fldCharType="separate"/>
          </w:r>
          <w:r w:rsidRPr="00341B41">
            <w:rPr>
              <w:noProof/>
            </w:rPr>
            <w:t>178</w:t>
          </w:r>
          <w:r w:rsidRPr="00341B41">
            <w:rPr>
              <w:noProof/>
            </w:rPr>
            <w:fldChar w:fldCharType="end"/>
          </w:r>
        </w:p>
        <w:p w14:paraId="758A0A9D"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6.4.3.</w:t>
          </w:r>
          <w:r w:rsidRPr="00341B41">
            <w:rPr>
              <w:rFonts w:asciiTheme="minorHAnsi" w:eastAsiaTheme="minorEastAsia" w:hAnsiTheme="minorHAnsi"/>
              <w:noProof/>
              <w:sz w:val="24"/>
              <w:szCs w:val="24"/>
              <w:lang w:val="en-US"/>
            </w:rPr>
            <w:tab/>
          </w:r>
          <w:r w:rsidRPr="00341B41">
            <w:rPr>
              <w:noProof/>
            </w:rPr>
            <w:t>Longitudinal designs into the development of anticipation skill</w:t>
          </w:r>
          <w:r w:rsidRPr="00341B41">
            <w:rPr>
              <w:noProof/>
            </w:rPr>
            <w:tab/>
          </w:r>
          <w:r w:rsidRPr="00341B41">
            <w:rPr>
              <w:noProof/>
            </w:rPr>
            <w:fldChar w:fldCharType="begin"/>
          </w:r>
          <w:r w:rsidRPr="00341B41">
            <w:rPr>
              <w:noProof/>
            </w:rPr>
            <w:instrText xml:space="preserve"> PAGEREF _Toc486260904 \h </w:instrText>
          </w:r>
          <w:r w:rsidRPr="00341B41">
            <w:rPr>
              <w:noProof/>
            </w:rPr>
          </w:r>
          <w:r w:rsidRPr="00341B41">
            <w:rPr>
              <w:noProof/>
            </w:rPr>
            <w:fldChar w:fldCharType="separate"/>
          </w:r>
          <w:r w:rsidRPr="00341B41">
            <w:rPr>
              <w:noProof/>
            </w:rPr>
            <w:t>180</w:t>
          </w:r>
          <w:r w:rsidRPr="00341B41">
            <w:rPr>
              <w:noProof/>
            </w:rPr>
            <w:fldChar w:fldCharType="end"/>
          </w:r>
        </w:p>
        <w:p w14:paraId="4BC61F32"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6.4.4.</w:t>
          </w:r>
          <w:r w:rsidRPr="00341B41">
            <w:rPr>
              <w:rFonts w:asciiTheme="minorHAnsi" w:eastAsiaTheme="minorEastAsia" w:hAnsiTheme="minorHAnsi"/>
              <w:noProof/>
              <w:sz w:val="24"/>
              <w:szCs w:val="24"/>
              <w:lang w:val="en-US"/>
            </w:rPr>
            <w:tab/>
          </w:r>
          <w:r w:rsidRPr="00341B41">
            <w:rPr>
              <w:noProof/>
            </w:rPr>
            <w:t>Expertise of the experienced sample</w:t>
          </w:r>
          <w:r w:rsidRPr="00341B41">
            <w:rPr>
              <w:noProof/>
            </w:rPr>
            <w:tab/>
          </w:r>
          <w:r w:rsidRPr="00341B41">
            <w:rPr>
              <w:noProof/>
            </w:rPr>
            <w:fldChar w:fldCharType="begin"/>
          </w:r>
          <w:r w:rsidRPr="00341B41">
            <w:rPr>
              <w:noProof/>
            </w:rPr>
            <w:instrText xml:space="preserve"> PAGEREF _Toc486260905 \h </w:instrText>
          </w:r>
          <w:r w:rsidRPr="00341B41">
            <w:rPr>
              <w:noProof/>
            </w:rPr>
          </w:r>
          <w:r w:rsidRPr="00341B41">
            <w:rPr>
              <w:noProof/>
            </w:rPr>
            <w:fldChar w:fldCharType="separate"/>
          </w:r>
          <w:r w:rsidRPr="00341B41">
            <w:rPr>
              <w:noProof/>
            </w:rPr>
            <w:t>181</w:t>
          </w:r>
          <w:r w:rsidRPr="00341B41">
            <w:rPr>
              <w:noProof/>
            </w:rPr>
            <w:fldChar w:fldCharType="end"/>
          </w:r>
        </w:p>
        <w:p w14:paraId="0AA7AC3D"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6.4.5.</w:t>
          </w:r>
          <w:r w:rsidRPr="00341B41">
            <w:rPr>
              <w:rFonts w:asciiTheme="minorHAnsi" w:eastAsiaTheme="minorEastAsia" w:hAnsiTheme="minorHAnsi"/>
              <w:noProof/>
              <w:sz w:val="24"/>
              <w:szCs w:val="24"/>
              <w:lang w:val="en-US"/>
            </w:rPr>
            <w:tab/>
          </w:r>
          <w:r w:rsidRPr="00341B41">
            <w:rPr>
              <w:noProof/>
            </w:rPr>
            <w:t>The effect of task-related changes on neural activity during action anticipation</w:t>
          </w:r>
          <w:r w:rsidRPr="00341B41">
            <w:rPr>
              <w:noProof/>
            </w:rPr>
            <w:tab/>
          </w:r>
          <w:r w:rsidRPr="00341B41">
            <w:rPr>
              <w:noProof/>
            </w:rPr>
            <w:fldChar w:fldCharType="begin"/>
          </w:r>
          <w:r w:rsidRPr="00341B41">
            <w:rPr>
              <w:noProof/>
            </w:rPr>
            <w:instrText xml:space="preserve"> PAGEREF _Toc486260906 \h </w:instrText>
          </w:r>
          <w:r w:rsidRPr="00341B41">
            <w:rPr>
              <w:noProof/>
            </w:rPr>
          </w:r>
          <w:r w:rsidRPr="00341B41">
            <w:rPr>
              <w:noProof/>
            </w:rPr>
            <w:fldChar w:fldCharType="separate"/>
          </w:r>
          <w:r w:rsidRPr="00341B41">
            <w:rPr>
              <w:noProof/>
            </w:rPr>
            <w:t>183</w:t>
          </w:r>
          <w:r w:rsidRPr="00341B41">
            <w:rPr>
              <w:noProof/>
            </w:rPr>
            <w:fldChar w:fldCharType="end"/>
          </w:r>
        </w:p>
        <w:p w14:paraId="5D87694A" w14:textId="77777777" w:rsidR="0081157C" w:rsidRPr="00341B41" w:rsidRDefault="0081157C">
          <w:pPr>
            <w:pStyle w:val="TOC3"/>
            <w:tabs>
              <w:tab w:val="left" w:pos="1440"/>
              <w:tab w:val="right" w:leader="dot" w:pos="8817"/>
            </w:tabs>
            <w:rPr>
              <w:rFonts w:asciiTheme="minorHAnsi" w:eastAsiaTheme="minorEastAsia" w:hAnsiTheme="minorHAnsi"/>
              <w:noProof/>
              <w:sz w:val="24"/>
              <w:szCs w:val="24"/>
              <w:lang w:val="en-US"/>
            </w:rPr>
          </w:pPr>
          <w:r w:rsidRPr="00341B41">
            <w:rPr>
              <w:noProof/>
            </w:rPr>
            <w:t>6.4.6.</w:t>
          </w:r>
          <w:r w:rsidRPr="00341B41">
            <w:rPr>
              <w:rFonts w:asciiTheme="minorHAnsi" w:eastAsiaTheme="minorEastAsia" w:hAnsiTheme="minorHAnsi"/>
              <w:noProof/>
              <w:sz w:val="24"/>
              <w:szCs w:val="24"/>
              <w:lang w:val="en-US"/>
            </w:rPr>
            <w:tab/>
          </w:r>
          <w:r w:rsidRPr="00341B41">
            <w:rPr>
              <w:noProof/>
            </w:rPr>
            <w:t>Action anticipation in a dynamic environment</w:t>
          </w:r>
          <w:r w:rsidRPr="00341B41">
            <w:rPr>
              <w:noProof/>
            </w:rPr>
            <w:tab/>
          </w:r>
          <w:r w:rsidRPr="00341B41">
            <w:rPr>
              <w:noProof/>
            </w:rPr>
            <w:fldChar w:fldCharType="begin"/>
          </w:r>
          <w:r w:rsidRPr="00341B41">
            <w:rPr>
              <w:noProof/>
            </w:rPr>
            <w:instrText xml:space="preserve"> PAGEREF _Toc486260907 \h </w:instrText>
          </w:r>
          <w:r w:rsidRPr="00341B41">
            <w:rPr>
              <w:noProof/>
            </w:rPr>
          </w:r>
          <w:r w:rsidRPr="00341B41">
            <w:rPr>
              <w:noProof/>
            </w:rPr>
            <w:fldChar w:fldCharType="separate"/>
          </w:r>
          <w:r w:rsidRPr="00341B41">
            <w:rPr>
              <w:noProof/>
            </w:rPr>
            <w:t>184</w:t>
          </w:r>
          <w:r w:rsidRPr="00341B41">
            <w:rPr>
              <w:noProof/>
            </w:rPr>
            <w:fldChar w:fldCharType="end"/>
          </w:r>
        </w:p>
        <w:p w14:paraId="2EDF2083"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lastRenderedPageBreak/>
            <w:t>Bibliography</w:t>
          </w:r>
          <w:r w:rsidRPr="00341B41">
            <w:rPr>
              <w:noProof/>
            </w:rPr>
            <w:tab/>
          </w:r>
          <w:r w:rsidRPr="00341B41">
            <w:rPr>
              <w:noProof/>
            </w:rPr>
            <w:fldChar w:fldCharType="begin"/>
          </w:r>
          <w:r w:rsidRPr="00341B41">
            <w:rPr>
              <w:noProof/>
            </w:rPr>
            <w:instrText xml:space="preserve"> PAGEREF _Toc486260908 \h </w:instrText>
          </w:r>
          <w:r w:rsidRPr="00341B41">
            <w:rPr>
              <w:noProof/>
            </w:rPr>
          </w:r>
          <w:r w:rsidRPr="00341B41">
            <w:rPr>
              <w:noProof/>
            </w:rPr>
            <w:fldChar w:fldCharType="separate"/>
          </w:r>
          <w:r w:rsidRPr="00341B41">
            <w:rPr>
              <w:noProof/>
            </w:rPr>
            <w:t>187</w:t>
          </w:r>
          <w:r w:rsidRPr="00341B41">
            <w:rPr>
              <w:noProof/>
            </w:rPr>
            <w:fldChar w:fldCharType="end"/>
          </w:r>
        </w:p>
        <w:p w14:paraId="40EF1942"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A1 – Questionnaire used to assess level of tennis experience</w:t>
          </w:r>
          <w:r w:rsidRPr="00341B41">
            <w:rPr>
              <w:noProof/>
            </w:rPr>
            <w:tab/>
          </w:r>
          <w:r w:rsidRPr="00341B41">
            <w:rPr>
              <w:noProof/>
            </w:rPr>
            <w:fldChar w:fldCharType="begin"/>
          </w:r>
          <w:r w:rsidRPr="00341B41">
            <w:rPr>
              <w:noProof/>
            </w:rPr>
            <w:instrText xml:space="preserve"> PAGEREF _Toc486260909 \h </w:instrText>
          </w:r>
          <w:r w:rsidRPr="00341B41">
            <w:rPr>
              <w:noProof/>
            </w:rPr>
          </w:r>
          <w:r w:rsidRPr="00341B41">
            <w:rPr>
              <w:noProof/>
            </w:rPr>
            <w:fldChar w:fldCharType="separate"/>
          </w:r>
          <w:r w:rsidRPr="00341B41">
            <w:rPr>
              <w:noProof/>
            </w:rPr>
            <w:t>225</w:t>
          </w:r>
          <w:r w:rsidRPr="00341B41">
            <w:rPr>
              <w:noProof/>
            </w:rPr>
            <w:fldChar w:fldCharType="end"/>
          </w:r>
        </w:p>
        <w:p w14:paraId="2FA8C062"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A2 – Questionnaire used to assess participant handedness</w:t>
          </w:r>
          <w:r w:rsidRPr="00341B41">
            <w:rPr>
              <w:noProof/>
            </w:rPr>
            <w:tab/>
          </w:r>
          <w:r w:rsidRPr="00341B41">
            <w:rPr>
              <w:noProof/>
            </w:rPr>
            <w:fldChar w:fldCharType="begin"/>
          </w:r>
          <w:r w:rsidRPr="00341B41">
            <w:rPr>
              <w:noProof/>
            </w:rPr>
            <w:instrText xml:space="preserve"> PAGEREF _Toc486260910 \h </w:instrText>
          </w:r>
          <w:r w:rsidRPr="00341B41">
            <w:rPr>
              <w:noProof/>
            </w:rPr>
          </w:r>
          <w:r w:rsidRPr="00341B41">
            <w:rPr>
              <w:noProof/>
            </w:rPr>
            <w:fldChar w:fldCharType="separate"/>
          </w:r>
          <w:r w:rsidRPr="00341B41">
            <w:rPr>
              <w:noProof/>
            </w:rPr>
            <w:t>227</w:t>
          </w:r>
          <w:r w:rsidRPr="00341B41">
            <w:rPr>
              <w:noProof/>
            </w:rPr>
            <w:fldChar w:fldCharType="end"/>
          </w:r>
        </w:p>
        <w:p w14:paraId="77E94D69"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B1 -  Individual participant ERSP plots for electrode D19</w:t>
          </w:r>
          <w:r w:rsidRPr="00341B41">
            <w:rPr>
              <w:noProof/>
            </w:rPr>
            <w:tab/>
          </w:r>
          <w:r w:rsidRPr="00341B41">
            <w:rPr>
              <w:noProof/>
            </w:rPr>
            <w:fldChar w:fldCharType="begin"/>
          </w:r>
          <w:r w:rsidRPr="00341B41">
            <w:rPr>
              <w:noProof/>
            </w:rPr>
            <w:instrText xml:space="preserve"> PAGEREF _Toc486260911 \h </w:instrText>
          </w:r>
          <w:r w:rsidRPr="00341B41">
            <w:rPr>
              <w:noProof/>
            </w:rPr>
          </w:r>
          <w:r w:rsidRPr="00341B41">
            <w:rPr>
              <w:noProof/>
            </w:rPr>
            <w:fldChar w:fldCharType="separate"/>
          </w:r>
          <w:r w:rsidRPr="00341B41">
            <w:rPr>
              <w:noProof/>
            </w:rPr>
            <w:t>228</w:t>
          </w:r>
          <w:r w:rsidRPr="00341B41">
            <w:rPr>
              <w:noProof/>
            </w:rPr>
            <w:fldChar w:fldCharType="end"/>
          </w:r>
        </w:p>
        <w:p w14:paraId="4C4B9EDE"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B2 -  Individual participant ERSP plots for electrode B22</w:t>
          </w:r>
          <w:r w:rsidRPr="00341B41">
            <w:rPr>
              <w:noProof/>
            </w:rPr>
            <w:tab/>
          </w:r>
          <w:r w:rsidRPr="00341B41">
            <w:rPr>
              <w:noProof/>
            </w:rPr>
            <w:fldChar w:fldCharType="begin"/>
          </w:r>
          <w:r w:rsidRPr="00341B41">
            <w:rPr>
              <w:noProof/>
            </w:rPr>
            <w:instrText xml:space="preserve"> PAGEREF _Toc486260912 \h </w:instrText>
          </w:r>
          <w:r w:rsidRPr="00341B41">
            <w:rPr>
              <w:noProof/>
            </w:rPr>
          </w:r>
          <w:r w:rsidRPr="00341B41">
            <w:rPr>
              <w:noProof/>
            </w:rPr>
            <w:fldChar w:fldCharType="separate"/>
          </w:r>
          <w:r w:rsidRPr="00341B41">
            <w:rPr>
              <w:noProof/>
            </w:rPr>
            <w:t>230</w:t>
          </w:r>
          <w:r w:rsidRPr="00341B41">
            <w:rPr>
              <w:noProof/>
            </w:rPr>
            <w:fldChar w:fldCharType="end"/>
          </w:r>
        </w:p>
        <w:p w14:paraId="0C1A8FE1"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C1 – Individual participant ERSP plots for the left sensorimotor cluster</w:t>
          </w:r>
          <w:r w:rsidRPr="00341B41">
            <w:rPr>
              <w:noProof/>
            </w:rPr>
            <w:tab/>
          </w:r>
          <w:r w:rsidRPr="00341B41">
            <w:rPr>
              <w:noProof/>
            </w:rPr>
            <w:fldChar w:fldCharType="begin"/>
          </w:r>
          <w:r w:rsidRPr="00341B41">
            <w:rPr>
              <w:noProof/>
            </w:rPr>
            <w:instrText xml:space="preserve"> PAGEREF _Toc486260913 \h </w:instrText>
          </w:r>
          <w:r w:rsidRPr="00341B41">
            <w:rPr>
              <w:noProof/>
            </w:rPr>
          </w:r>
          <w:r w:rsidRPr="00341B41">
            <w:rPr>
              <w:noProof/>
            </w:rPr>
            <w:fldChar w:fldCharType="separate"/>
          </w:r>
          <w:r w:rsidRPr="00341B41">
            <w:rPr>
              <w:noProof/>
            </w:rPr>
            <w:t>232</w:t>
          </w:r>
          <w:r w:rsidRPr="00341B41">
            <w:rPr>
              <w:noProof/>
            </w:rPr>
            <w:fldChar w:fldCharType="end"/>
          </w:r>
        </w:p>
        <w:p w14:paraId="720E6D6C"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C2 – Individual participant ERSP plots for the right sensorimotor cluster</w:t>
          </w:r>
          <w:r w:rsidRPr="00341B41">
            <w:rPr>
              <w:noProof/>
            </w:rPr>
            <w:tab/>
          </w:r>
          <w:r w:rsidRPr="00341B41">
            <w:rPr>
              <w:noProof/>
            </w:rPr>
            <w:fldChar w:fldCharType="begin"/>
          </w:r>
          <w:r w:rsidRPr="00341B41">
            <w:rPr>
              <w:noProof/>
            </w:rPr>
            <w:instrText xml:space="preserve"> PAGEREF _Toc486260914 \h </w:instrText>
          </w:r>
          <w:r w:rsidRPr="00341B41">
            <w:rPr>
              <w:noProof/>
            </w:rPr>
          </w:r>
          <w:r w:rsidRPr="00341B41">
            <w:rPr>
              <w:noProof/>
            </w:rPr>
            <w:fldChar w:fldCharType="separate"/>
          </w:r>
          <w:r w:rsidRPr="00341B41">
            <w:rPr>
              <w:noProof/>
            </w:rPr>
            <w:t>234</w:t>
          </w:r>
          <w:r w:rsidRPr="00341B41">
            <w:rPr>
              <w:noProof/>
            </w:rPr>
            <w:fldChar w:fldCharType="end"/>
          </w:r>
        </w:p>
        <w:p w14:paraId="2E88BB67"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iCs/>
              <w:noProof/>
            </w:rPr>
            <w:t>Appendix C3 – Individual participant scalp maps for the left sensorimotor cluster</w:t>
          </w:r>
          <w:r w:rsidRPr="00341B41">
            <w:rPr>
              <w:noProof/>
            </w:rPr>
            <w:tab/>
          </w:r>
          <w:r w:rsidRPr="00341B41">
            <w:rPr>
              <w:noProof/>
            </w:rPr>
            <w:fldChar w:fldCharType="begin"/>
          </w:r>
          <w:r w:rsidRPr="00341B41">
            <w:rPr>
              <w:noProof/>
            </w:rPr>
            <w:instrText xml:space="preserve"> PAGEREF _Toc486260915 \h </w:instrText>
          </w:r>
          <w:r w:rsidRPr="00341B41">
            <w:rPr>
              <w:noProof/>
            </w:rPr>
          </w:r>
          <w:r w:rsidRPr="00341B41">
            <w:rPr>
              <w:noProof/>
            </w:rPr>
            <w:fldChar w:fldCharType="separate"/>
          </w:r>
          <w:r w:rsidRPr="00341B41">
            <w:rPr>
              <w:noProof/>
            </w:rPr>
            <w:t>236</w:t>
          </w:r>
          <w:r w:rsidRPr="00341B41">
            <w:rPr>
              <w:noProof/>
            </w:rPr>
            <w:fldChar w:fldCharType="end"/>
          </w:r>
        </w:p>
        <w:p w14:paraId="4E8A18F0" w14:textId="77777777" w:rsidR="0081157C" w:rsidRPr="00341B41" w:rsidRDefault="0081157C">
          <w:pPr>
            <w:pStyle w:val="TOC1"/>
            <w:tabs>
              <w:tab w:val="right" w:leader="dot" w:pos="8817"/>
            </w:tabs>
            <w:rPr>
              <w:rFonts w:asciiTheme="minorHAnsi" w:eastAsiaTheme="minorEastAsia" w:hAnsiTheme="minorHAnsi"/>
              <w:bCs w:val="0"/>
              <w:noProof/>
              <w:lang w:val="en-US"/>
            </w:rPr>
          </w:pPr>
          <w:r w:rsidRPr="00341B41">
            <w:rPr>
              <w:noProof/>
            </w:rPr>
            <w:t>Appendix C4 – Individual participant scalp maps for the right sensorimotor cluster</w:t>
          </w:r>
          <w:r w:rsidRPr="00341B41">
            <w:rPr>
              <w:noProof/>
            </w:rPr>
            <w:tab/>
          </w:r>
          <w:r w:rsidRPr="00341B41">
            <w:rPr>
              <w:noProof/>
            </w:rPr>
            <w:fldChar w:fldCharType="begin"/>
          </w:r>
          <w:r w:rsidRPr="00341B41">
            <w:rPr>
              <w:noProof/>
            </w:rPr>
            <w:instrText xml:space="preserve"> PAGEREF _Toc486260916 \h </w:instrText>
          </w:r>
          <w:r w:rsidRPr="00341B41">
            <w:rPr>
              <w:noProof/>
            </w:rPr>
          </w:r>
          <w:r w:rsidRPr="00341B41">
            <w:rPr>
              <w:noProof/>
            </w:rPr>
            <w:fldChar w:fldCharType="separate"/>
          </w:r>
          <w:r w:rsidRPr="00341B41">
            <w:rPr>
              <w:noProof/>
            </w:rPr>
            <w:t>237</w:t>
          </w:r>
          <w:r w:rsidRPr="00341B41">
            <w:rPr>
              <w:noProof/>
            </w:rPr>
            <w:fldChar w:fldCharType="end"/>
          </w:r>
        </w:p>
        <w:p w14:paraId="574B66B0" w14:textId="1CA08A24" w:rsidR="00EA1EA8" w:rsidRPr="00341B41" w:rsidRDefault="00EA1EA8" w:rsidP="00EA1EA8">
          <w:pPr>
            <w:sectPr w:rsidR="00EA1EA8" w:rsidRPr="00341B41" w:rsidSect="00661E89">
              <w:pgSz w:w="12240" w:h="15840"/>
              <w:pgMar w:top="1440" w:right="1138" w:bottom="1440" w:left="2275" w:header="720" w:footer="720" w:gutter="0"/>
              <w:cols w:space="720"/>
              <w:titlePg/>
              <w:docGrid w:linePitch="360"/>
            </w:sectPr>
          </w:pPr>
          <w:r w:rsidRPr="00341B41">
            <w:rPr>
              <w:bCs/>
              <w:szCs w:val="24"/>
            </w:rPr>
            <w:fldChar w:fldCharType="end"/>
          </w:r>
        </w:p>
      </w:sdtContent>
    </w:sdt>
    <w:p w14:paraId="1DF60986" w14:textId="0CBD7BC4" w:rsidR="006E56B8" w:rsidRPr="00341B41" w:rsidRDefault="00EA1EA8" w:rsidP="00EA1EA8">
      <w:pPr>
        <w:pStyle w:val="Heading1"/>
      </w:pPr>
      <w:bookmarkStart w:id="7" w:name="_Toc486260823"/>
      <w:r w:rsidRPr="00341B41">
        <w:lastRenderedPageBreak/>
        <w:t>List of tables</w:t>
      </w:r>
      <w:bookmarkEnd w:id="7"/>
      <w:r w:rsidRPr="00341B41">
        <w:t xml:space="preserve"> </w:t>
      </w:r>
    </w:p>
    <w:p w14:paraId="58CE5D4D" w14:textId="77777777" w:rsidR="0081157C" w:rsidRPr="00341B41" w:rsidRDefault="00EA1EA8">
      <w:pPr>
        <w:pStyle w:val="TableofFigures"/>
        <w:tabs>
          <w:tab w:val="right" w:leader="dot" w:pos="8817"/>
        </w:tabs>
        <w:rPr>
          <w:rFonts w:asciiTheme="minorHAnsi" w:eastAsiaTheme="minorEastAsia" w:hAnsiTheme="minorHAnsi"/>
          <w:noProof/>
          <w:szCs w:val="24"/>
          <w:lang w:val="en-US"/>
        </w:rPr>
      </w:pPr>
      <w:r w:rsidRPr="00341B41">
        <w:fldChar w:fldCharType="begin"/>
      </w:r>
      <w:r w:rsidRPr="00341B41">
        <w:instrText xml:space="preserve"> TOC \c "Table" </w:instrText>
      </w:r>
      <w:r w:rsidRPr="00341B41">
        <w:fldChar w:fldCharType="separate"/>
      </w:r>
      <w:r w:rsidR="0081157C" w:rsidRPr="00341B41">
        <w:rPr>
          <w:noProof/>
        </w:rPr>
        <w:t>Table 1. Tennis experience in the groups for experiment 1</w:t>
      </w:r>
      <w:r w:rsidR="0081157C" w:rsidRPr="00341B41">
        <w:rPr>
          <w:noProof/>
        </w:rPr>
        <w:tab/>
      </w:r>
      <w:r w:rsidR="0081157C" w:rsidRPr="00341B41">
        <w:rPr>
          <w:noProof/>
        </w:rPr>
        <w:fldChar w:fldCharType="begin"/>
      </w:r>
      <w:r w:rsidR="0081157C" w:rsidRPr="00341B41">
        <w:rPr>
          <w:noProof/>
        </w:rPr>
        <w:instrText xml:space="preserve"> PAGEREF _Toc486260917 \h </w:instrText>
      </w:r>
      <w:r w:rsidR="0081157C" w:rsidRPr="00341B41">
        <w:rPr>
          <w:noProof/>
        </w:rPr>
      </w:r>
      <w:r w:rsidR="0081157C" w:rsidRPr="00341B41">
        <w:rPr>
          <w:noProof/>
        </w:rPr>
        <w:fldChar w:fldCharType="separate"/>
      </w:r>
      <w:r w:rsidR="0081157C" w:rsidRPr="00341B41">
        <w:rPr>
          <w:noProof/>
        </w:rPr>
        <w:t>77</w:t>
      </w:r>
      <w:r w:rsidR="0081157C" w:rsidRPr="00341B41">
        <w:rPr>
          <w:noProof/>
        </w:rPr>
        <w:fldChar w:fldCharType="end"/>
      </w:r>
    </w:p>
    <w:p w14:paraId="7FDE2F35" w14:textId="77777777" w:rsidR="0081157C" w:rsidRPr="00341B41" w:rsidRDefault="0081157C">
      <w:pPr>
        <w:pStyle w:val="TableofFigures"/>
        <w:tabs>
          <w:tab w:val="right" w:leader="dot" w:pos="8817"/>
        </w:tabs>
        <w:rPr>
          <w:rFonts w:asciiTheme="minorHAnsi" w:eastAsiaTheme="minorEastAsia" w:hAnsiTheme="minorHAnsi"/>
          <w:noProof/>
          <w:szCs w:val="24"/>
          <w:lang w:val="en-US"/>
        </w:rPr>
      </w:pPr>
      <w:r w:rsidRPr="00341B41">
        <w:rPr>
          <w:noProof/>
        </w:rPr>
        <w:t>Table 2. Descriptive statistics of task performance in the experienced and less experienced groups for experiment 1</w:t>
      </w:r>
      <w:r w:rsidRPr="00341B41">
        <w:rPr>
          <w:noProof/>
        </w:rPr>
        <w:tab/>
      </w:r>
      <w:r w:rsidRPr="00341B41">
        <w:rPr>
          <w:noProof/>
        </w:rPr>
        <w:fldChar w:fldCharType="begin"/>
      </w:r>
      <w:r w:rsidRPr="00341B41">
        <w:rPr>
          <w:noProof/>
        </w:rPr>
        <w:instrText xml:space="preserve"> PAGEREF _Toc486260918 \h </w:instrText>
      </w:r>
      <w:r w:rsidRPr="00341B41">
        <w:rPr>
          <w:noProof/>
        </w:rPr>
      </w:r>
      <w:r w:rsidRPr="00341B41">
        <w:rPr>
          <w:noProof/>
        </w:rPr>
        <w:fldChar w:fldCharType="separate"/>
      </w:r>
      <w:r w:rsidRPr="00341B41">
        <w:rPr>
          <w:noProof/>
        </w:rPr>
        <w:t>82</w:t>
      </w:r>
      <w:r w:rsidRPr="00341B41">
        <w:rPr>
          <w:noProof/>
        </w:rPr>
        <w:fldChar w:fldCharType="end"/>
      </w:r>
    </w:p>
    <w:p w14:paraId="09C5F519" w14:textId="77777777" w:rsidR="0081157C" w:rsidRPr="00341B41" w:rsidRDefault="0081157C">
      <w:pPr>
        <w:pStyle w:val="TableofFigures"/>
        <w:tabs>
          <w:tab w:val="right" w:leader="dot" w:pos="8817"/>
        </w:tabs>
        <w:rPr>
          <w:rFonts w:asciiTheme="minorHAnsi" w:eastAsiaTheme="minorEastAsia" w:hAnsiTheme="minorHAnsi"/>
          <w:noProof/>
          <w:szCs w:val="24"/>
          <w:lang w:val="en-US"/>
        </w:rPr>
      </w:pPr>
      <w:r w:rsidRPr="00341B41">
        <w:rPr>
          <w:noProof/>
        </w:rPr>
        <w:t>Table 3. Tennis experience in the groups for experiment 2</w:t>
      </w:r>
      <w:r w:rsidRPr="00341B41">
        <w:rPr>
          <w:noProof/>
        </w:rPr>
        <w:tab/>
      </w:r>
      <w:r w:rsidRPr="00341B41">
        <w:rPr>
          <w:noProof/>
        </w:rPr>
        <w:fldChar w:fldCharType="begin"/>
      </w:r>
      <w:r w:rsidRPr="00341B41">
        <w:rPr>
          <w:noProof/>
        </w:rPr>
        <w:instrText xml:space="preserve"> PAGEREF _Toc486260919 \h </w:instrText>
      </w:r>
      <w:r w:rsidRPr="00341B41">
        <w:rPr>
          <w:noProof/>
        </w:rPr>
      </w:r>
      <w:r w:rsidRPr="00341B41">
        <w:rPr>
          <w:noProof/>
        </w:rPr>
        <w:fldChar w:fldCharType="separate"/>
      </w:r>
      <w:r w:rsidRPr="00341B41">
        <w:rPr>
          <w:noProof/>
        </w:rPr>
        <w:t>84</w:t>
      </w:r>
      <w:r w:rsidRPr="00341B41">
        <w:rPr>
          <w:noProof/>
        </w:rPr>
        <w:fldChar w:fldCharType="end"/>
      </w:r>
    </w:p>
    <w:p w14:paraId="0A5888D7" w14:textId="77777777" w:rsidR="0081157C" w:rsidRPr="00341B41" w:rsidRDefault="0081157C">
      <w:pPr>
        <w:pStyle w:val="TableofFigures"/>
        <w:tabs>
          <w:tab w:val="right" w:leader="dot" w:pos="8817"/>
        </w:tabs>
        <w:rPr>
          <w:rFonts w:asciiTheme="minorHAnsi" w:eastAsiaTheme="minorEastAsia" w:hAnsiTheme="minorHAnsi"/>
          <w:noProof/>
          <w:szCs w:val="24"/>
          <w:lang w:val="en-US"/>
        </w:rPr>
      </w:pPr>
      <w:r w:rsidRPr="00341B41">
        <w:rPr>
          <w:noProof/>
        </w:rPr>
        <w:t>Table 4. Differences in anticipation accuracy between the two observed players</w:t>
      </w:r>
      <w:r w:rsidRPr="00341B41">
        <w:rPr>
          <w:noProof/>
        </w:rPr>
        <w:tab/>
      </w:r>
      <w:r w:rsidRPr="00341B41">
        <w:rPr>
          <w:noProof/>
        </w:rPr>
        <w:fldChar w:fldCharType="begin"/>
      </w:r>
      <w:r w:rsidRPr="00341B41">
        <w:rPr>
          <w:noProof/>
        </w:rPr>
        <w:instrText xml:space="preserve"> PAGEREF _Toc486260920 \h </w:instrText>
      </w:r>
      <w:r w:rsidRPr="00341B41">
        <w:rPr>
          <w:noProof/>
        </w:rPr>
      </w:r>
      <w:r w:rsidRPr="00341B41">
        <w:rPr>
          <w:noProof/>
        </w:rPr>
        <w:fldChar w:fldCharType="separate"/>
      </w:r>
      <w:r w:rsidRPr="00341B41">
        <w:rPr>
          <w:noProof/>
        </w:rPr>
        <w:t>86</w:t>
      </w:r>
      <w:r w:rsidRPr="00341B41">
        <w:rPr>
          <w:noProof/>
        </w:rPr>
        <w:fldChar w:fldCharType="end"/>
      </w:r>
    </w:p>
    <w:p w14:paraId="018661E6" w14:textId="77777777" w:rsidR="0081157C" w:rsidRPr="00341B41" w:rsidRDefault="0081157C">
      <w:pPr>
        <w:pStyle w:val="TableofFigures"/>
        <w:tabs>
          <w:tab w:val="right" w:leader="dot" w:pos="8817"/>
        </w:tabs>
        <w:rPr>
          <w:rFonts w:asciiTheme="minorHAnsi" w:eastAsiaTheme="minorEastAsia" w:hAnsiTheme="minorHAnsi"/>
          <w:noProof/>
          <w:szCs w:val="24"/>
          <w:lang w:val="en-US"/>
        </w:rPr>
      </w:pPr>
      <w:r w:rsidRPr="00341B41">
        <w:rPr>
          <w:noProof/>
        </w:rPr>
        <w:t>Table 5. Anticipation accuracy in the subset of trials showing a significant expertise effect</w:t>
      </w:r>
      <w:r w:rsidRPr="00341B41">
        <w:rPr>
          <w:noProof/>
        </w:rPr>
        <w:tab/>
      </w:r>
      <w:r w:rsidRPr="00341B41">
        <w:rPr>
          <w:noProof/>
        </w:rPr>
        <w:fldChar w:fldCharType="begin"/>
      </w:r>
      <w:r w:rsidRPr="00341B41">
        <w:rPr>
          <w:noProof/>
        </w:rPr>
        <w:instrText xml:space="preserve"> PAGEREF _Toc486260921 \h </w:instrText>
      </w:r>
      <w:r w:rsidRPr="00341B41">
        <w:rPr>
          <w:noProof/>
        </w:rPr>
      </w:r>
      <w:r w:rsidRPr="00341B41">
        <w:rPr>
          <w:noProof/>
        </w:rPr>
        <w:fldChar w:fldCharType="separate"/>
      </w:r>
      <w:r w:rsidRPr="00341B41">
        <w:rPr>
          <w:noProof/>
        </w:rPr>
        <w:t>87</w:t>
      </w:r>
      <w:r w:rsidRPr="00341B41">
        <w:rPr>
          <w:noProof/>
        </w:rPr>
        <w:fldChar w:fldCharType="end"/>
      </w:r>
    </w:p>
    <w:p w14:paraId="1B66541A" w14:textId="77777777" w:rsidR="0081157C" w:rsidRPr="00341B41" w:rsidRDefault="0081157C">
      <w:pPr>
        <w:pStyle w:val="TableofFigures"/>
        <w:tabs>
          <w:tab w:val="right" w:leader="dot" w:pos="8817"/>
        </w:tabs>
        <w:rPr>
          <w:rFonts w:asciiTheme="minorHAnsi" w:eastAsiaTheme="minorEastAsia" w:hAnsiTheme="minorHAnsi"/>
          <w:noProof/>
          <w:szCs w:val="24"/>
          <w:lang w:val="en-US"/>
        </w:rPr>
      </w:pPr>
      <w:r w:rsidRPr="00341B41">
        <w:rPr>
          <w:noProof/>
        </w:rPr>
        <w:t>Table 6. Talariach co-ordinates and Brodmann area estimates for dipole centroid location for each component cluster analysed</w:t>
      </w:r>
      <w:r w:rsidRPr="00341B41">
        <w:rPr>
          <w:noProof/>
        </w:rPr>
        <w:tab/>
      </w:r>
      <w:r w:rsidRPr="00341B41">
        <w:rPr>
          <w:noProof/>
        </w:rPr>
        <w:fldChar w:fldCharType="begin"/>
      </w:r>
      <w:r w:rsidRPr="00341B41">
        <w:rPr>
          <w:noProof/>
        </w:rPr>
        <w:instrText xml:space="preserve"> PAGEREF _Toc486260922 \h </w:instrText>
      </w:r>
      <w:r w:rsidRPr="00341B41">
        <w:rPr>
          <w:noProof/>
        </w:rPr>
      </w:r>
      <w:r w:rsidRPr="00341B41">
        <w:rPr>
          <w:noProof/>
        </w:rPr>
        <w:fldChar w:fldCharType="separate"/>
      </w:r>
      <w:r w:rsidRPr="00341B41">
        <w:rPr>
          <w:noProof/>
        </w:rPr>
        <w:t>125</w:t>
      </w:r>
      <w:r w:rsidRPr="00341B41">
        <w:rPr>
          <w:noProof/>
        </w:rPr>
        <w:fldChar w:fldCharType="end"/>
      </w:r>
    </w:p>
    <w:p w14:paraId="1749FEB7" w14:textId="77777777" w:rsidR="00EA1EA8" w:rsidRPr="00341B41" w:rsidRDefault="00EA1EA8" w:rsidP="00EA1EA8">
      <w:pPr>
        <w:pStyle w:val="TableofFigures"/>
      </w:pPr>
      <w:r w:rsidRPr="00341B41">
        <w:fldChar w:fldCharType="end"/>
      </w:r>
    </w:p>
    <w:p w14:paraId="40BC6216" w14:textId="77777777" w:rsidR="00EA1EA8" w:rsidRPr="00341B41" w:rsidRDefault="00EA1EA8" w:rsidP="00EA1EA8"/>
    <w:p w14:paraId="5967BFDD" w14:textId="77777777" w:rsidR="00EA1EA8" w:rsidRPr="00341B41" w:rsidRDefault="00EA1EA8" w:rsidP="00EA1EA8">
      <w:pPr>
        <w:sectPr w:rsidR="00EA1EA8" w:rsidRPr="00341B41" w:rsidSect="00661E89">
          <w:footerReference w:type="default" r:id="rId12"/>
          <w:pgSz w:w="12240" w:h="15840"/>
          <w:pgMar w:top="1440" w:right="1138" w:bottom="1440" w:left="2275" w:header="720" w:footer="720" w:gutter="0"/>
          <w:cols w:space="720"/>
          <w:docGrid w:linePitch="360"/>
        </w:sectPr>
      </w:pPr>
    </w:p>
    <w:p w14:paraId="160BC83A" w14:textId="1D98D7EC" w:rsidR="00EA1EA8" w:rsidRPr="00341B41" w:rsidRDefault="00EA1EA8" w:rsidP="00EA1EA8">
      <w:pPr>
        <w:pStyle w:val="Heading1"/>
      </w:pPr>
      <w:bookmarkStart w:id="8" w:name="_Toc486260824"/>
      <w:r w:rsidRPr="00341B41">
        <w:lastRenderedPageBreak/>
        <w:t>List of figures</w:t>
      </w:r>
      <w:bookmarkEnd w:id="8"/>
    </w:p>
    <w:p w14:paraId="6F9336BD" w14:textId="77777777" w:rsidR="00F707F9" w:rsidRDefault="00EA1EA8">
      <w:pPr>
        <w:pStyle w:val="TableofFigures"/>
        <w:tabs>
          <w:tab w:val="right" w:leader="dot" w:pos="8817"/>
        </w:tabs>
        <w:rPr>
          <w:rFonts w:asciiTheme="minorHAnsi" w:eastAsiaTheme="minorEastAsia" w:hAnsiTheme="minorHAnsi"/>
          <w:noProof/>
          <w:szCs w:val="24"/>
          <w:lang w:val="en-US"/>
        </w:rPr>
      </w:pPr>
      <w:r w:rsidRPr="00341B41">
        <w:fldChar w:fldCharType="begin"/>
      </w:r>
      <w:r w:rsidRPr="00341B41">
        <w:instrText xml:space="preserve"> TOC \c "Figure" </w:instrText>
      </w:r>
      <w:r w:rsidRPr="00341B41">
        <w:fldChar w:fldCharType="separate"/>
      </w:r>
      <w:r w:rsidR="00F707F9">
        <w:rPr>
          <w:noProof/>
        </w:rPr>
        <w:t>Figure 1. Set-up for the recording of the anticipation test</w:t>
      </w:r>
      <w:r w:rsidR="00F707F9">
        <w:rPr>
          <w:noProof/>
        </w:rPr>
        <w:tab/>
      </w:r>
      <w:r w:rsidR="00F707F9">
        <w:rPr>
          <w:noProof/>
        </w:rPr>
        <w:fldChar w:fldCharType="begin"/>
      </w:r>
      <w:r w:rsidR="00F707F9">
        <w:rPr>
          <w:noProof/>
        </w:rPr>
        <w:instrText xml:space="preserve"> PAGEREF _Toc488400750 \h </w:instrText>
      </w:r>
      <w:r w:rsidR="00F707F9">
        <w:rPr>
          <w:noProof/>
        </w:rPr>
      </w:r>
      <w:r w:rsidR="00F707F9">
        <w:rPr>
          <w:noProof/>
        </w:rPr>
        <w:fldChar w:fldCharType="separate"/>
      </w:r>
      <w:r w:rsidR="00F707F9">
        <w:rPr>
          <w:noProof/>
        </w:rPr>
        <w:t>78</w:t>
      </w:r>
      <w:r w:rsidR="00F707F9">
        <w:rPr>
          <w:noProof/>
        </w:rPr>
        <w:fldChar w:fldCharType="end"/>
      </w:r>
    </w:p>
    <w:p w14:paraId="7DA7ED0A"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 An example of a single trial in experiment 1</w:t>
      </w:r>
      <w:r>
        <w:rPr>
          <w:noProof/>
        </w:rPr>
        <w:tab/>
      </w:r>
      <w:r>
        <w:rPr>
          <w:noProof/>
        </w:rPr>
        <w:fldChar w:fldCharType="begin"/>
      </w:r>
      <w:r>
        <w:rPr>
          <w:noProof/>
        </w:rPr>
        <w:instrText xml:space="preserve"> PAGEREF _Toc488400751 \h </w:instrText>
      </w:r>
      <w:r>
        <w:rPr>
          <w:noProof/>
        </w:rPr>
      </w:r>
      <w:r>
        <w:rPr>
          <w:noProof/>
        </w:rPr>
        <w:fldChar w:fldCharType="separate"/>
      </w:r>
      <w:r>
        <w:rPr>
          <w:noProof/>
        </w:rPr>
        <w:t>79</w:t>
      </w:r>
      <w:r>
        <w:rPr>
          <w:noProof/>
        </w:rPr>
        <w:fldChar w:fldCharType="end"/>
      </w:r>
    </w:p>
    <w:p w14:paraId="2E3D868E"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3. An example of a single trial in experiment 2</w:t>
      </w:r>
      <w:r>
        <w:rPr>
          <w:noProof/>
        </w:rPr>
        <w:tab/>
      </w:r>
      <w:r>
        <w:rPr>
          <w:noProof/>
        </w:rPr>
        <w:fldChar w:fldCharType="begin"/>
      </w:r>
      <w:r>
        <w:rPr>
          <w:noProof/>
        </w:rPr>
        <w:instrText xml:space="preserve"> PAGEREF _Toc488400752 \h </w:instrText>
      </w:r>
      <w:r>
        <w:rPr>
          <w:noProof/>
        </w:rPr>
      </w:r>
      <w:r>
        <w:rPr>
          <w:noProof/>
        </w:rPr>
        <w:fldChar w:fldCharType="separate"/>
      </w:r>
      <w:r>
        <w:rPr>
          <w:noProof/>
        </w:rPr>
        <w:t>85</w:t>
      </w:r>
      <w:r>
        <w:rPr>
          <w:noProof/>
        </w:rPr>
        <w:fldChar w:fldCharType="end"/>
      </w:r>
    </w:p>
    <w:p w14:paraId="095FBB0C"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4. An example epoch</w:t>
      </w:r>
      <w:r>
        <w:rPr>
          <w:noProof/>
        </w:rPr>
        <w:tab/>
      </w:r>
      <w:r>
        <w:rPr>
          <w:noProof/>
        </w:rPr>
        <w:fldChar w:fldCharType="begin"/>
      </w:r>
      <w:r>
        <w:rPr>
          <w:noProof/>
        </w:rPr>
        <w:instrText xml:space="preserve"> PAGEREF _Toc488400753 \h </w:instrText>
      </w:r>
      <w:r>
        <w:rPr>
          <w:noProof/>
        </w:rPr>
      </w:r>
      <w:r>
        <w:rPr>
          <w:noProof/>
        </w:rPr>
        <w:fldChar w:fldCharType="separate"/>
      </w:r>
      <w:r>
        <w:rPr>
          <w:noProof/>
        </w:rPr>
        <w:t>100</w:t>
      </w:r>
      <w:r>
        <w:rPr>
          <w:noProof/>
        </w:rPr>
        <w:fldChar w:fldCharType="end"/>
      </w:r>
    </w:p>
    <w:p w14:paraId="38977D72"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5. BioSemi 128 electrode cap layout, with electrodes of interest highlighted</w:t>
      </w:r>
      <w:r>
        <w:rPr>
          <w:noProof/>
        </w:rPr>
        <w:tab/>
      </w:r>
      <w:r>
        <w:rPr>
          <w:noProof/>
        </w:rPr>
        <w:fldChar w:fldCharType="begin"/>
      </w:r>
      <w:r>
        <w:rPr>
          <w:noProof/>
        </w:rPr>
        <w:instrText xml:space="preserve"> PAGEREF _Toc488400754 \h </w:instrText>
      </w:r>
      <w:r>
        <w:rPr>
          <w:noProof/>
        </w:rPr>
      </w:r>
      <w:r>
        <w:rPr>
          <w:noProof/>
        </w:rPr>
        <w:fldChar w:fldCharType="separate"/>
      </w:r>
      <w:r>
        <w:rPr>
          <w:noProof/>
        </w:rPr>
        <w:t>101</w:t>
      </w:r>
      <w:r>
        <w:rPr>
          <w:noProof/>
        </w:rPr>
        <w:fldChar w:fldCharType="end"/>
      </w:r>
    </w:p>
    <w:p w14:paraId="26B46033"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6. Group differences in mu and beta activity at electrode C3</w:t>
      </w:r>
      <w:r>
        <w:rPr>
          <w:noProof/>
        </w:rPr>
        <w:tab/>
      </w:r>
      <w:r>
        <w:rPr>
          <w:noProof/>
        </w:rPr>
        <w:fldChar w:fldCharType="begin"/>
      </w:r>
      <w:r>
        <w:rPr>
          <w:noProof/>
        </w:rPr>
        <w:instrText xml:space="preserve"> PAGEREF _Toc488400755 \h </w:instrText>
      </w:r>
      <w:r>
        <w:rPr>
          <w:noProof/>
        </w:rPr>
      </w:r>
      <w:r>
        <w:rPr>
          <w:noProof/>
        </w:rPr>
        <w:fldChar w:fldCharType="separate"/>
      </w:r>
      <w:r>
        <w:rPr>
          <w:noProof/>
        </w:rPr>
        <w:t>105</w:t>
      </w:r>
      <w:r>
        <w:rPr>
          <w:noProof/>
        </w:rPr>
        <w:fldChar w:fldCharType="end"/>
      </w:r>
    </w:p>
    <w:p w14:paraId="70DB3993"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7. Group differences in mu and beta activity at electrode C4</w:t>
      </w:r>
      <w:r>
        <w:rPr>
          <w:noProof/>
        </w:rPr>
        <w:tab/>
      </w:r>
      <w:r>
        <w:rPr>
          <w:noProof/>
        </w:rPr>
        <w:fldChar w:fldCharType="begin"/>
      </w:r>
      <w:r>
        <w:rPr>
          <w:noProof/>
        </w:rPr>
        <w:instrText xml:space="preserve"> PAGEREF _Toc488400756 \h </w:instrText>
      </w:r>
      <w:r>
        <w:rPr>
          <w:noProof/>
        </w:rPr>
      </w:r>
      <w:r>
        <w:rPr>
          <w:noProof/>
        </w:rPr>
        <w:fldChar w:fldCharType="separate"/>
      </w:r>
      <w:r>
        <w:rPr>
          <w:noProof/>
        </w:rPr>
        <w:t>106</w:t>
      </w:r>
      <w:r>
        <w:rPr>
          <w:noProof/>
        </w:rPr>
        <w:fldChar w:fldCharType="end"/>
      </w:r>
    </w:p>
    <w:p w14:paraId="253CAD52"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8. Group differences in low (8-10Hz) and high (11-13Hz) mu activity at electrode sites C3 and C4</w:t>
      </w:r>
      <w:r>
        <w:rPr>
          <w:noProof/>
        </w:rPr>
        <w:tab/>
      </w:r>
      <w:r>
        <w:rPr>
          <w:noProof/>
        </w:rPr>
        <w:fldChar w:fldCharType="begin"/>
      </w:r>
      <w:r>
        <w:rPr>
          <w:noProof/>
        </w:rPr>
        <w:instrText xml:space="preserve"> PAGEREF _Toc488400757 \h </w:instrText>
      </w:r>
      <w:r>
        <w:rPr>
          <w:noProof/>
        </w:rPr>
      </w:r>
      <w:r>
        <w:rPr>
          <w:noProof/>
        </w:rPr>
        <w:fldChar w:fldCharType="separate"/>
      </w:r>
      <w:r>
        <w:rPr>
          <w:noProof/>
        </w:rPr>
        <w:t>108</w:t>
      </w:r>
      <w:r>
        <w:rPr>
          <w:noProof/>
        </w:rPr>
        <w:fldChar w:fldCharType="end"/>
      </w:r>
    </w:p>
    <w:p w14:paraId="23D1F271"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9. Control analyses at frontal, parietal, and occipital sites</w:t>
      </w:r>
      <w:r>
        <w:rPr>
          <w:noProof/>
        </w:rPr>
        <w:tab/>
      </w:r>
      <w:r>
        <w:rPr>
          <w:noProof/>
        </w:rPr>
        <w:fldChar w:fldCharType="begin"/>
      </w:r>
      <w:r>
        <w:rPr>
          <w:noProof/>
        </w:rPr>
        <w:instrText xml:space="preserve"> PAGEREF _Toc488400758 \h </w:instrText>
      </w:r>
      <w:r>
        <w:rPr>
          <w:noProof/>
        </w:rPr>
      </w:r>
      <w:r>
        <w:rPr>
          <w:noProof/>
        </w:rPr>
        <w:fldChar w:fldCharType="separate"/>
      </w:r>
      <w:r>
        <w:rPr>
          <w:noProof/>
        </w:rPr>
        <w:t>110</w:t>
      </w:r>
      <w:r>
        <w:rPr>
          <w:noProof/>
        </w:rPr>
        <w:fldChar w:fldCharType="end"/>
      </w:r>
    </w:p>
    <w:p w14:paraId="484E8FC0"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10. Dipole centroid location estimate for each independent component (IC) cluster within a three-shell boundary element model (BEM) of the Montreal Neurological Institute (MNI) standard brain</w:t>
      </w:r>
      <w:r>
        <w:rPr>
          <w:noProof/>
        </w:rPr>
        <w:tab/>
      </w:r>
      <w:r>
        <w:rPr>
          <w:noProof/>
        </w:rPr>
        <w:fldChar w:fldCharType="begin"/>
      </w:r>
      <w:r>
        <w:rPr>
          <w:noProof/>
        </w:rPr>
        <w:instrText xml:space="preserve"> PAGEREF _Toc488400759 \h </w:instrText>
      </w:r>
      <w:r>
        <w:rPr>
          <w:noProof/>
        </w:rPr>
      </w:r>
      <w:r>
        <w:rPr>
          <w:noProof/>
        </w:rPr>
        <w:fldChar w:fldCharType="separate"/>
      </w:r>
      <w:r>
        <w:rPr>
          <w:noProof/>
        </w:rPr>
        <w:t>124</w:t>
      </w:r>
      <w:r>
        <w:rPr>
          <w:noProof/>
        </w:rPr>
        <w:fldChar w:fldCharType="end"/>
      </w:r>
    </w:p>
    <w:p w14:paraId="08ED8328"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11. Group differences in the left sensorimotor component cluster</w:t>
      </w:r>
      <w:r>
        <w:rPr>
          <w:noProof/>
        </w:rPr>
        <w:tab/>
      </w:r>
      <w:r>
        <w:rPr>
          <w:noProof/>
        </w:rPr>
        <w:fldChar w:fldCharType="begin"/>
      </w:r>
      <w:r>
        <w:rPr>
          <w:noProof/>
        </w:rPr>
        <w:instrText xml:space="preserve"> PAGEREF _Toc488400760 \h </w:instrText>
      </w:r>
      <w:r>
        <w:rPr>
          <w:noProof/>
        </w:rPr>
      </w:r>
      <w:r>
        <w:rPr>
          <w:noProof/>
        </w:rPr>
        <w:fldChar w:fldCharType="separate"/>
      </w:r>
      <w:r>
        <w:rPr>
          <w:noProof/>
        </w:rPr>
        <w:t>127</w:t>
      </w:r>
      <w:r>
        <w:rPr>
          <w:noProof/>
        </w:rPr>
        <w:fldChar w:fldCharType="end"/>
      </w:r>
    </w:p>
    <w:p w14:paraId="1ACD572C"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12. Group differences in the right sensorimotor component cluster</w:t>
      </w:r>
      <w:r>
        <w:rPr>
          <w:noProof/>
        </w:rPr>
        <w:tab/>
      </w:r>
      <w:r>
        <w:rPr>
          <w:noProof/>
        </w:rPr>
        <w:fldChar w:fldCharType="begin"/>
      </w:r>
      <w:r>
        <w:rPr>
          <w:noProof/>
        </w:rPr>
        <w:instrText xml:space="preserve"> PAGEREF _Toc488400761 \h </w:instrText>
      </w:r>
      <w:r>
        <w:rPr>
          <w:noProof/>
        </w:rPr>
      </w:r>
      <w:r>
        <w:rPr>
          <w:noProof/>
        </w:rPr>
        <w:fldChar w:fldCharType="separate"/>
      </w:r>
      <w:r>
        <w:rPr>
          <w:noProof/>
        </w:rPr>
        <w:t>128</w:t>
      </w:r>
      <w:r>
        <w:rPr>
          <w:noProof/>
        </w:rPr>
        <w:fldChar w:fldCharType="end"/>
      </w:r>
    </w:p>
    <w:p w14:paraId="5295EAF4"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13. Relative power changes in mu and beta bands in the left sensorimotor component cluster</w:t>
      </w:r>
      <w:r>
        <w:rPr>
          <w:noProof/>
        </w:rPr>
        <w:tab/>
      </w:r>
      <w:r>
        <w:rPr>
          <w:noProof/>
        </w:rPr>
        <w:fldChar w:fldCharType="begin"/>
      </w:r>
      <w:r>
        <w:rPr>
          <w:noProof/>
        </w:rPr>
        <w:instrText xml:space="preserve"> PAGEREF _Toc488400762 \h </w:instrText>
      </w:r>
      <w:r>
        <w:rPr>
          <w:noProof/>
        </w:rPr>
      </w:r>
      <w:r>
        <w:rPr>
          <w:noProof/>
        </w:rPr>
        <w:fldChar w:fldCharType="separate"/>
      </w:r>
      <w:r>
        <w:rPr>
          <w:noProof/>
        </w:rPr>
        <w:t>131</w:t>
      </w:r>
      <w:r>
        <w:rPr>
          <w:noProof/>
        </w:rPr>
        <w:fldChar w:fldCharType="end"/>
      </w:r>
    </w:p>
    <w:p w14:paraId="5C6386C7"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14. Relative power changes in mu and beta bands in the right sensorimotor component cluster</w:t>
      </w:r>
      <w:r>
        <w:rPr>
          <w:noProof/>
        </w:rPr>
        <w:tab/>
      </w:r>
      <w:r>
        <w:rPr>
          <w:noProof/>
        </w:rPr>
        <w:fldChar w:fldCharType="begin"/>
      </w:r>
      <w:r>
        <w:rPr>
          <w:noProof/>
        </w:rPr>
        <w:instrText xml:space="preserve"> PAGEREF _Toc488400763 \h </w:instrText>
      </w:r>
      <w:r>
        <w:rPr>
          <w:noProof/>
        </w:rPr>
      </w:r>
      <w:r>
        <w:rPr>
          <w:noProof/>
        </w:rPr>
        <w:fldChar w:fldCharType="separate"/>
      </w:r>
      <w:r>
        <w:rPr>
          <w:noProof/>
        </w:rPr>
        <w:t>133</w:t>
      </w:r>
      <w:r>
        <w:rPr>
          <w:noProof/>
        </w:rPr>
        <w:fldChar w:fldCharType="end"/>
      </w:r>
    </w:p>
    <w:p w14:paraId="71366EF6"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15. Group differences in frontal, posterior, and occipital clusters</w:t>
      </w:r>
      <w:r>
        <w:rPr>
          <w:noProof/>
        </w:rPr>
        <w:tab/>
      </w:r>
      <w:r>
        <w:rPr>
          <w:noProof/>
        </w:rPr>
        <w:fldChar w:fldCharType="begin"/>
      </w:r>
      <w:r>
        <w:rPr>
          <w:noProof/>
        </w:rPr>
        <w:instrText xml:space="preserve"> PAGEREF _Toc488400764 \h </w:instrText>
      </w:r>
      <w:r>
        <w:rPr>
          <w:noProof/>
        </w:rPr>
      </w:r>
      <w:r>
        <w:rPr>
          <w:noProof/>
        </w:rPr>
        <w:fldChar w:fldCharType="separate"/>
      </w:r>
      <w:r>
        <w:rPr>
          <w:noProof/>
        </w:rPr>
        <w:t>135</w:t>
      </w:r>
      <w:r>
        <w:rPr>
          <w:noProof/>
        </w:rPr>
        <w:fldChar w:fldCharType="end"/>
      </w:r>
    </w:p>
    <w:p w14:paraId="504BB812"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16. Comparison of correct versus incorrect trials in the left sensorimotor cluster</w:t>
      </w:r>
      <w:r>
        <w:rPr>
          <w:noProof/>
        </w:rPr>
        <w:tab/>
      </w:r>
      <w:r>
        <w:rPr>
          <w:noProof/>
        </w:rPr>
        <w:fldChar w:fldCharType="begin"/>
      </w:r>
      <w:r>
        <w:rPr>
          <w:noProof/>
        </w:rPr>
        <w:instrText xml:space="preserve"> PAGEREF _Toc488400765 \h </w:instrText>
      </w:r>
      <w:r>
        <w:rPr>
          <w:noProof/>
        </w:rPr>
      </w:r>
      <w:r>
        <w:rPr>
          <w:noProof/>
        </w:rPr>
        <w:fldChar w:fldCharType="separate"/>
      </w:r>
      <w:r>
        <w:rPr>
          <w:noProof/>
        </w:rPr>
        <w:t>149</w:t>
      </w:r>
      <w:r>
        <w:rPr>
          <w:noProof/>
        </w:rPr>
        <w:fldChar w:fldCharType="end"/>
      </w:r>
    </w:p>
    <w:p w14:paraId="03E1692D"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17. Comparison of correct versus incorrect trials in the right sensorimotor cluster</w:t>
      </w:r>
      <w:r>
        <w:rPr>
          <w:noProof/>
        </w:rPr>
        <w:tab/>
      </w:r>
      <w:r>
        <w:rPr>
          <w:noProof/>
        </w:rPr>
        <w:fldChar w:fldCharType="begin"/>
      </w:r>
      <w:r>
        <w:rPr>
          <w:noProof/>
        </w:rPr>
        <w:instrText xml:space="preserve"> PAGEREF _Toc488400766 \h </w:instrText>
      </w:r>
      <w:r>
        <w:rPr>
          <w:noProof/>
        </w:rPr>
      </w:r>
      <w:r>
        <w:rPr>
          <w:noProof/>
        </w:rPr>
        <w:fldChar w:fldCharType="separate"/>
      </w:r>
      <w:r>
        <w:rPr>
          <w:noProof/>
        </w:rPr>
        <w:t>151</w:t>
      </w:r>
      <w:r>
        <w:rPr>
          <w:noProof/>
        </w:rPr>
        <w:fldChar w:fldCharType="end"/>
      </w:r>
    </w:p>
    <w:p w14:paraId="798CA6A1"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18. Differences between mu (8-13Hz) and beta (15-25Hz) power during successful and unsuccessful anticipation in the experienced and less experienced group in the left sensorimotor cluster</w:t>
      </w:r>
      <w:r>
        <w:rPr>
          <w:noProof/>
        </w:rPr>
        <w:tab/>
      </w:r>
      <w:r>
        <w:rPr>
          <w:noProof/>
        </w:rPr>
        <w:fldChar w:fldCharType="begin"/>
      </w:r>
      <w:r>
        <w:rPr>
          <w:noProof/>
        </w:rPr>
        <w:instrText xml:space="preserve"> PAGEREF _Toc488400767 \h </w:instrText>
      </w:r>
      <w:r>
        <w:rPr>
          <w:noProof/>
        </w:rPr>
      </w:r>
      <w:r>
        <w:rPr>
          <w:noProof/>
        </w:rPr>
        <w:fldChar w:fldCharType="separate"/>
      </w:r>
      <w:r>
        <w:rPr>
          <w:noProof/>
        </w:rPr>
        <w:t>156</w:t>
      </w:r>
      <w:r>
        <w:rPr>
          <w:noProof/>
        </w:rPr>
        <w:fldChar w:fldCharType="end"/>
      </w:r>
    </w:p>
    <w:p w14:paraId="23E1730A"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19. Differences between mu (8-13Hz) and beta (15-25Hz) power during successful and unsuccessful anticipation in the experienced and less experienced group in the right sensorimotor cluster</w:t>
      </w:r>
      <w:r>
        <w:rPr>
          <w:noProof/>
        </w:rPr>
        <w:tab/>
      </w:r>
      <w:r>
        <w:rPr>
          <w:noProof/>
        </w:rPr>
        <w:fldChar w:fldCharType="begin"/>
      </w:r>
      <w:r>
        <w:rPr>
          <w:noProof/>
        </w:rPr>
        <w:instrText xml:space="preserve"> PAGEREF _Toc488400768 \h </w:instrText>
      </w:r>
      <w:r>
        <w:rPr>
          <w:noProof/>
        </w:rPr>
      </w:r>
      <w:r>
        <w:rPr>
          <w:noProof/>
        </w:rPr>
        <w:fldChar w:fldCharType="separate"/>
      </w:r>
      <w:r>
        <w:rPr>
          <w:noProof/>
        </w:rPr>
        <w:t>158</w:t>
      </w:r>
      <w:r>
        <w:rPr>
          <w:noProof/>
        </w:rPr>
        <w:fldChar w:fldCharType="end"/>
      </w:r>
    </w:p>
    <w:p w14:paraId="1B07068D"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lastRenderedPageBreak/>
        <w:t>Figure 20. Correlations between relative power change in sensorimotor activity and individual anticipation accuracy</w:t>
      </w:r>
      <w:r>
        <w:rPr>
          <w:noProof/>
        </w:rPr>
        <w:tab/>
      </w:r>
      <w:r>
        <w:rPr>
          <w:noProof/>
        </w:rPr>
        <w:fldChar w:fldCharType="begin"/>
      </w:r>
      <w:r>
        <w:rPr>
          <w:noProof/>
        </w:rPr>
        <w:instrText xml:space="preserve"> PAGEREF _Toc488400769 \h </w:instrText>
      </w:r>
      <w:r>
        <w:rPr>
          <w:noProof/>
        </w:rPr>
      </w:r>
      <w:r>
        <w:rPr>
          <w:noProof/>
        </w:rPr>
        <w:fldChar w:fldCharType="separate"/>
      </w:r>
      <w:r>
        <w:rPr>
          <w:noProof/>
        </w:rPr>
        <w:t>160</w:t>
      </w:r>
      <w:r>
        <w:rPr>
          <w:noProof/>
        </w:rPr>
        <w:fldChar w:fldCharType="end"/>
      </w:r>
    </w:p>
    <w:p w14:paraId="7793005F"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21.  Correlations between relative power change in sensorimotor activity in the left cluster and tennis experience</w:t>
      </w:r>
      <w:r>
        <w:rPr>
          <w:noProof/>
        </w:rPr>
        <w:tab/>
      </w:r>
      <w:r>
        <w:rPr>
          <w:noProof/>
        </w:rPr>
        <w:fldChar w:fldCharType="begin"/>
      </w:r>
      <w:r>
        <w:rPr>
          <w:noProof/>
        </w:rPr>
        <w:instrText xml:space="preserve"> PAGEREF _Toc488400770 \h </w:instrText>
      </w:r>
      <w:r>
        <w:rPr>
          <w:noProof/>
        </w:rPr>
      </w:r>
      <w:r>
        <w:rPr>
          <w:noProof/>
        </w:rPr>
        <w:fldChar w:fldCharType="separate"/>
      </w:r>
      <w:r>
        <w:rPr>
          <w:noProof/>
        </w:rPr>
        <w:t>162</w:t>
      </w:r>
      <w:r>
        <w:rPr>
          <w:noProof/>
        </w:rPr>
        <w:fldChar w:fldCharType="end"/>
      </w:r>
    </w:p>
    <w:p w14:paraId="5D8242B5"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22. Correlations between relative power change in sensorimotor activity in the right cluster and tennis experience</w:t>
      </w:r>
      <w:r>
        <w:rPr>
          <w:noProof/>
        </w:rPr>
        <w:tab/>
      </w:r>
      <w:r>
        <w:rPr>
          <w:noProof/>
        </w:rPr>
        <w:fldChar w:fldCharType="begin"/>
      </w:r>
      <w:r>
        <w:rPr>
          <w:noProof/>
        </w:rPr>
        <w:instrText xml:space="preserve"> PAGEREF _Toc488400771 \h </w:instrText>
      </w:r>
      <w:r>
        <w:rPr>
          <w:noProof/>
        </w:rPr>
      </w:r>
      <w:r>
        <w:rPr>
          <w:noProof/>
        </w:rPr>
        <w:fldChar w:fldCharType="separate"/>
      </w:r>
      <w:r>
        <w:rPr>
          <w:noProof/>
        </w:rPr>
        <w:t>164</w:t>
      </w:r>
      <w:r>
        <w:rPr>
          <w:noProof/>
        </w:rPr>
        <w:fldChar w:fldCharType="end"/>
      </w:r>
    </w:p>
    <w:p w14:paraId="6945FFE1"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23. Individual ERSP plots (4-50Hz) for each participant in the experienced group at electrode D19.</w:t>
      </w:r>
      <w:r>
        <w:rPr>
          <w:noProof/>
        </w:rPr>
        <w:tab/>
      </w:r>
      <w:r>
        <w:rPr>
          <w:noProof/>
        </w:rPr>
        <w:fldChar w:fldCharType="begin"/>
      </w:r>
      <w:r>
        <w:rPr>
          <w:noProof/>
        </w:rPr>
        <w:instrText xml:space="preserve"> PAGEREF _Toc488400772 \h </w:instrText>
      </w:r>
      <w:r>
        <w:rPr>
          <w:noProof/>
        </w:rPr>
      </w:r>
      <w:r>
        <w:rPr>
          <w:noProof/>
        </w:rPr>
        <w:fldChar w:fldCharType="separate"/>
      </w:r>
      <w:r>
        <w:rPr>
          <w:noProof/>
        </w:rPr>
        <w:t>228</w:t>
      </w:r>
      <w:r>
        <w:rPr>
          <w:noProof/>
        </w:rPr>
        <w:fldChar w:fldCharType="end"/>
      </w:r>
    </w:p>
    <w:p w14:paraId="3D764AAE"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24. Individual ERSP plots (4-50Hz) for each participant in the unexperienced  group at electrode D19.</w:t>
      </w:r>
      <w:r>
        <w:rPr>
          <w:noProof/>
        </w:rPr>
        <w:tab/>
      </w:r>
      <w:r>
        <w:rPr>
          <w:noProof/>
        </w:rPr>
        <w:fldChar w:fldCharType="begin"/>
      </w:r>
      <w:r>
        <w:rPr>
          <w:noProof/>
        </w:rPr>
        <w:instrText xml:space="preserve"> PAGEREF _Toc488400773 \h </w:instrText>
      </w:r>
      <w:r>
        <w:rPr>
          <w:noProof/>
        </w:rPr>
      </w:r>
      <w:r>
        <w:rPr>
          <w:noProof/>
        </w:rPr>
        <w:fldChar w:fldCharType="separate"/>
      </w:r>
      <w:r>
        <w:rPr>
          <w:noProof/>
        </w:rPr>
        <w:t>229</w:t>
      </w:r>
      <w:r>
        <w:rPr>
          <w:noProof/>
        </w:rPr>
        <w:fldChar w:fldCharType="end"/>
      </w:r>
    </w:p>
    <w:p w14:paraId="7E1BDD48"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25. Individual ERSP plots (4-50Hz) for each participant in the experienced group at electrode B22.</w:t>
      </w:r>
      <w:r>
        <w:rPr>
          <w:noProof/>
        </w:rPr>
        <w:tab/>
      </w:r>
      <w:r>
        <w:rPr>
          <w:noProof/>
        </w:rPr>
        <w:fldChar w:fldCharType="begin"/>
      </w:r>
      <w:r>
        <w:rPr>
          <w:noProof/>
        </w:rPr>
        <w:instrText xml:space="preserve"> PAGEREF _Toc488400774 \h </w:instrText>
      </w:r>
      <w:r>
        <w:rPr>
          <w:noProof/>
        </w:rPr>
      </w:r>
      <w:r>
        <w:rPr>
          <w:noProof/>
        </w:rPr>
        <w:fldChar w:fldCharType="separate"/>
      </w:r>
      <w:r>
        <w:rPr>
          <w:noProof/>
        </w:rPr>
        <w:t>230</w:t>
      </w:r>
      <w:r>
        <w:rPr>
          <w:noProof/>
        </w:rPr>
        <w:fldChar w:fldCharType="end"/>
      </w:r>
    </w:p>
    <w:p w14:paraId="0E051ED3"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26. Individual ERSP plots (4-50Hz) for each participant in the experienced group at electrode B22.</w:t>
      </w:r>
      <w:r>
        <w:rPr>
          <w:noProof/>
        </w:rPr>
        <w:tab/>
      </w:r>
      <w:r>
        <w:rPr>
          <w:noProof/>
        </w:rPr>
        <w:fldChar w:fldCharType="begin"/>
      </w:r>
      <w:r>
        <w:rPr>
          <w:noProof/>
        </w:rPr>
        <w:instrText xml:space="preserve"> PAGEREF _Toc488400775 \h </w:instrText>
      </w:r>
      <w:r>
        <w:rPr>
          <w:noProof/>
        </w:rPr>
      </w:r>
      <w:r>
        <w:rPr>
          <w:noProof/>
        </w:rPr>
        <w:fldChar w:fldCharType="separate"/>
      </w:r>
      <w:r>
        <w:rPr>
          <w:noProof/>
        </w:rPr>
        <w:t>231</w:t>
      </w:r>
      <w:r>
        <w:rPr>
          <w:noProof/>
        </w:rPr>
        <w:fldChar w:fldCharType="end"/>
      </w:r>
    </w:p>
    <w:p w14:paraId="757C4E4E"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27. Individual ERSP plots (4-50Hz) for each participant in the experienced group within the left sensorimotor component cluster.</w:t>
      </w:r>
      <w:r>
        <w:rPr>
          <w:noProof/>
        </w:rPr>
        <w:tab/>
      </w:r>
      <w:r>
        <w:rPr>
          <w:noProof/>
        </w:rPr>
        <w:fldChar w:fldCharType="begin"/>
      </w:r>
      <w:r>
        <w:rPr>
          <w:noProof/>
        </w:rPr>
        <w:instrText xml:space="preserve"> PAGEREF _Toc488400776 \h </w:instrText>
      </w:r>
      <w:r>
        <w:rPr>
          <w:noProof/>
        </w:rPr>
      </w:r>
      <w:r>
        <w:rPr>
          <w:noProof/>
        </w:rPr>
        <w:fldChar w:fldCharType="separate"/>
      </w:r>
      <w:r>
        <w:rPr>
          <w:noProof/>
        </w:rPr>
        <w:t>232</w:t>
      </w:r>
      <w:r>
        <w:rPr>
          <w:noProof/>
        </w:rPr>
        <w:fldChar w:fldCharType="end"/>
      </w:r>
    </w:p>
    <w:p w14:paraId="3CD4F561"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28. Individual ERSP plots (4-50Hz) for each participant in the unexperienced group within the left sensorimotor component cluster.</w:t>
      </w:r>
      <w:r>
        <w:rPr>
          <w:noProof/>
        </w:rPr>
        <w:tab/>
      </w:r>
      <w:r>
        <w:rPr>
          <w:noProof/>
        </w:rPr>
        <w:fldChar w:fldCharType="begin"/>
      </w:r>
      <w:r>
        <w:rPr>
          <w:noProof/>
        </w:rPr>
        <w:instrText xml:space="preserve"> PAGEREF _Toc488400777 \h </w:instrText>
      </w:r>
      <w:r>
        <w:rPr>
          <w:noProof/>
        </w:rPr>
      </w:r>
      <w:r>
        <w:rPr>
          <w:noProof/>
        </w:rPr>
        <w:fldChar w:fldCharType="separate"/>
      </w:r>
      <w:r>
        <w:rPr>
          <w:noProof/>
        </w:rPr>
        <w:t>233</w:t>
      </w:r>
      <w:r>
        <w:rPr>
          <w:noProof/>
        </w:rPr>
        <w:fldChar w:fldCharType="end"/>
      </w:r>
    </w:p>
    <w:p w14:paraId="50D66B92"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29. Individual ERSP plots (4-50Hz) for each participant in the experienced group within the right sensorimotor component cluster.</w:t>
      </w:r>
      <w:r>
        <w:rPr>
          <w:noProof/>
        </w:rPr>
        <w:tab/>
      </w:r>
      <w:r>
        <w:rPr>
          <w:noProof/>
        </w:rPr>
        <w:fldChar w:fldCharType="begin"/>
      </w:r>
      <w:r>
        <w:rPr>
          <w:noProof/>
        </w:rPr>
        <w:instrText xml:space="preserve"> PAGEREF _Toc488400778 \h </w:instrText>
      </w:r>
      <w:r>
        <w:rPr>
          <w:noProof/>
        </w:rPr>
      </w:r>
      <w:r>
        <w:rPr>
          <w:noProof/>
        </w:rPr>
        <w:fldChar w:fldCharType="separate"/>
      </w:r>
      <w:r>
        <w:rPr>
          <w:noProof/>
        </w:rPr>
        <w:t>234</w:t>
      </w:r>
      <w:r>
        <w:rPr>
          <w:noProof/>
        </w:rPr>
        <w:fldChar w:fldCharType="end"/>
      </w:r>
    </w:p>
    <w:p w14:paraId="4CE99801"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30. Individual ERSP plots (4-50Hz) for each participant in the experienced group within the right sensorimotor component cluster.</w:t>
      </w:r>
      <w:r>
        <w:rPr>
          <w:noProof/>
        </w:rPr>
        <w:tab/>
      </w:r>
      <w:r>
        <w:rPr>
          <w:noProof/>
        </w:rPr>
        <w:fldChar w:fldCharType="begin"/>
      </w:r>
      <w:r>
        <w:rPr>
          <w:noProof/>
        </w:rPr>
        <w:instrText xml:space="preserve"> PAGEREF _Toc488400779 \h </w:instrText>
      </w:r>
      <w:r>
        <w:rPr>
          <w:noProof/>
        </w:rPr>
      </w:r>
      <w:r>
        <w:rPr>
          <w:noProof/>
        </w:rPr>
        <w:fldChar w:fldCharType="separate"/>
      </w:r>
      <w:r>
        <w:rPr>
          <w:noProof/>
        </w:rPr>
        <w:t>235</w:t>
      </w:r>
      <w:r>
        <w:rPr>
          <w:noProof/>
        </w:rPr>
        <w:fldChar w:fldCharType="end"/>
      </w:r>
    </w:p>
    <w:p w14:paraId="387941A5"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31. Individual participant scalp maps for the left sensorimotor cluster</w:t>
      </w:r>
      <w:r>
        <w:rPr>
          <w:noProof/>
        </w:rPr>
        <w:tab/>
      </w:r>
      <w:r>
        <w:rPr>
          <w:noProof/>
        </w:rPr>
        <w:fldChar w:fldCharType="begin"/>
      </w:r>
      <w:r>
        <w:rPr>
          <w:noProof/>
        </w:rPr>
        <w:instrText xml:space="preserve"> PAGEREF _Toc488400780 \h </w:instrText>
      </w:r>
      <w:r>
        <w:rPr>
          <w:noProof/>
        </w:rPr>
      </w:r>
      <w:r>
        <w:rPr>
          <w:noProof/>
        </w:rPr>
        <w:fldChar w:fldCharType="separate"/>
      </w:r>
      <w:r>
        <w:rPr>
          <w:noProof/>
        </w:rPr>
        <w:t>236</w:t>
      </w:r>
      <w:r>
        <w:rPr>
          <w:noProof/>
        </w:rPr>
        <w:fldChar w:fldCharType="end"/>
      </w:r>
    </w:p>
    <w:p w14:paraId="1ED82445" w14:textId="77777777" w:rsidR="00F707F9" w:rsidRDefault="00F707F9">
      <w:pPr>
        <w:pStyle w:val="TableofFigures"/>
        <w:tabs>
          <w:tab w:val="right" w:leader="dot" w:pos="8817"/>
        </w:tabs>
        <w:rPr>
          <w:rFonts w:asciiTheme="minorHAnsi" w:eastAsiaTheme="minorEastAsia" w:hAnsiTheme="minorHAnsi"/>
          <w:noProof/>
          <w:szCs w:val="24"/>
          <w:lang w:val="en-US"/>
        </w:rPr>
      </w:pPr>
      <w:r>
        <w:rPr>
          <w:noProof/>
        </w:rPr>
        <w:t>Figure 32. Individual participant scalp maps for the right sensorimotor cluster</w:t>
      </w:r>
      <w:r>
        <w:rPr>
          <w:noProof/>
        </w:rPr>
        <w:tab/>
      </w:r>
      <w:r>
        <w:rPr>
          <w:noProof/>
        </w:rPr>
        <w:fldChar w:fldCharType="begin"/>
      </w:r>
      <w:r>
        <w:rPr>
          <w:noProof/>
        </w:rPr>
        <w:instrText xml:space="preserve"> PAGEREF _Toc488400781 \h </w:instrText>
      </w:r>
      <w:r>
        <w:rPr>
          <w:noProof/>
        </w:rPr>
      </w:r>
      <w:r>
        <w:rPr>
          <w:noProof/>
        </w:rPr>
        <w:fldChar w:fldCharType="separate"/>
      </w:r>
      <w:r>
        <w:rPr>
          <w:noProof/>
        </w:rPr>
        <w:t>237</w:t>
      </w:r>
      <w:r>
        <w:rPr>
          <w:noProof/>
        </w:rPr>
        <w:fldChar w:fldCharType="end"/>
      </w:r>
    </w:p>
    <w:p w14:paraId="7C387977" w14:textId="77777777" w:rsidR="00EA1EA8" w:rsidRPr="00341B41" w:rsidRDefault="00EA1EA8" w:rsidP="00EA1EA8">
      <w:pPr>
        <w:pStyle w:val="TableofFigures"/>
      </w:pPr>
      <w:r w:rsidRPr="00341B41">
        <w:fldChar w:fldCharType="end"/>
      </w:r>
    </w:p>
    <w:p w14:paraId="5AAA94E6" w14:textId="77777777" w:rsidR="00EA1EA8" w:rsidRPr="00341B41" w:rsidRDefault="00EA1EA8" w:rsidP="00EA1EA8"/>
    <w:p w14:paraId="6E98F36E" w14:textId="77777777" w:rsidR="00EA1EA8" w:rsidRPr="00341B41" w:rsidRDefault="00EA1EA8" w:rsidP="00EA1EA8">
      <w:pPr>
        <w:sectPr w:rsidR="00EA1EA8" w:rsidRPr="00341B41" w:rsidSect="00661E89">
          <w:pgSz w:w="12240" w:h="15840"/>
          <w:pgMar w:top="1440" w:right="1138" w:bottom="1440" w:left="2275" w:header="720" w:footer="720" w:gutter="0"/>
          <w:cols w:space="720"/>
          <w:docGrid w:linePitch="360"/>
        </w:sectPr>
      </w:pPr>
    </w:p>
    <w:p w14:paraId="5D1F24FA" w14:textId="5F9A0396" w:rsidR="00EA1EA8" w:rsidRPr="00341B41" w:rsidRDefault="00EA1EA8" w:rsidP="00EA1EA8">
      <w:pPr>
        <w:pStyle w:val="Heading1"/>
      </w:pPr>
      <w:bookmarkStart w:id="9" w:name="_Toc486260825"/>
      <w:r w:rsidRPr="00341B41">
        <w:lastRenderedPageBreak/>
        <w:t>Chapter 1 – The perceptual, cognitive, and neural mechanisms underlying action anticipation skill in sports</w:t>
      </w:r>
      <w:bookmarkEnd w:id="9"/>
    </w:p>
    <w:p w14:paraId="43F6C702" w14:textId="6BC3A5E0" w:rsidR="008D62A6" w:rsidRPr="00341B41" w:rsidRDefault="008D62A6" w:rsidP="00D31BE2">
      <w:pPr>
        <w:pStyle w:val="Heading2"/>
        <w:numPr>
          <w:ilvl w:val="1"/>
          <w:numId w:val="16"/>
        </w:numPr>
      </w:pPr>
      <w:bookmarkStart w:id="10" w:name="_Toc486260826"/>
      <w:r w:rsidRPr="00341B41">
        <w:t>Frameworks for studying expertise</w:t>
      </w:r>
      <w:bookmarkEnd w:id="10"/>
    </w:p>
    <w:p w14:paraId="7A2EAD84" w14:textId="7881AF2B" w:rsidR="00D31BE2" w:rsidRPr="00341B41" w:rsidRDefault="00D31BE2" w:rsidP="00D31BE2">
      <w:r w:rsidRPr="00341B41">
        <w:t xml:space="preserve">Research into the nature of expertise in a given domain can typically be divided into two broad approaches. The cognitive components approach attempts </w:t>
      </w:r>
      <w:r w:rsidR="002B1F2C" w:rsidRPr="00341B41">
        <w:t xml:space="preserve">to look for basic cognitive processes that underpin expertise. On the other hand, the expert performance approach seeks to study experts directly within their domain of expertise, and </w:t>
      </w:r>
      <w:r w:rsidR="007F296C" w:rsidRPr="00341B41">
        <w:t xml:space="preserve">attempt to isolate the mechanisms that distinguish their performance on a domain specific task from </w:t>
      </w:r>
      <w:r w:rsidR="00BC6FD5" w:rsidRPr="00341B41">
        <w:t>non-</w:t>
      </w:r>
      <w:r w:rsidR="007F296C" w:rsidRPr="00341B41">
        <w:t>experts.</w:t>
      </w:r>
    </w:p>
    <w:p w14:paraId="5B38E4A3" w14:textId="21793E87" w:rsidR="00D07C34" w:rsidRPr="00341B41" w:rsidRDefault="00DE6BDA" w:rsidP="00D07C34">
      <w:pPr>
        <w:pStyle w:val="Heading3"/>
      </w:pPr>
      <w:bookmarkStart w:id="11" w:name="_Toc486260827"/>
      <w:r w:rsidRPr="00341B41">
        <w:t>1.1</w:t>
      </w:r>
      <w:r w:rsidR="00D07C34" w:rsidRPr="00341B41">
        <w:t>.1.</w:t>
      </w:r>
      <w:r w:rsidR="00D07C34" w:rsidRPr="00341B41">
        <w:tab/>
        <w:t>Cognitive components approach</w:t>
      </w:r>
      <w:bookmarkEnd w:id="11"/>
    </w:p>
    <w:p w14:paraId="581C340A" w14:textId="02A3E2DD" w:rsidR="00D07C34" w:rsidRPr="00341B41" w:rsidRDefault="00D07C34" w:rsidP="00D07C34">
      <w:r w:rsidRPr="00341B41">
        <w:t xml:space="preserve">The cognitive components approach assumes that expertise in a given domain should be underpinned by measurable changes in the underlying, basic cognitive processes that presumably are required for the given skill </w:t>
      </w:r>
      <w:r w:rsidRPr="00341B41">
        <w:fldChar w:fldCharType="begin" w:fldLock="1"/>
      </w:r>
      <w:r w:rsidR="0019756D" w:rsidRPr="00341B41">
        <w:instrText>ADDIN CSL_CITATION { "citationItems" : [ { "id" : "ITEM-1", "itemData" : { "author" : [ { "dropping-particle" : "", "family" : "Nougier", "given" : "V", "non-dropping-particle" : "", "parse-names" : false, "suffix" : "" }, { "dropping-particle" : "", "family" : "Stein", "given" : "J.F.", "non-dropping-particle" : "", "parse-names" : false, "suffix" : "" }, { "dropping-particle" : "", "family" : "Bonnel", "given" : "A.M", "non-dropping-particle" : "", "parse-names" : false, "suffix" : "" } ], "container-title" : "International Journal of Sport Psychology", "id" : "ITEM-1", "issued" : { "date-parts" : [ [ "1991" ] ] }, "page" : "307-327", "title" : "Information processing in sport and orienting of attention", "type" : "article-journal", "volume" : "22" }, "uris" : [ "http://www.mendeley.com/documents/?uuid=a3dfcebf-49a6-4168-b970-602affa58068" ] } ], "mendeley" : { "formattedCitation" : "(Nougier, Stein, &amp; Bonnel, 1991)", "plainTextFormattedCitation" : "(Nougier, Stein, &amp; Bonnel, 1991)", "previouslyFormattedCitation" : "(Nougier, Stein, &amp; Bonnel, 1991)" }, "properties" : { "noteIndex" : 0 }, "schema" : "https://github.com/citation-style-language/schema/raw/master/csl-citation.json" }</w:instrText>
      </w:r>
      <w:r w:rsidRPr="00341B41">
        <w:fldChar w:fldCharType="separate"/>
      </w:r>
      <w:r w:rsidR="0098293B" w:rsidRPr="00341B41">
        <w:rPr>
          <w:noProof/>
        </w:rPr>
        <w:t>(Nougier, Stein, &amp; Bonnel, 1991)</w:t>
      </w:r>
      <w:r w:rsidRPr="00341B41">
        <w:fldChar w:fldCharType="end"/>
      </w:r>
      <w:r w:rsidRPr="00341B41">
        <w:t xml:space="preserve">. Whether experts and novices show differences in domain general, basic cognitive abilities is still unclear. To date the evidence for any differences </w:t>
      </w:r>
      <w:r w:rsidR="00493AA4" w:rsidRPr="00341B41">
        <w:t>are</w:t>
      </w:r>
      <w:r w:rsidRPr="00341B41">
        <w:t xml:space="preserve"> mixed, and appears to vary based upon the domain of expertise being studied. For instance, expert action video game players have been shown to perform better on a number of laboratory tasks tapping cognitive abilities such as selective attention </w:t>
      </w:r>
      <w:r w:rsidRPr="00341B41">
        <w:fldChar w:fldCharType="begin" w:fldLock="1"/>
      </w:r>
      <w:r w:rsidR="0019756D" w:rsidRPr="00341B41">
        <w:instrText>ADDIN CSL_CITATION { "citationItems" : [ { "id" : "ITEM-1", "itemData" : { "author" : [ { "dropping-particle" : "", "family" : "Green", "given" : "C Shawn", "non-dropping-particle" : "", "parse-names" : false, "suffix" : "" }, { "dropping-particle" : "", "family" : "Bavelier", "given" : "Daphne", "non-dropping-particle" : "", "parse-names" : false, "suffix" : "" } ], "container-title" : "Nature", "id" : "ITEM-1", "issue" : "May", "issued" : { "date-parts" : [ [ "2003" ] ] }, "page" : "3-6", "title" : "Action video game modifies visual selective attention", "type" : "article-journal", "volume" : "423" }, "uris" : [ "http://www.mendeley.com/documents/?uuid=5e8f8baa-8327-4ad8-8bfa-ce5fab5bc0d0" ] } ], "mendeley" : { "formattedCitation" : "(Green &amp; Bavelier, 2003)", "plainTextFormattedCitation" : "(Green &amp; Bavelier, 2003)", "previouslyFormattedCitation" : "(Green &amp; Bavelier, 2003)" }, "properties" : { "noteIndex" : 0 }, "schema" : "https://github.com/citation-style-language/schema/raw/master/csl-citation.json" }</w:instrText>
      </w:r>
      <w:r w:rsidRPr="00341B41">
        <w:fldChar w:fldCharType="separate"/>
      </w:r>
      <w:r w:rsidR="0098293B" w:rsidRPr="00341B41">
        <w:rPr>
          <w:noProof/>
        </w:rPr>
        <w:t>(Green &amp; Bavelier, 2003)</w:t>
      </w:r>
      <w:r w:rsidRPr="00341B41">
        <w:fldChar w:fldCharType="end"/>
      </w:r>
      <w:r w:rsidRPr="00341B41">
        <w:t xml:space="preserve">, working memory </w:t>
      </w:r>
      <w:r w:rsidRPr="00341B41">
        <w:fldChar w:fldCharType="begin" w:fldLock="1"/>
      </w:r>
      <w:r w:rsidR="0019756D" w:rsidRPr="00341B41">
        <w:instrText>ADDIN CSL_CITATION { "citationItems" : [ { "id" : "ITEM-1", "itemData" : { "DOI" : "10.3758/s13414-013-0487-0", "ISSN" : "1943-393X", "PMID" : "23709068", "abstract" : "Visual short-term memory (VSTM) is critical for acquiring visual knowledge and shows marked individual variability. Previous work has illustrated a VSTM advantage among action video game players (Boot et al. Acta Psychologica 129:387-398, 2008). A growing body of literature has suggested that action video game playing can bolster visual cognitive abilities in a domain-general manner, including abilities related to visual attention and the speed of processing, providing some potential bases for this VSTM advantage. In the present study, we investigated the VSTM advantage among video game players and assessed whether enhanced processing speed can account for this advantage. Experiment 1, using simple colored stimuli, revealed that action video game players demonstrate a similar VSTM advantage over nongamers, regardless of whether they are given limited or ample time to encode items into memory. Experiment 2, using complex shapes as the stimuli to increase the processing demands of the task, replicated this VSTM advantage, irrespective of encoding duration. These findings are inconsistent with a speed-of-processing account of this advantage. An alternative, attentional account, grounded in the existing literature on the visuo-cognitive consequences of video game play, is discussed.", "author" : [ { "dropping-particle" : "", "family" : "Blacker", "given" : "Kara J", "non-dropping-particle" : "", "parse-names" : false, "suffix" : "" }, { "dropping-particle" : "", "family" : "Curby", "given" : "Kim M", "non-dropping-particle" : "", "parse-names" : false, "suffix" : "" } ], "container-title" : "Attention, Perception and Psychophysics", "id" : "ITEM-1", "issue" : "6", "issued" : { "date-parts" : [ [ "2013" ] ] }, "page" : "1128-36", "title" : "Enhanced visual short-term memory in action video game players.", "type" : "article-journal", "volume" : "75" }, "uris" : [ "http://www.mendeley.com/documents/?uuid=ef65cfa0-b0ae-4874-aeac-a8b922e314fb" ] }, { "id" : "ITEM-2", "itemData" : { "DOI" : "10.1007/s00426-012-0415-2", "ISSN" : "0340-0727", "author" : [ { "dropping-particle" : "", "family" : "Colzato", "given" : "Lorenza S.", "non-dropping-particle" : "", "parse-names" : false, "suffix" : "" }, { "dropping-particle" : "", "family" : "Wildenberg", "given" : "Wery P. M.", "non-dropping-particle" : "van den", "parse-names" : false, "suffix" : "" }, { "dropping-particle" : "", "family" : "Zmigrod", "given" : "Sharon", "non-dropping-particle" : "", "parse-names" : false, "suffix" : "" }, { "dropping-particle" : "", "family" : "Hommel", "given" : "Bernhard", "non-dropping-particle" : "", "parse-names" : false, "suffix" : "" } ], "container-title" : "Psychological Research", "id" : "ITEM-2", "issue" : "2", "issued" : { "date-parts" : [ [ "2013" ] ] }, "page" : "234-239", "title" : "Action video gaming and cognitive control: playing first person shooter games is associated with improvement in working memory but not action inhibition", "type" : "article-journal", "volume" : "77" }, "uris" : [ "http://www.mendeley.com/documents/?uuid=54277584-74f0-4ee7-95a7-d9fbeae4002b" ] } ], "mendeley" : { "formattedCitation" : "(Blacker &amp; Curby, 2013; Colzato, van den Wildenberg, Zmigrod, &amp; Hommel, 2013)", "plainTextFormattedCitation" : "(Blacker &amp; Curby, 2013; Colzato, van den Wildenberg, Zmigrod, &amp; Hommel, 2013)", "previouslyFormattedCitation" : "(Blacker &amp; Curby, 2013; Colzato, van den Wildenberg, Zmigrod, &amp; Hommel, 2013)" }, "properties" : { "noteIndex" : 0 }, "schema" : "https://github.com/citation-style-language/schema/raw/master/csl-citation.json" }</w:instrText>
      </w:r>
      <w:r w:rsidRPr="00341B41">
        <w:fldChar w:fldCharType="separate"/>
      </w:r>
      <w:r w:rsidR="0098293B" w:rsidRPr="00341B41">
        <w:rPr>
          <w:noProof/>
        </w:rPr>
        <w:t>(Blacker &amp; Curby, 2013; Colzato, van den Wildenberg, Zmigrod, &amp; Hommel, 2013)</w:t>
      </w:r>
      <w:r w:rsidRPr="00341B41">
        <w:fldChar w:fldCharType="end"/>
      </w:r>
      <w:r w:rsidRPr="00341B41">
        <w:t xml:space="preserve">, and motor skills </w:t>
      </w:r>
      <w:r w:rsidRPr="00341B41">
        <w:fldChar w:fldCharType="begin" w:fldLock="1"/>
      </w:r>
      <w:r w:rsidR="0019756D" w:rsidRPr="00341B41">
        <w:instrText>ADDIN CSL_CITATION { "citationItems" : [ { "id" : "ITEM-1", "itemData" : { "DOI" : "10.1016/j.jsurg.2011.03.009", "ISSN" : "19317204", "author" : [ { "dropping-particle" : "", "family" : "Kennedy", "given" : "A.M.", "non-dropping-particle" : "", "parse-names" : false, "suffix" : "" }, { "dropping-particle" : "", "family" : "Boyle", "given" : "E.M.", "non-dropping-particle" : "", "parse-names" : false, "suffix" : "" }, { "dropping-particle" : "", "family" : "Traynor", "given" : "O.", "non-dropping-particle" : "", "parse-names" : false, "suffix" : "" }, { "dropping-particle" : "", "family" : "Walsh", "given" : "T.", "non-dropping-particle" : "", "parse-names" : false, "suffix" : "" }, { "dropping-particle" : "", "family" : "Hill", "given" : "A.D.K.", "non-dropping-particle" : "", "parse-names" : false, "suffix" : "" } ], "container-title" : "Journal of Surgical Education", "id" : "ITEM-1", "issue" : "5", "issued" : { "date-parts" : [ [ "2011" ] ] }, "page" : "414-420", "publisher" : "Elsevier Inc.", "title" : "Video Gaming Enhances Psychomotor Skills But Not Visuospatial and Perceptual Abilities in Surgical Trainees", "type" : "article-journal", "volume" : "68" }, "uris" : [ "http://www.mendeley.com/documents/?uuid=52fa06c4-8dee-4cb6-99f4-4f39a1054bb5" ] } ], "mendeley" : { "formattedCitation" : "(Kennedy, Boyle, Traynor, Walsh, &amp; Hill, 2011)", "plainTextFormattedCitation" : "(Kennedy, Boyle, Traynor, Walsh, &amp; Hill, 2011)", "previouslyFormattedCitation" : "(Kennedy, Boyle, Traynor, Walsh, &amp; Hill, 2011)" }, "properties" : { "noteIndex" : 0 }, "schema" : "https://github.com/citation-style-language/schema/raw/master/csl-citation.json" }</w:instrText>
      </w:r>
      <w:r w:rsidRPr="00341B41">
        <w:fldChar w:fldCharType="separate"/>
      </w:r>
      <w:r w:rsidR="0098293B" w:rsidRPr="00341B41">
        <w:rPr>
          <w:noProof/>
        </w:rPr>
        <w:t>(Kennedy, Boyle, Traynor, Walsh, &amp; Hill, 2011)</w:t>
      </w:r>
      <w:r w:rsidRPr="00341B41">
        <w:fldChar w:fldCharType="end"/>
      </w:r>
      <w:r w:rsidRPr="00341B41">
        <w:t xml:space="preserve">. Other studies however fail to find differences </w:t>
      </w:r>
      <w:r w:rsidRPr="00341B41">
        <w:fldChar w:fldCharType="begin" w:fldLock="1"/>
      </w:r>
      <w:r w:rsidR="0019756D" w:rsidRPr="00341B41">
        <w:instrText>ADDIN CSL_CITATION { "citationItems" : [ { "id" : "ITEM-1", "itemData" : { "DOI" : "10.1177/0956797615570367", "ISSN" : "0956-7976", "author" : [ { "dropping-particle" : "", "family" : "Unsworth", "given" : "N.", "non-dropping-particle" : "", "parse-names" : false, "suffix" : "" }, { "dropping-particle" : "", "family" : "Redick", "given" : "T. S.", "non-dropping-particle" : "", "parse-names" : false, "suffix" : "" }, { "dropping-particle" : "", "family" : "McMillan", "given" : "B. D.", "non-dropping-particle" : "", "parse-names" : false, "suffix" : "" }, { "dropping-particle" : "", "family" : "Hambrick", "given" : "D. Z.", "non-dropping-particle" : "", "parse-names" : false, "suffix" : "" }, { "dropping-particle" : "", "family" : "Kane", "given" : "M. J.", "non-dropping-particle" : "", "parse-names" : false, "suffix" : "" }, { "dropping-particle" : "", "family" : "Engle", "given" : "R. W.", "non-dropping-particle" : "", "parse-names" : false, "suffix" : "" } ], "container-title" : "Psychological Science", "id" : "ITEM-1", "issue" : "6", "issued" : { "date-parts" : [ [ "2015" ] ] }, "page" : "759-774", "title" : "Is Playing Video Games Related to Cognitive Abilities?", "type" : "article-journal", "volume" : "26" }, "uris" : [ "http://www.mendeley.com/documents/?uuid=67e5f63c-f000-4926-be84-dd1cd30a4d63" ] }, { "id" : "ITEM-2", "itemData" : { "DOI" : "10.1037/a0036923", "ISBN" : "0096-3445", "ISSN" : "1939-2222", "PMID" : "24933517", "abstract" : "Previous research suggests that playing action video games improves performance on sensory, perceptual, and attentional tasks. For instance, Green, Pouget, and Bavelier (2010) used the diffusion model to decompose data from a motion detection task and estimate the contribution of several underlying psychological processes. Their analysis indicated that playing action video games leads to faster information processing, reduced response caution, and no difference in motor responding. Because perceptual learning is generally thought to be highly context-specific, this transfer from gaming is surprising and warrants corroborative evidence from a large-scale training study. We conducted 2 experiments in which participants practiced either an action video game or a cognitive game in 5 separate, supervised sessions. Prior to each session and following the last session, participants performed a perceptual discrimination task. In the second experiment, we included a third condition in which no video games were played at all. Behavioral data and diffusion model parameters showed similar practice effects for the action gamers, the cognitive gamers, and the nongamers and suggest that, in contrast to earlier reports, playing action video games does not improve the speed of information processing in simple perceptual tasks. (PsycINFO Database Record (c) 2014 APA, all rights reserved).", "author" : [ { "dropping-particle" : "", "family" : "Ravenzwaaij", "given" : "Don", "non-dropping-particle" : "van", "parse-names" : false, "suffix" : "" }, { "dropping-particle" : "", "family" : "Boekel", "given" : "Wouter", "non-dropping-particle" : "", "parse-names" : false, "suffix" : "" }, { "dropping-particle" : "", "family" : "Forstmann", "given" : "Birte U", "non-dropping-particle" : "", "parse-names" : false, "suffix" : "" }, { "dropping-particle" : "", "family" : "Ratcliff", "given" : "Roger", "non-dropping-particle" : "", "parse-names" : false, "suffix" : "" }, { "dropping-particle" : "", "family" : "Wagenmakers", "given" : "Eric-Jan", "non-dropping-particle" : "", "parse-names" : false, "suffix" : "" } ], "container-title" : "Journal of Experimental Psychology: General", "id" : "ITEM-2", "issue" : "5", "issued" : { "date-parts" : [ [ "2014" ] ] }, "page" : "1-21", "title" : "Action Video Games Do Not Improve the Speed of Information Processing in Simple Perceptual Tasks", "type" : "article-journal", "volume" : "143" }, "uris" : [ "http://www.mendeley.com/documents/?uuid=1158b4cd-7101-4aaa-96a6-c55a9d65ba82" ] } ], "mendeley" : { "formattedCitation" : "(Unsworth et al., 2015; van Ravenzwaaij, Boekel, Forstmann, Ratcliff, &amp; Wagenmakers, 2014)", "plainTextFormattedCitation" : "(Unsworth et al., 2015; van Ravenzwaaij, Boekel, Forstmann, Ratcliff, &amp; Wagenmakers, 2014)", "previouslyFormattedCitation" : "(Unsworth et al., 2015; van Ravenzwaaij, Boekel, Forstmann, Ratcliff, &amp; Wagenmakers, 2014)" }, "properties" : { "noteIndex" : 0 }, "schema" : "https://github.com/citation-style-language/schema/raw/master/csl-citation.json" }</w:instrText>
      </w:r>
      <w:r w:rsidRPr="00341B41">
        <w:fldChar w:fldCharType="separate"/>
      </w:r>
      <w:r w:rsidR="0098293B" w:rsidRPr="00341B41">
        <w:rPr>
          <w:noProof/>
        </w:rPr>
        <w:t xml:space="preserve">(Unsworth et al., 2015; van Ravenzwaaij, Boekel, Forstmann, Ratcliff, &amp; </w:t>
      </w:r>
      <w:r w:rsidR="0098293B" w:rsidRPr="00341B41">
        <w:rPr>
          <w:noProof/>
        </w:rPr>
        <w:lastRenderedPageBreak/>
        <w:t>Wagenmakers, 2014)</w:t>
      </w:r>
      <w:r w:rsidRPr="00341B41">
        <w:fldChar w:fldCharType="end"/>
      </w:r>
      <w:r w:rsidRPr="00341B41">
        <w:t>. A recent meta-</w:t>
      </w:r>
      <w:r w:rsidR="00493AA4" w:rsidRPr="00341B41">
        <w:t>analysis</w:t>
      </w:r>
      <w:r w:rsidRPr="00341B41">
        <w:t xml:space="preserve"> suggested that the overall effects on cognitive components were small </w:t>
      </w:r>
      <w:r w:rsidRPr="00341B41">
        <w:fldChar w:fldCharType="begin" w:fldLock="1"/>
      </w:r>
      <w:r w:rsidR="0019756D" w:rsidRPr="00341B41">
        <w:instrText>ADDIN CSL_CITATION { "citationItems" : [ { "id" : "ITEM-1", "itemData" : { "DOI" : "10.3758/s13423-013-0418-z", "ISSN" : "1069-9384", "author" : [ { "dropping-particle" : "", "family" : "Powers", "given" : "Kasey L.", "non-dropping-particle" : "", "parse-names" : false, "suffix" : "" }, { "dropping-particle" : "", "family" : "Brooks", "given" : "Patricia J.", "non-dropping-particle" : "", "parse-names" : false, "suffix" : "" }, { "dropping-particle" : "", "family" : "Aldrich", "given" : "Naomi J.", "non-dropping-particle" : "", "parse-names" : false, "suffix" : "" }, { "dropping-particle" : "", "family" : "Palladino", "given" : "Melissa A.", "non-dropping-particle" : "", "parse-names" : false, "suffix" : "" }, { "dropping-particle" : "", "family" : "Alfieri", "given" : "Louis", "non-dropping-particle" : "", "parse-names" : false, "suffix" : "" } ], "container-title" : "Psychonomic Bulletin and Review", "id" : "ITEM-1", "issue" : "6", "issued" : { "date-parts" : [ [ "2013" ] ] }, "page" : "1055-1079", "title" : "Effects of video-game play on information processing: A meta-analytic investigation", "type" : "article-journal", "volume" : "20" }, "uris" : [ "http://www.mendeley.com/documents/?uuid=0a5c0b35-2acb-4328-89ac-d5a6c0bff555" ] } ], "mendeley" : { "formattedCitation" : "(Powers, Brooks, Aldrich, Palladino, &amp; Alfieri, 2013)", "plainTextFormattedCitation" : "(Powers, Brooks, Aldrich, Palladino, &amp; Alfieri, 2013)", "previouslyFormattedCitation" : "(Powers, Brooks, Aldrich, Palladino, &amp; Alfieri, 2013)" }, "properties" : { "noteIndex" : 0 }, "schema" : "https://github.com/citation-style-language/schema/raw/master/csl-citation.json" }</w:instrText>
      </w:r>
      <w:r w:rsidRPr="00341B41">
        <w:fldChar w:fldCharType="separate"/>
      </w:r>
      <w:r w:rsidR="0098293B" w:rsidRPr="00341B41">
        <w:rPr>
          <w:noProof/>
        </w:rPr>
        <w:t>(Powers, Brooks, Aldrich, Palladino, &amp; Alfieri, 2013)</w:t>
      </w:r>
      <w:r w:rsidRPr="00341B41">
        <w:fldChar w:fldCharType="end"/>
      </w:r>
      <w:r w:rsidRPr="00341B41">
        <w:t xml:space="preserve">. </w:t>
      </w:r>
    </w:p>
    <w:p w14:paraId="60CDA308" w14:textId="0E5FC945" w:rsidR="00D07C34" w:rsidRPr="00341B41" w:rsidRDefault="00D07C34" w:rsidP="00D07C34">
      <w:pPr>
        <w:ind w:firstLine="720"/>
      </w:pPr>
      <w:r w:rsidRPr="00341B41">
        <w:t xml:space="preserve">Similarly, research assessing expertise differences among expert and novice athletes on basic cognitive ability yields mixed results. In a meta-analysis of 20 studies, it was found that many individual studies found small, non-significant differences </w:t>
      </w:r>
      <w:r w:rsidRPr="00341B41">
        <w:fldChar w:fldCharType="begin" w:fldLock="1"/>
      </w:r>
      <w:r w:rsidR="0019756D" w:rsidRPr="00341B41">
        <w:instrText>ADDIN CSL_CITATION { "citationItems" : [ { "id" : "ITEM-1", "itemData" : { "DOI" : "10.1002/acp", "ISBN" : "1099-0720", "ISSN" : "0888-4080", "abstract" : "When web survey respondents self-administer a questionnaire, what they are doing is in many ways similar to what goes on in human\u2013human interviews. The studies presented here demonstrate that enabling web survey respondents to engage in the equivalent of clarification dialogue can improve respondents\u2019 comprehension of questions and thus the accuracy of their answers, much as it can in human\u2013human interviews. In two laboratory experiments, web survey respondents (1) answered more accurately when they could obtain clarification, that is, ground their understanding of survey questions, than when no clarification was available, and (2) answered particularly accurately with mixed-initiative clarification, where respondents could initiate clarification or the system could provide unsolicited clarification when respondents took too long to answer. Diagnosing the need for clarification based on respondent characteristics\u2014in particular, age\u2014proved more effective than relying on a generic model of all respondents\u2019 need for clarification. Although clarification dialogue increased response times, respondents preferred being able to request clarification than not. The current results suggest that bringing features of human dialogue to web surveys can exploit the advantages of both interviewer- and self-administration of questionnaires. Copyright # 2007 John Wiley &amp; Sons, Ltd.", "author" : [ { "dropping-particle" : "", "family" : "Voss", "given" : "Michelle W", "non-dropping-particle" : "", "parse-names" : false, "suffix" : "" }, { "dropping-particle" : "", "family" : "Kramer", "given" : "Arthur F", "non-dropping-particle" : "", "parse-names" : false, "suffix" : "" }, { "dropping-particle" : "", "family" : "Basak", "given" : "C", "non-dropping-particle" : "", "parse-names" : false, "suffix" : "" }, { "dropping-particle" : "", "family" : "Prakash", "given" : "R.S", "non-dropping-particle" : "", "parse-names" : false, "suffix" : "" }, { "dropping-particle" : "", "family" : "Roberts", "given" : "Brent", "non-dropping-particle" : "", "parse-names" : false, "suffix" : "" } ], "container-title" : "Applied Cognitive Psychology", "id" : "ITEM-1", "issued" : { "date-parts" : [ [ "2009" ] ] }, "page" : "165-187", "title" : "Are expert athletes 'expert' in the cognitive laboratory? A meta-analytic review of cognition and sport expertise", "type" : "article-journal" }, "uris" : [ "http://www.mendeley.com/documents/?uuid=0f3efa41-1686-47a4-8852-f2f8fc078f75" ] } ], "mendeley" : { "formattedCitation" : "(Voss, Kramer, Basak, Prakash, &amp; Roberts, 2009)", "plainTextFormattedCitation" : "(Voss, Kramer, Basak, Prakash, &amp; Roberts, 2009)", "previouslyFormattedCitation" : "(Voss, Kramer, Basak, Prakash, &amp; Roberts, 2009)" }, "properties" : { "noteIndex" : 0 }, "schema" : "https://github.com/citation-style-language/schema/raw/master/csl-citation.json" }</w:instrText>
      </w:r>
      <w:r w:rsidRPr="00341B41">
        <w:fldChar w:fldCharType="separate"/>
      </w:r>
      <w:r w:rsidR="0098293B" w:rsidRPr="00341B41">
        <w:rPr>
          <w:noProof/>
        </w:rPr>
        <w:t>(Voss, Kramer, Basak, Prakash, &amp; Roberts, 2009)</w:t>
      </w:r>
      <w:r w:rsidRPr="00341B41">
        <w:fldChar w:fldCharType="end"/>
      </w:r>
      <w:r w:rsidRPr="00341B41">
        <w:t xml:space="preserve">. When studies were combined in a meta-analysis it was revealed that expert athletes performed better on measures of processing speed, and on some specific tasks of selective attention </w:t>
      </w:r>
      <w:r w:rsidRPr="00341B41">
        <w:fldChar w:fldCharType="begin" w:fldLock="1"/>
      </w:r>
      <w:r w:rsidR="0019756D" w:rsidRPr="00341B41">
        <w:instrText>ADDIN CSL_CITATION { "citationItems" : [ { "id" : "ITEM-1", "itemData" : { "DOI" : "10.1002/acp", "ISBN" : "1099-0720", "ISSN" : "0888-4080", "abstract" : "When web survey respondents self-administer a questionnaire, what they are doing is in many ways similar to what goes on in human\u2013human interviews. The studies presented here demonstrate that enabling web survey respondents to engage in the equivalent of clarification dialogue can improve respondents\u2019 comprehension of questions and thus the accuracy of their answers, much as it can in human\u2013human interviews. In two laboratory experiments, web survey respondents (1) answered more accurately when they could obtain clarification, that is, ground their understanding of survey questions, than when no clarification was available, and (2) answered particularly accurately with mixed-initiative clarification, where respondents could initiate clarification or the system could provide unsolicited clarification when respondents took too long to answer. Diagnosing the need for clarification based on respondent characteristics\u2014in particular, age\u2014proved more effective than relying on a generic model of all respondents\u2019 need for clarification. Although clarification dialogue increased response times, respondents preferred being able to request clarification than not. The current results suggest that bringing features of human dialogue to web surveys can exploit the advantages of both interviewer- and self-administration of questionnaires. Copyright # 2007 John Wiley &amp; Sons, Ltd.", "author" : [ { "dropping-particle" : "", "family" : "Voss", "given" : "Michelle W", "non-dropping-particle" : "", "parse-names" : false, "suffix" : "" }, { "dropping-particle" : "", "family" : "Kramer", "given" : "Arthur F", "non-dropping-particle" : "", "parse-names" : false, "suffix" : "" }, { "dropping-particle" : "", "family" : "Basak", "given" : "C", "non-dropping-particle" : "", "parse-names" : false, "suffix" : "" }, { "dropping-particle" : "", "family" : "Prakash", "given" : "R.S", "non-dropping-particle" : "", "parse-names" : false, "suffix" : "" }, { "dropping-particle" : "", "family" : "Roberts", "given" : "Brent", "non-dropping-particle" : "", "parse-names" : false, "suffix" : "" } ], "container-title" : "Applied Cognitive Psychology", "id" : "ITEM-1", "issued" : { "date-parts" : [ [ "2009" ] ] }, "page" : "165-187", "title" : "Are expert athletes 'expert' in the cognitive laboratory? A meta-analytic review of cognition and sport expertise", "type" : "article-journal" }, "uris" : [ "http://www.mendeley.com/documents/?uuid=0f3efa41-1686-47a4-8852-f2f8fc078f75" ] } ], "mendeley" : { "formattedCitation" : "(Voss et al., 2009)", "plainTextFormattedCitation" : "(Voss et al., 2009)", "previouslyFormattedCitation" : "(Voss et al., 2009)" }, "properties" : { "noteIndex" : 0 }, "schema" : "https://github.com/citation-style-language/schema/raw/master/csl-citation.json" }</w:instrText>
      </w:r>
      <w:r w:rsidRPr="00341B41">
        <w:fldChar w:fldCharType="separate"/>
      </w:r>
      <w:r w:rsidR="0098293B" w:rsidRPr="00341B41">
        <w:rPr>
          <w:noProof/>
        </w:rPr>
        <w:t>(Voss et al., 2009)</w:t>
      </w:r>
      <w:r w:rsidRPr="00341B41">
        <w:fldChar w:fldCharType="end"/>
      </w:r>
      <w:r w:rsidRPr="00341B41">
        <w:t xml:space="preserve">. These effects were clearer for athletes competing in interceptive sports (e.g. football and basketball) compared to other sports types. However, the size of these effects </w:t>
      </w:r>
      <w:proofErr w:type="gramStart"/>
      <w:r w:rsidRPr="00341B41">
        <w:t>appear</w:t>
      </w:r>
      <w:proofErr w:type="gramEnd"/>
      <w:r w:rsidRPr="00341B41">
        <w:t xml:space="preserve"> to be, at best, small (Hedge’s </w:t>
      </w:r>
      <w:r w:rsidRPr="00341B41">
        <w:rPr>
          <w:i/>
        </w:rPr>
        <w:t xml:space="preserve">g </w:t>
      </w:r>
      <w:r w:rsidRPr="00341B41">
        <w:t xml:space="preserve">= .37, </w:t>
      </w:r>
      <w:r w:rsidRPr="00341B41">
        <w:rPr>
          <w:i/>
        </w:rPr>
        <w:t xml:space="preserve">p </w:t>
      </w:r>
      <w:r w:rsidRPr="00341B41">
        <w:t xml:space="preserve">&lt; .05). </w:t>
      </w:r>
    </w:p>
    <w:p w14:paraId="2E35C79F" w14:textId="7CBD9E3B" w:rsidR="00D07C34" w:rsidRPr="00341B41" w:rsidRDefault="00D07C34" w:rsidP="00D07C34">
      <w:pPr>
        <w:ind w:firstLine="720"/>
      </w:pPr>
      <w:r w:rsidRPr="00341B41">
        <w:t xml:space="preserve">Whilst it appears that expert and novice athletes show very little difference in their basic cognitive skills, some research suggests that neural activations occurring during the task appear to differ. This suggests differences in the cognitive processing engaged in. For example, a functional magnetic resonance imaging (fMRI) study of expert and novice archers found no behavioural differences in a visuospatial working memory task, but did find greater activations in the dorsolateral pre-frontal cortex (DLPFC) and supplementary motor area (SMA) in the experts, compared to the novices </w:t>
      </w:r>
      <w:r w:rsidRPr="00341B41">
        <w:fldChar w:fldCharType="begin" w:fldLock="1"/>
      </w:r>
      <w:r w:rsidR="0019756D" w:rsidRPr="00341B41">
        <w:instrText>ADDIN CSL_CITATION { "citationItems" : [ { "id" : "ITEM-1", "itemData" : { "DOI" : "10.1016/j.bbr.2012.01.019", "ISSN" : "1872-7549", "PMID" : "22266924", "abstract" : "It is well known that elite athletes have higher performance in perception, planning, and execution in sports activities relative to novices. It remains controversial, however, whether any differences in basic cognitive functions between experts and novices exist. Furthermore, few studies have directly used functional magnetic resonance imaging (fMRI) to investigate neural activation and deactivation differences between experts and novices while performing visuospatial working memory (WM) tasks. Therefore, the purpose of this study was to examine possible differences in neural activation and deactivation associated with working memory components in processing visuospatial information between archery experts and novices. To this end, we employed a judgment of line orientation (JLO) task, which has a strong WM component. With regard to brain activation, archery experts displayed higher activation in cortical areas associated with visuospatial attention and working memory, including the middle frontal cortex, supplemental motor area, and dorsolateral prefrontal cortex than that of the novices during the performance of the JLO task. With regard to brain deactivation, archery experts exhibited stronger task-related deactivation in cortical areas, such as the paracentral cortex/precuneus and the anterior and posterior cingulate cortex related to the default network, than that of the novices. These results suggest that the archery experts have a strategy that demands greater use of neural correlates associated with visuospatial working memory and attention in addition to greater use of DMN in visuospatial working memory task not directly tied to their domain of expertise.", "author" : [ { "dropping-particle" : "", "family" : "Seo", "given" : "Jeehye", "non-dropping-particle" : "", "parse-names" : false, "suffix" : "" }, { "dropping-particle" : "", "family" : "Kim", "given" : "Yang-Tae", "non-dropping-particle" : "", "parse-names" : false, "suffix" : "" }, { "dropping-particle" : "", "family" : "Song", "given" : "Hui-Jin", "non-dropping-particle" : "", "parse-names" : false, "suffix" : "" }, { "dropping-particle" : "", "family" : "Lee", "given" : "Hui Joong", "non-dropping-particle" : "", "parse-names" : false, "suffix" : "" }, { "dropping-particle" : "", "family" : "Lee", "given" : "Jongmin", "non-dropping-particle" : "", "parse-names" : false, "suffix" : "" }, { "dropping-particle" : "", "family" : "Jung", "given" : "Tae-Du", "non-dropping-particle" : "", "parse-names" : false, "suffix" : "" }, { "dropping-particle" : "", "family" : "Lee", "given" : "Gunyoung", "non-dropping-particle" : "", "parse-names" : false, "suffix" : "" }, { "dropping-particle" : "", "family" : "Kwon", "given" : "Eunjin", "non-dropping-particle" : "", "parse-names" : false, "suffix" : "" }, { "dropping-particle" : "", "family" : "Kim", "given" : "Jin Gu", "non-dropping-particle" : "", "parse-names" : false, "suffix" : "" }, { "dropping-particle" : "", "family" : "Chang", "given" : "Yongmin", "non-dropping-particle" : "", "parse-names" : false, "suffix" : "" } ], "container-title" : "Behavioural Brain Research", "id" : "ITEM-1", "issue" : "1", "issued" : { "date-parts" : [ [ "2012", "4", "1" ] ] }, "page" : "185-93", "publisher" : "Elsevier B.V.", "title" : "Stronger activation and deactivation in archery experts for differential cognitive strategy in visuospatial working memory processing.", "type" : "article-journal", "volume" : "229" }, "uris" : [ "http://www.mendeley.com/documents/?uuid=78e73c43-e61b-46fb-be9b-8d4c9cab87e5" ] } ], "mendeley" : { "formattedCitation" : "(Seo et al., 2012)", "plainTextFormattedCitation" : "(Seo et al., 2012)", "previouslyFormattedCitation" : "(Seo et al., 2012)" }, "properties" : { "noteIndex" : 0 }, "schema" : "https://github.com/citation-style-language/schema/raw/master/csl-citation.json" }</w:instrText>
      </w:r>
      <w:r w:rsidRPr="00341B41">
        <w:fldChar w:fldCharType="separate"/>
      </w:r>
      <w:r w:rsidR="0098293B" w:rsidRPr="00341B41">
        <w:rPr>
          <w:noProof/>
        </w:rPr>
        <w:t>(Seo et al., 2012)</w:t>
      </w:r>
      <w:r w:rsidRPr="00341B41">
        <w:fldChar w:fldCharType="end"/>
      </w:r>
      <w:r w:rsidRPr="00341B41">
        <w:t xml:space="preserve">. The authors suggest this finding shows that expert archers engage in a different cognitive strategy to novices that may reflect their domain-specific expertise </w:t>
      </w:r>
      <w:r w:rsidRPr="00341B41">
        <w:fldChar w:fldCharType="begin" w:fldLock="1"/>
      </w:r>
      <w:r w:rsidR="0019756D" w:rsidRPr="00341B41">
        <w:instrText>ADDIN CSL_CITATION { "citationItems" : [ { "id" : "ITEM-1", "itemData" : { "DOI" : "10.1016/j.bbr.2012.01.019", "ISSN" : "1872-7549", "PMID" : "22266924", "abstract" : "It is well known that elite athletes have higher performance in perception, planning, and execution in sports activities relative to novices. It remains controversial, however, whether any differences in basic cognitive functions between experts and novices exist. Furthermore, few studies have directly used functional magnetic resonance imaging (fMRI) to investigate neural activation and deactivation differences between experts and novices while performing visuospatial working memory (WM) tasks. Therefore, the purpose of this study was to examine possible differences in neural activation and deactivation associated with working memory components in processing visuospatial information between archery experts and novices. To this end, we employed a judgment of line orientation (JLO) task, which has a strong WM component. With regard to brain activation, archery experts displayed higher activation in cortical areas associated with visuospatial attention and working memory, including the middle frontal cortex, supplemental motor area, and dorsolateral prefrontal cortex than that of the novices during the performance of the JLO task. With regard to brain deactivation, archery experts exhibited stronger task-related deactivation in cortical areas, such as the paracentral cortex/precuneus and the anterior and posterior cingulate cortex related to the default network, than that of the novices. These results suggest that the archery experts have a strategy that demands greater use of neural correlates associated with visuospatial working memory and attention in addition to greater use of DMN in visuospatial working memory task not directly tied to their domain of expertise.", "author" : [ { "dropping-particle" : "", "family" : "Seo", "given" : "Jeehye", "non-dropping-particle" : "", "parse-names" : false, "suffix" : "" }, { "dropping-particle" : "", "family" : "Kim", "given" : "Yang-Tae", "non-dropping-particle" : "", "parse-names" : false, "suffix" : "" }, { "dropping-particle" : "", "family" : "Song", "given" : "Hui-Jin", "non-dropping-particle" : "", "parse-names" : false, "suffix" : "" }, { "dropping-particle" : "", "family" : "Lee", "given" : "Hui Joong", "non-dropping-particle" : "", "parse-names" : false, "suffix" : "" }, { "dropping-particle" : "", "family" : "Lee", "given" : "Jongmin", "non-dropping-particle" : "", "parse-names" : false, "suffix" : "" }, { "dropping-particle" : "", "family" : "Jung", "given" : "Tae-Du", "non-dropping-particle" : "", "parse-names" : false, "suffix" : "" }, { "dropping-particle" : "", "family" : "Lee", "given" : "Gunyoung", "non-dropping-particle" : "", "parse-names" : false, "suffix" : "" }, { "dropping-particle" : "", "family" : "Kwon", "given" : "Eunjin", "non-dropping-particle" : "", "parse-names" : false, "suffix" : "" }, { "dropping-particle" : "", "family" : "Kim", "given" : "Jin Gu", "non-dropping-particle" : "", "parse-names" : false, "suffix" : "" }, { "dropping-particle" : "", "family" : "Chang", "given" : "Yongmin", "non-dropping-particle" : "", "parse-names" : false, "suffix" : "" } ], "container-title" : "Behavioural Brain Research", "id" : "ITEM-1", "issue" : "1", "issued" : { "date-parts" : [ [ "2012", "4", "1" ] ] }, "page" : "185-93", "publisher" : "Elsevier B.V.", "title" : "Stronger activation and deactivation in archery experts for differential cognitive strategy in visuospatial working memory processing.", "type" : "article-journal", "volume" : "229" }, "uris" : [ "http://www.mendeley.com/documents/?uuid=78e73c43-e61b-46fb-be9b-8d4c9cab87e5" ] } ], "mendeley" : { "formattedCitation" : "(Seo et al., 2012)", "plainTextFormattedCitation" : "(Seo et al., 2012)", "previouslyFormattedCitation" : "(Seo et al., 2012)" }, "properties" : { "noteIndex" : 0 }, "schema" : "https://github.com/citation-style-language/schema/raw/master/csl-citation.json" }</w:instrText>
      </w:r>
      <w:r w:rsidRPr="00341B41">
        <w:fldChar w:fldCharType="separate"/>
      </w:r>
      <w:r w:rsidR="0098293B" w:rsidRPr="00341B41">
        <w:rPr>
          <w:noProof/>
        </w:rPr>
        <w:t>(Seo et al., 2012)</w:t>
      </w:r>
      <w:r w:rsidRPr="00341B41">
        <w:fldChar w:fldCharType="end"/>
      </w:r>
      <w:r w:rsidRPr="00341B41">
        <w:t xml:space="preserve">. Importantly, this study did not explore any differences in regional activations during an archery-related task. </w:t>
      </w:r>
    </w:p>
    <w:p w14:paraId="4A7A7E9E" w14:textId="59AD37D1" w:rsidR="00D07C34" w:rsidRPr="00341B41" w:rsidRDefault="00D07C34" w:rsidP="00D07C34">
      <w:pPr>
        <w:ind w:firstLine="720"/>
      </w:pPr>
      <w:r w:rsidRPr="00341B41">
        <w:lastRenderedPageBreak/>
        <w:t xml:space="preserve">Another study of professional motor-racing drivers found no expertise related behavioural differences on either </w:t>
      </w:r>
      <w:proofErr w:type="spellStart"/>
      <w:r w:rsidRPr="00341B41">
        <w:t>visuo</w:t>
      </w:r>
      <w:proofErr w:type="spellEnd"/>
      <w:r w:rsidRPr="00341B41">
        <w:t xml:space="preserve">-spatial attention or motor processing speed, but did find a stronger connectivity between task-related areas (for the </w:t>
      </w:r>
      <w:proofErr w:type="spellStart"/>
      <w:r w:rsidRPr="00341B41">
        <w:t>visuo</w:t>
      </w:r>
      <w:proofErr w:type="spellEnd"/>
      <w:r w:rsidRPr="00341B41">
        <w:t xml:space="preserve">-spatial task, this network consisted of bilateral dorsal premotor cortex, bilateral middle temporal cortex, right precuneus, left insula, cerebellum, and thalamus; for the motor-processing task, a network was comprised of the SMA, bilateral insula, bilateral inferior occipital cortex, and cerebellum) in the expert group, compared to novice controls </w:t>
      </w:r>
      <w:r w:rsidRPr="00341B41">
        <w:fldChar w:fldCharType="begin" w:fldLock="1"/>
      </w:r>
      <w:r w:rsidR="0019756D" w:rsidRPr="00341B41">
        <w:instrText>ADDIN CSL_CITATION { "citationItems" : [ { "id" : "ITEM-1", "itemData" : { "DOI" : "10.1371/journal.pone.0077764", "ISSN" : "1932-6203", "PMID" : "24204955", "abstract" : "The present study was designed to investigate the brain functional architecture that subserves visuo-spatial and motor processing in highly skilled individuals. By using functional magnetic resonance imaging (fMRI), we measured brain activity while eleven Formula racing-car drivers and eleven 'na\u00efve' volunteers performed a motor reaction and a visuo-spatial task. Tasks were set at a relatively low level of difficulty such to ensure a similar performance in the two groups and thus avoid any potential confounding effects on brain activity due to discrepancies in task execution. The brain functional organization was analyzed in terms of regional brain response, inter-regional interactions and blood oxygen level dependent (BOLD) signal variability. While performance levels were equal in the two groups, as compared to na\u00efve drivers, professional drivers showed a smaller volume recruitment of task-related regions, stronger connections among task-related areas, and an increased information integration as reflected by a higher signal temporal variability. In conclusion, our results demonstrate that, as compared to na\u00efve subjects, the brain functional architecture sustaining visuo-motor processing in professional racing-car drivers, trained to perform at the highest levels under extremely demanding conditions, undergoes both 'quantitative' and 'qualitative' modifications that are evident even when the brain is engaged in relatively simple, non-demanding tasks. These results provide novel evidence in favor of an increased 'neural efficiency' in the brain of highly skilled individuals.", "author" : [ { "dropping-particle" : "", "family" : "Bernardi", "given" : "Giulio", "non-dropping-particle" : "", "parse-names" : false, "suffix" : "" }, { "dropping-particle" : "", "family" : "Ricciardi", "given" : "Emiliano", "non-dropping-particle" : "", "parse-names" : false, "suffix" : "" }, { "dropping-particle" : "", "family" : "Sani", "given" : "Lorenzo", "non-dropping-particle" : "", "parse-names" : false, "suffix" : "" }, { "dropping-particle" : "", "family" : "Gaglianese", "given" : "Anna", "non-dropping-particle" : "", "parse-names" : false, "suffix" : "" }, { "dropping-particle" : "", "family" : "Papasogli", "given" : "Alessandra", "non-dropping-particle" : "", "parse-names" : false, "suffix" : "" }, { "dropping-particle" : "", "family" : "Ceccarelli", "given" : "Riccardo", "non-dropping-particle" : "", "parse-names" : false, "suffix" : "" }, { "dropping-particle" : "", "family" : "Franzoni", "given" : "Ferdinando", "non-dropping-particle" : "", "parse-names" : false, "suffix" : "" }, { "dropping-particle" : "", "family" : "Galetta", "given" : "Fabio", "non-dropping-particle" : "", "parse-names" : false, "suffix" : "" }, { "dropping-particle" : "", "family" : "Santoro", "given" : "Gino", "non-dropping-particle" : "", "parse-names" : false, "suffix" : "" }, { "dropping-particle" : "", "family" : "Goebel", "given" : "Rainer", "non-dropping-particle" : "", "parse-names" : false, "suffix" : "" }, { "dropping-particle" : "", "family" : "Pietrini", "given" : "Pietro", "non-dropping-particle" : "", "parse-names" : false, "suffix" : "" } ], "container-title" : "PLoS ONE", "id" : "ITEM-1", "issue" : "10", "issued" : { "date-parts" : [ [ "2013", "1" ] ] }, "page" : "1-11", "title" : "How skill expertise shapes the brain functional architecture: an FMRI study of visuo-spatial and motor processing in professional racing-car and na\u00efve drivers.", "type" : "article-journal", "volume" : "8" }, "uris" : [ "http://www.mendeley.com/documents/?uuid=ad515a88-8de0-4071-8c03-c882bae02dd3" ] } ], "mendeley" : { "formattedCitation" : "(Bernardi et al., 2013)", "plainTextFormattedCitation" : "(Bernardi et al., 2013)", "previouslyFormattedCitation" : "(Bernardi et al., 2013)" }, "properties" : { "noteIndex" : 0 }, "schema" : "https://github.com/citation-style-language/schema/raw/master/csl-citation.json" }</w:instrText>
      </w:r>
      <w:r w:rsidRPr="00341B41">
        <w:fldChar w:fldCharType="separate"/>
      </w:r>
      <w:r w:rsidR="0098293B" w:rsidRPr="00341B41">
        <w:rPr>
          <w:noProof/>
        </w:rPr>
        <w:t>(Bernardi et al., 2013)</w:t>
      </w:r>
      <w:r w:rsidRPr="00341B41">
        <w:fldChar w:fldCharType="end"/>
      </w:r>
      <w:r w:rsidRPr="00341B41">
        <w:t>. Finally, in a study of visuospatial processing in rugby players, greater activations were found in the right superior parietal lobe (</w:t>
      </w:r>
      <w:proofErr w:type="spellStart"/>
      <w:r w:rsidRPr="00341B41">
        <w:t>rSPL</w:t>
      </w:r>
      <w:proofErr w:type="spellEnd"/>
      <w:r w:rsidRPr="00341B41">
        <w:t xml:space="preserve">), and the lateral occipital cortex in the expert group compared with the novice group. Again, there were no behavioural differences on the visuospatial processing task </w:t>
      </w:r>
      <w:r w:rsidRPr="00341B41">
        <w:fldChar w:fldCharType="begin" w:fldLock="1"/>
      </w:r>
      <w:r w:rsidR="0019756D" w:rsidRPr="00341B41">
        <w:instrText>ADDIN CSL_CITATION { "citationItems" : [ { "id" : "ITEM-1", "itemData" : { "DOI" : "10.1249/MSS.0b013e31821920f3", "ISSN" : "0195-9131", "author" : [ { "dropping-particle" : "", "family" : "Sekiguchi", "given" : "A", "non-dropping-particle" : "", "parse-names" : false, "suffix" : "" }, { "dropping-particle" : "", "family" : "Yokoyama", "given" : "S", "non-dropping-particle" : "", "parse-names" : false, "suffix" : "" }, { "dropping-particle" : "", "family" : "Kasahara", "given" : "S", "non-dropping-particle" : "", "parse-names" : false, "suffix" : "" }, { "dropping-particle" : "", "family" : "Yomogida", "given" : "Y", "non-dropping-particle" : "", "parse-names" : false, "suffix" : "" }, { "dropping-particle" : "", "family" : "Takeuchi", "given" : "H", "non-dropping-particle" : "", "parse-names" : false, "suffix" : "" }, { "dropping-particle" : "", "family" : "Ogawa", "given" : "Takeshi", "non-dropping-particle" : "", "parse-names" : false, "suffix" : "" }, { "dropping-particle" : "", "family" : "Taki", "given" : "Y", "non-dropping-particle" : "", "parse-names" : false, "suffix" : "" }, { "dropping-particle" : "", "family" : "Niwa", "given" : "Shin-Ichi", "non-dropping-particle" : "", "parse-names" : false, "suffix" : "" }, { "dropping-particle" : "", "family" : "Kawashima", "given" : "R", "non-dropping-particle" : "", "parse-names" : false, "suffix" : "" } ], "container-title" : "Medicine &amp; Science in Sports &amp; Exercise", "id" : "ITEM-1", "issue" : "10", "issued" : { "date-parts" : [ [ "2011" ] ] }, "page" : "1857-1862", "title" : "Neural Bases of a Specific Strategy for Visuospatial Processing in Rugby Players", "type" : "article-journal", "volume" : "43" }, "uris" : [ "http://www.mendeley.com/documents/?uuid=37910a3e-cf40-47fa-882b-21fa97e44ae1" ] } ], "mendeley" : { "formattedCitation" : "(Sekiguchi et al., 2011)", "plainTextFormattedCitation" : "(Sekiguchi et al., 2011)", "previouslyFormattedCitation" : "(Sekiguchi et al., 2011)" }, "properties" : { "noteIndex" : 0 }, "schema" : "https://github.com/citation-style-language/schema/raw/master/csl-citation.json" }</w:instrText>
      </w:r>
      <w:r w:rsidRPr="00341B41">
        <w:fldChar w:fldCharType="separate"/>
      </w:r>
      <w:r w:rsidR="0098293B" w:rsidRPr="00341B41">
        <w:rPr>
          <w:noProof/>
        </w:rPr>
        <w:t>(Sekiguchi et al., 2011)</w:t>
      </w:r>
      <w:r w:rsidRPr="00341B41">
        <w:fldChar w:fldCharType="end"/>
      </w:r>
      <w:r w:rsidRPr="00341B41">
        <w:t xml:space="preserve">. As </w:t>
      </w:r>
      <w:r w:rsidR="00B55CFE" w:rsidRPr="00341B41">
        <w:t>the studies of archery</w:t>
      </w:r>
      <w:r w:rsidR="00EF6DFF" w:rsidRPr="00341B41">
        <w:t xml:space="preserve"> and motor-racing </w:t>
      </w:r>
      <w:r w:rsidR="00B55CFE" w:rsidRPr="00341B41">
        <w:t>experts</w:t>
      </w:r>
      <w:r w:rsidRPr="00341B41">
        <w:t xml:space="preserve">, no group differences in domain specific tasks were investigated. </w:t>
      </w:r>
    </w:p>
    <w:p w14:paraId="56AB4F69" w14:textId="67FD4098" w:rsidR="00D07C34" w:rsidRPr="00341B41" w:rsidRDefault="00D07C34" w:rsidP="00D07C34">
      <w:pPr>
        <w:ind w:firstLine="720"/>
      </w:pPr>
      <w:r w:rsidRPr="00341B41">
        <w:t>The results of these studies suggest that expert sports-players do not have any behavioural advantages on laboratory tasks tapping into basic cognitive skills, however the differences in neural activity when performing basic cognitive tasks do appear to be different. These differences in neural activity may reflect changes in the brain’s architecture that have come about as a result of intense, domain-specific training over a long period of time. However, longitudinal evidence is needed to substantiate that claim.</w:t>
      </w:r>
    </w:p>
    <w:p w14:paraId="3FF6EDA8" w14:textId="6A599655" w:rsidR="00D07C34" w:rsidRPr="00341B41" w:rsidRDefault="00DE6BDA" w:rsidP="00D07C34">
      <w:pPr>
        <w:pStyle w:val="Heading3"/>
      </w:pPr>
      <w:bookmarkStart w:id="12" w:name="_Toc486260828"/>
      <w:r w:rsidRPr="00341B41">
        <w:t>1.1</w:t>
      </w:r>
      <w:r w:rsidR="00D07C34" w:rsidRPr="00341B41">
        <w:t>.2.</w:t>
      </w:r>
      <w:r w:rsidR="00D07C34" w:rsidRPr="00341B41">
        <w:tab/>
        <w:t>Expert performance approach</w:t>
      </w:r>
      <w:bookmarkEnd w:id="12"/>
    </w:p>
    <w:p w14:paraId="0D2C28F2" w14:textId="77777777" w:rsidR="00D07C34" w:rsidRPr="00341B41" w:rsidRDefault="00D07C34" w:rsidP="00D07C34">
      <w:r w:rsidRPr="00341B41">
        <w:t xml:space="preserve">A problem with the cognitive components approach is that experts train within a very specific domain. Many sports do require a fast processing speed and enhanced attentional skills, however athletes learn these skills within their given domain. In other words, experts don’t explicitly train their speed of processing to try to improve their sports ability. They </w:t>
      </w:r>
      <w:r w:rsidRPr="00341B41">
        <w:lastRenderedPageBreak/>
        <w:t xml:space="preserve">instead likely acquire an improved, domain-specific processing speed, as a result of engaging in deliberate practice to improve skill in a given domain. </w:t>
      </w:r>
    </w:p>
    <w:p w14:paraId="48FEE0B3" w14:textId="22C326A3" w:rsidR="00D07C34" w:rsidRPr="00341B41" w:rsidRDefault="00D07C34" w:rsidP="00D07C34">
      <w:pPr>
        <w:ind w:firstLine="720"/>
      </w:pPr>
      <w:r w:rsidRPr="00341B41">
        <w:t xml:space="preserve">The expert performance approach to studying expertise suggests that expertise must be studied within a domain-specific context </w:t>
      </w:r>
      <w:r w:rsidRPr="00341B41">
        <w:fldChar w:fldCharType="begin" w:fldLock="1"/>
      </w:r>
      <w:r w:rsidR="0019756D"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 xml:space="preserve">. </w:t>
      </w:r>
      <w:r w:rsidRPr="00341B41">
        <w:rPr>
          <w:rFonts w:cs="Times New Roman"/>
        </w:rPr>
        <w:t xml:space="preserve">The first stage is to designing an experiment that successfully captures expert performance. This may either be field-based, or in a controlled laboratory environment. Laboratory testing of expert performance typically employs video-based experiments, though virtual-reality methods are likely to become more popular in future work </w:t>
      </w:r>
      <w:r w:rsidRPr="00341B41">
        <w:rPr>
          <w:rFonts w:cs="Times New Roman"/>
        </w:rPr>
        <w:fldChar w:fldCharType="begin" w:fldLock="1"/>
      </w:r>
      <w:r w:rsidR="0019756D" w:rsidRPr="00341B41">
        <w:rPr>
          <w:rFonts w:cs="Times New Roman"/>
        </w:rPr>
        <w:instrText>ADDIN CSL_CITATION { "citationItems" : [ { "id" : "ITEM-1", "itemData" : { "DOI" : "10.1207/s15326969eco1601", "ISBN" : "1040-7413", "ISSN" : "1040-7413", "PMID" : "1475", "abstract" : "To date, the usefulness of stereoscopic visual displays in research on manual interceptive actions has never been examined. In this study, we compared the catching movements of 8 right-handed participants (6 men, 2 women) in a real environment (with suspended balls swinging past the participant, requiring lateral hand movements for interception) with those in a situation in which similar virtual ball trajectories were displayed stereoscopically in a virtual reality system (Cave Automated Virtual Environment [CAVE]; Cruz-Neira, Sandin, DeFranti, Kenyon, &amp; Hart, 1992) with the head fixated. Catching the virtual ball involved grasping a lightweight ball attached to the palm of the hand. The results showed that, compared to real catching, hand movements in the CAVE were (a) initiated later, (b) less accurate, (c) smoother, and (d) aimed more directly at the interception point. Although the latter 3 observations might be attributable to the delayed movement initiation observed in the CAVE, this delayed initiation might have resulted from the use of visual displays. This suggests that stereoscopic visual displays such as present in many virtual reality systems should be used circumspectly in the experimental study of catching and should be used only to address research questions requiring no detailed analysis of the information-based online control of the catching movements.", "author" : [ { "dropping-particle" : "", "family" : "Dessing", "given" : "Joost C", "non-dropping-particle" : "", "parse-names" : false, "suffix" : "" }, { "dropping-particle" : "", "family" : "Peper", "given" : "C E", "non-dropping-particle" : "", "parse-names" : false, "suffix" : "" }, { "dropping-particle" : "", "family" : "Beek", "given" : "B J", "non-dropping-particle" : "", "parse-names" : false, "suffix" : "" } ], "container-title" : "Ecological Psychology", "id" : "ITEM-1", "issue" : "1", "issued" : { "date-parts" : [ [ "2010" ] ] }, "page" : "1-21", "title" : "A Comparison of Real Catching With Catching Using Stereoscopic Visual Displays", "type" : "article-journal", "volume" : "16" }, "uris" : [ "http://www.mendeley.com/documents/?uuid=83159513-4f85-4c18-a130-e605bf70a3a7" ] } ], "mendeley" : { "formattedCitation" : "(Dessing, Peper, &amp; Beek, 2010)", "plainTextFormattedCitation" : "(Dessing, Peper, &amp; Beek, 2010)", "previouslyFormattedCitation" : "(Dessing, Peper, &amp; Beek, 2010)"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(Dessing, Peper, &amp; Beek, 2010)</w:t>
      </w:r>
      <w:r w:rsidRPr="00341B41">
        <w:rPr>
          <w:rFonts w:cs="Times New Roman"/>
        </w:rPr>
        <w:fldChar w:fldCharType="end"/>
      </w:r>
      <w:r w:rsidRPr="00341B41">
        <w:rPr>
          <w:rFonts w:cs="Times New Roman"/>
        </w:rPr>
        <w:t>. In these experiments participants view domain-relevant actions (e.g. in an experiment investigating expert tennis performance, participants may view videos of tennis shots). A challenge is in designing experiments that are representative of a real-life situation, and that allows the component skills involved in the task be performed as they would be in the real-world equivalent.</w:t>
      </w:r>
      <w:r w:rsidRPr="00341B41">
        <w:t xml:space="preserve"> </w:t>
      </w:r>
    </w:p>
    <w:p w14:paraId="2C82DE28" w14:textId="144587EE" w:rsidR="00D07C34" w:rsidRPr="00341B41" w:rsidRDefault="00D07C34" w:rsidP="00D07C34">
      <w:pPr>
        <w:ind w:firstLine="720"/>
      </w:pPr>
      <w:r w:rsidRPr="00341B41">
        <w:t xml:space="preserve">The second stage is then isolating and studying the mechanisms that account for expert performance. </w:t>
      </w:r>
      <w:r w:rsidRPr="00341B41">
        <w:rPr>
          <w:rFonts w:cs="Times New Roman"/>
        </w:rPr>
        <w:t>This could involve techniques such as meas</w:t>
      </w:r>
      <w:r w:rsidR="00247743" w:rsidRPr="00341B41">
        <w:rPr>
          <w:rFonts w:cs="Times New Roman"/>
        </w:rPr>
        <w:t>uring eye movements (section 1.4.1</w:t>
      </w:r>
      <w:r w:rsidRPr="00341B41">
        <w:rPr>
          <w:rFonts w:cs="Times New Roman"/>
        </w:rPr>
        <w:t>), manipulation of information available to participants (section</w:t>
      </w:r>
      <w:r w:rsidR="00247743" w:rsidRPr="00341B41">
        <w:rPr>
          <w:rFonts w:cs="Times New Roman"/>
        </w:rPr>
        <w:t xml:space="preserve"> 1.4.2</w:t>
      </w:r>
      <w:r w:rsidRPr="00341B41">
        <w:rPr>
          <w:rFonts w:cs="Times New Roman"/>
        </w:rPr>
        <w:t>), biomechan</w:t>
      </w:r>
      <w:r w:rsidR="00247743" w:rsidRPr="00341B41">
        <w:rPr>
          <w:rFonts w:cs="Times New Roman"/>
        </w:rPr>
        <w:t>ical motion capture (section 1.4.2</w:t>
      </w:r>
      <w:r w:rsidRPr="00341B41">
        <w:rPr>
          <w:rFonts w:cs="Times New Roman"/>
        </w:rPr>
        <w:t xml:space="preserve">), psychophysiological measures </w:t>
      </w:r>
      <w:r w:rsidRPr="00341B41">
        <w:rPr>
          <w:rFonts w:cs="Times New Roman"/>
        </w:rPr>
        <w:fldChar w:fldCharType="begin" w:fldLock="1"/>
      </w:r>
      <w:r w:rsidR="0019756D" w:rsidRPr="00341B41">
        <w:rPr>
          <w:rFonts w:cs="Times New Roman"/>
        </w:rPr>
        <w:instrText>ADDIN CSL_CITATION { "citationItems" : [ { "id" : "ITEM-1", "itemData" : { "DOI" : "10.1080/02640414.2014.977940", "ISSN" : "1466-447X", "PMID" : "25555177", "abstract" : "Abstract Our purpose was to test the multi-action plan model assumptions in which athletes' psychophysiological patterns differ among optimal and suboptimal performance experiences. Nine professional drivers competing in premier race categories (e.g. Formula 3, Porsche GT3 Cup Challenge) completed the study. Data collection involved monitoring the drivers' perceived hedonic tone, accuracy on core components of action, posture, skin temperature, respiration rate and heart rate responses during a 40-lap simulated race. Time marks, gathered at three standardised sectors, served as the performance variable. The A1GP racing simulator (Allinsport, Modena) established a realistic race platform. Specifically, the Barcelona track was chosen because of its inherently difficult nature characterised by intermittent deceleration points. Idiosyncratic analyses showed large individual differences in the drivers' psychophysiological profile, as well as distinct patterns in regards to optimal and suboptimal performance experiences. Limitations and future research avenues are discussed. Action- (e.g. attentional control) and emotion (e.g. biofeedback training)-centred applied sport psychology implications are advanced.", "author" : [ { "dropping-particle" : "", "family" : "Filho", "given" : "Edson", "non-dropping-particle" : "", "parse-names" : false, "suffix" : "" }, { "dropping-particle" : "", "family" : "Fronso", "given" : "Selenia", "non-dropping-particle" : "Di", "parse-names" : false, "suffix" : "" }, { "dropping-particle" : "", "family" : "Mazzoni", "given" : "Caterina", "non-dropping-particle" : "", "parse-names" : false, "suffix" : "" }, { "dropping-particle" : "", "family" : "Robazza", "given" : "Claudio", "non-dropping-particle" : "", "parse-names" : false, "suffix" : "" }, { "dropping-particle" : "", "family" : "Bortoli", "given" : "Laura", "non-dropping-particle" : "", "parse-names" : false, "suffix" : "" }, { "dropping-particle" : "", "family" : "Bertollo", "given" : "Maurizio", "non-dropping-particle" : "", "parse-names" : false, "suffix" : "" } ], "container-title" : "Journal of Sports Sciences", "id" : "ITEM-1", "issued" : { "date-parts" : [ [ "2015" ] ] }, "page" : "1-15", "title" : "My heart is racing! Psychophysiological dynamics of skilled racecar drivers.", "type" : "article-journal" }, "uris" : [ "http://www.mendeley.com/documents/?uuid=2da9884c-3b1a-44c1-8948-5169bf6ec052" ] } ], "mendeley" : { "formattedCitation" : "(Filho et al., 2015)", "plainTextFormattedCitation" : "(Filho et al., 2015)", "previouslyFormattedCitation" : "(Filho et al., 2015)"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(Filho et al., 2015)</w:t>
      </w:r>
      <w:r w:rsidRPr="00341B41">
        <w:rPr>
          <w:rFonts w:cs="Times New Roman"/>
        </w:rPr>
        <w:fldChar w:fldCharType="end"/>
      </w:r>
      <w:r w:rsidRPr="00341B41">
        <w:rPr>
          <w:rFonts w:cs="Times New Roman"/>
        </w:rPr>
        <w:t>, and neuroscience methodologies (</w:t>
      </w:r>
      <w:r w:rsidR="00247743" w:rsidRPr="00341B41">
        <w:rPr>
          <w:rFonts w:cs="Times New Roman"/>
        </w:rPr>
        <w:t>section 1.7</w:t>
      </w:r>
      <w:r w:rsidRPr="00341B41">
        <w:rPr>
          <w:rFonts w:cs="Times New Roman"/>
        </w:rPr>
        <w:t xml:space="preserve">). In order to be informative on any processes that underlie expertise, the task must clearly be able to distinguish expert and novice performance. This means that expert players must show superiority in the outcome measure (e.g. decision making time, accuracy) in order to legitimately claim that the mechanism under study may contribute to expert performance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"Ericsson", "given" : "K Anders", "non-dropping-particle" : "", "parse-names" : false, "suffix" : "" }, { "dropping-particle" : "", "family" : "Smith", "given" : "J", "non-dropping-particle" : "", "parse-names" : false, "suffix" : "" } ], "container-title" : "Toward a General Theory of Expertise: Prospects and Limits", "editor" : [ { "dropping-particle" : "", "family" : "Ericsson", "given" : "K Anders", "non-dropping-particle" : "", "parse-names" : false, "suffix" : "" }, { "dropping-particle" : "", "family" : "Smith", "given" : "J", "non-dropping-particle" : "", "parse-names" : false, "suffix" : "" } ], "id" : "ITEM-1", "issued" : { "date-parts" : [ [ "1991" ] ] }, "page" : "1-38", "publisher" : "Cambridge University Press", "publisher-place" : "Cambridge, MA", "title" : "Prospects and limits of the empirical study of expertise: An introduction", "type" : "chapter" }, "uris" : [ "http://www.mendeley.com/documents/?uuid=5604bf67-5d7b-421a-a071-30d1d655ebcb" ] }, { "id" : "ITEM-2",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"ITEM-2",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"(Ericsson &amp; Smith, 1991; Williams &amp; Ericsson, 2005)", "manualFormatting" : " (Ericsson &amp; Smith, 1991; Williams &amp; Ericsson, 2005)", "plainTextFormattedCitation" : "(Ericsson &amp; Smith, 1991; Williams &amp; Ericsson, 2005)", "previouslyFormattedCitation" : "(Ericsson &amp; Smith, 1991; Williams &amp; Ericsson, 2005)" }, "properties" : { "noteIndex" : 0 }, "schema" : "https://github.com/citation-style-language/schema/raw/master/csl-citation.json" }</w:instrText>
      </w:r>
      <w:r w:rsidRPr="00341B41">
        <w:rPr>
          <w:rFonts w:cs="Times New Roman"/>
        </w:rPr>
        <w:fldChar w:fldCharType="separate"/>
      </w:r>
      <w:r w:rsidRPr="00341B41">
        <w:rPr>
          <w:rFonts w:cs="Times New Roman"/>
          <w:noProof/>
        </w:rPr>
        <w:t>(Ericsson &amp; Smith, 1991; Williams &amp; Ericsson, 2005)</w:t>
      </w:r>
      <w:r w:rsidRPr="00341B41">
        <w:rPr>
          <w:rFonts w:cs="Times New Roman"/>
        </w:rPr>
        <w:fldChar w:fldCharType="end"/>
      </w:r>
      <w:r w:rsidRPr="00341B41">
        <w:rPr>
          <w:rFonts w:cs="Times New Roman"/>
        </w:rPr>
        <w:t>.</w:t>
      </w:r>
      <w:r w:rsidRPr="00341B41">
        <w:t xml:space="preserve"> </w:t>
      </w:r>
    </w:p>
    <w:p w14:paraId="7F082D94" w14:textId="6225D85E" w:rsidR="00D07C34" w:rsidRPr="00341B41" w:rsidRDefault="00D07C34" w:rsidP="00D07C34">
      <w:pPr>
        <w:ind w:firstLine="720"/>
        <w:rPr>
          <w:rFonts w:cs="Times New Roman"/>
        </w:rPr>
      </w:pPr>
      <w:r w:rsidRPr="00341B41">
        <w:rPr>
          <w:rFonts w:cs="Times New Roman"/>
        </w:rPr>
        <w:lastRenderedPageBreak/>
        <w:t xml:space="preserve">The expert performance approach has proved extremely successful in understanding the cognitive and perceptual factors that make up expert performance. Experts have been shown to possess extensive procedural and declarative memory stores and also more efficient attention allocation and cue utilization. These abilities allow experts to not only be superior tactical decision makers in their domain than novices, but a strong body of work shows that the ability to anticipate future events is a key component of expert performance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"Mann", "given" : "Derek T Y", "non-dropping-particle" : "", "parse-names" : false, "suffix" : "" }, { "dropping-particle" : "", "family" : "Williams", "given" : "Andrew Mark", "non-dropping-particle" : "", "parse-names" : false, "suffix" : "" }, { "dropping-particle" : "", "family" : "Ward", "given" : "Paul", "non-dropping-particle" : "", "parse-names" : false, "suffix" : "" }, { "dropping-particle" : "", "family" : "Janelle", "given" : "Christopher M", "non-dropping-particle" : "", "parse-names" : false, "suffix" : "" } ], "container-title" : "Journal of Sport and Exercise Psychology", "id" : "ITEM-1", "issued" : { "date-parts" : [ [ "2007" ] ] }, "page" : "457-478", "title" : "Perceptual-Cognitive Expertise in Sport: A Meta-Analysis", "type" : "article-journal", "volume" : "29" }, "uris" : [ "http://www.mendeley.com/documents/?uuid=784faa4e-a339-48ba-9b9c-856d3fd62279" ] } ], "mendeley" : { "formattedCitation" : "(D. T. Y. Mann, Williams, Ward, &amp; Janelle, 2007)", "manualFormatting" : "(Mann, Williams, Ward, &amp; Janelle, 2007)", "plainTextFormattedCitation" : "(D. T. Y. Mann, Williams, Ward, &amp; Janelle, 2007)", "previouslyFormattedCitation" : "(D. T. Y. Mann, Williams, Ward, &amp; Janelle, 2007)" }, "properties" : { "noteIndex" : 0 }, "schema" : "https://github.com/citation-style-language/schema/raw/master/csl-citation.json" }</w:instrText>
      </w:r>
      <w:r w:rsidRPr="00341B41">
        <w:rPr>
          <w:rFonts w:cs="Times New Roman"/>
        </w:rPr>
        <w:fldChar w:fldCharType="separate"/>
      </w:r>
      <w:r w:rsidRPr="00341B41">
        <w:rPr>
          <w:rFonts w:cs="Times New Roman"/>
          <w:noProof/>
        </w:rPr>
        <w:t>(Mann, Williams, Ward, &amp; Janelle, 2007)</w:t>
      </w:r>
      <w:r w:rsidRPr="00341B41">
        <w:rPr>
          <w:rFonts w:cs="Times New Roman"/>
        </w:rPr>
        <w:fldChar w:fldCharType="end"/>
      </w:r>
      <w:r w:rsidRPr="00341B41">
        <w:rPr>
          <w:rFonts w:cs="Times New Roman"/>
        </w:rPr>
        <w:t>.</w:t>
      </w:r>
    </w:p>
    <w:p w14:paraId="3652E6F5" w14:textId="77777777" w:rsidR="00D07C34" w:rsidRPr="00341B41" w:rsidRDefault="00D07C34" w:rsidP="00D07C34">
      <w:pPr>
        <w:pStyle w:val="Heading2"/>
      </w:pPr>
      <w:bookmarkStart w:id="13" w:name="_Toc486260829"/>
      <w:r w:rsidRPr="00341B41">
        <w:t>1.2.</w:t>
      </w:r>
      <w:r w:rsidRPr="00341B41">
        <w:tab/>
        <w:t>Anticipation as a skill</w:t>
      </w:r>
      <w:bookmarkEnd w:id="13"/>
    </w:p>
    <w:p w14:paraId="02683566" w14:textId="030148A4" w:rsidR="00D07C34" w:rsidRPr="00341B41" w:rsidRDefault="00D07C34" w:rsidP="00D07C34">
      <w:r w:rsidRPr="00341B41">
        <w:t xml:space="preserve">In a wide range of domains, skilled anticipation is a vital component of expertise. Anticipation can be defined as the extrapolation of sensory information in the current environment, to predict what might subsequently happen </w:t>
      </w:r>
      <w:r w:rsidRPr="00341B41">
        <w:fldChar w:fldCharType="begin" w:fldLock="1"/>
      </w:r>
      <w:r w:rsidR="0019756D" w:rsidRPr="00341B41">
        <w:instrText>ADDIN CSL_CITATION { "citationItems" : [ { "id" : "ITEM-1", "itemData" : { "DOI" : "10.1016/j.aap.2011.09.049", "ISSN" : "1879-2057", "PMID" : "22269547", "abstract" : "The ability to detect hazards in video clips of driving has been inconsistently linked to driving experience and skill. One potential reason for the lack of consistency is the failure to understand the structural differences between those hazards that discriminate between safe and unsafe drivers, and those that do not. The current study used a car simulator to test drivers of differing levels of experience on approach to a series of hazards that were categorized a priori according to their underlying structure. The results showed that learner drivers took longer to fixate hazards, although they were particularly likely to miss hazards that were obscured by the environment (such as a pedestrian emerging from behind a parked truck). While drivers with a moderate amount of experience were as fast as driving instructors to look at hazards, they spent the greatest amount of time looking at them. Only instructors' ability to detect hazards early in the approach translated into differences in driving speed for certain types of hazard. The results demonstrate that drivers of varying experience respond differently to different hazards, and lay the foundations for a hazard typology.", "author" : [ { "dropping-particle" : "", "family" : "Crundall", "given" : "David", "non-dropping-particle" : "", "parse-names" : false, "suffix" : "" }, { "dropping-particle" : "", "family" : "Chapman", "given" : "Peter", "non-dropping-particle" : "", "parse-names" : false, "suffix" : "" }, { "dropping-particle" : "", "family" : "Trawley", "given" : "Steven", "non-dropping-particle" : "", "parse-names" : false, "suffix" : "" }, { "dropping-particle" : "", "family" : "Collins", "given" : "Lyn", "non-dropping-particle" : "", "parse-names" : false, "suffix" : "" }, { "dropping-particle" : "", "family" : "Loon", "given" : "Editha", "non-dropping-particle" : "van", "parse-names" : false, "suffix" : "" }, { "dropping-particle" : "", "family" : "Andrews", "given" : "Ben", "non-dropping-particle" : "", "parse-names" : false, "suffix" : "" }, { "dropping-particle" : "", "family" : "Underwood", "given" : "Geoffrey", "non-dropping-particle" : "", "parse-names" : false, "suffix" : "" } ], "container-title" : "Accident Analysis and Prevention", "id" : "ITEM-1", "issued" : { "date-parts" : [ [ "2012" ] ] }, "page" : "600-9", "title" : "Some hazards are more attractive than others: drivers of varying experience respond differently to different types of hazard.", "type" : "article-journal", "volume" : "45" }, "uris" : [ "http://www.mendeley.com/documents/?uuid=70f2383f-655a-475c-93d8-23e01b7f8701" ] } ], "mendeley" : { "formattedCitation" : "(Crundall et al., 2012)", "plainTextFormattedCitation" : "(Crundall et al., 2012)", "previouslyFormattedCitation" : "(Crundall et al., 2012)" }, "properties" : { "noteIndex" : 0 }, "schema" : "https://github.com/citation-style-language/schema/raw/master/csl-citation.json" }</w:instrText>
      </w:r>
      <w:r w:rsidRPr="00341B41">
        <w:fldChar w:fldCharType="separate"/>
      </w:r>
      <w:r w:rsidR="0098293B" w:rsidRPr="00341B41">
        <w:rPr>
          <w:noProof/>
        </w:rPr>
        <w:t>(Crundall et al., 2012)</w:t>
      </w:r>
      <w:r w:rsidRPr="00341B41">
        <w:fldChar w:fldCharType="end"/>
      </w:r>
      <w:r w:rsidRPr="00341B41">
        <w:t xml:space="preserve">. </w:t>
      </w:r>
    </w:p>
    <w:p w14:paraId="3A631EBA" w14:textId="77777777" w:rsidR="00D07C34" w:rsidRPr="00341B41" w:rsidRDefault="00D07C34" w:rsidP="00D07C34">
      <w:pPr>
        <w:ind w:firstLine="720"/>
      </w:pPr>
      <w:r w:rsidRPr="00341B41">
        <w:t xml:space="preserve">In sports, skilled motor movement is required, and in many, this movement is required in very short time frames. This restriction means there is little time for planning and decision-making. Because of this, being able to anticipate is a crucial skill. Correctly predicting an opponent’s actions gives a player extra time in which to prepare a suitable response. Anticipation is not a skill unique to sports either. For instance, when driving a car, being able to anticipate the future actions of other road users will help in reducing collisions. </w:t>
      </w:r>
    </w:p>
    <w:p w14:paraId="3BD2E985" w14:textId="38620C52" w:rsidR="00D07C34" w:rsidRPr="00341B41" w:rsidRDefault="00D07C34" w:rsidP="00D07C34">
      <w:pPr>
        <w:ind w:firstLine="720"/>
      </w:pPr>
      <w:r w:rsidRPr="00341B41">
        <w:t xml:space="preserve">Anticipation shows an expertise effect across a wide range of sports such as football </w:t>
      </w:r>
      <w:r w:rsidRPr="00341B41">
        <w:fldChar w:fldCharType="begin" w:fldLock="1"/>
      </w:r>
      <w:r w:rsidR="0019756D" w:rsidRPr="00341B41">
        <w:instrText>ADDIN CSL_CITATION { "citationItems" : [ { "id" : "ITEM-1", "itemData" : { "DOI" : "10.1080/026404102317284826", "ISSN" : "0264-0414", "PMID" : "11999482", "abstract" : "We used a novel methodological approach to examine skill-based differences in anticipation and visual search behaviour during the penalty kick in soccer. Expert and novice goalkeepers were required to move a joystick in response to penalty kicks presented on film. The proportion of penalties saved was assessed, as well as the frequency and time of initiation of joystick corrections. Visual search behaviour was examined using an eye movement registration system. Expert goalkeepers were generally more accurate in predicting the direction of the penalty kick, waited longer before initiating a response and made fewer corrective movements with the joystick. The expert goalkeepers used a more efficient search strategy involving fewer fixations of longer duration to less disparate areas of the display. The novices spent longer fixating on the trunk, arms and hips, whereas the experts found the kicking leg, non-kicking leg and ball areas to be more informative, particularly as the moment of foot-ball contact approached. No differences in visual search behaviour were observed between successful and unsuccessful penalties. The results have implications for improving anticipation skill at penalty kicks.", "author" : [ { "dropping-particle" : "", "family" : "Savelsbergh", "given" : "Geert J P", "non-dropping-particle" : "", "parse-names" : false, "suffix" : "" }, { "dropping-particle" : "", "family" : "Williams", "given" : "Andrew Mark", "non-dropping-particle" : "", "parse-names" : false, "suffix" : "" }, { "dropping-particle" : "", "family" : "Kamp", "given" : "John", "non-dropping-particle" : "Van der", "parse-names" : false, "suffix" : "" }, { "dropping-particle" : "", "family" : "Ward", "given" : "Paul", "non-dropping-particle" : "", "parse-names" : false, "suffix" : "" } ], "container-title" : "Journal of Sports Sciences", "id" : "ITEM-1", "issue" : "3", "issued" : { "date-parts" : [ [ "2002", "3" ] ] }, "page" : "279-87", "title" : "Visual search, anticipation and expertise in soccer goalkeepers.", "type" : "article-journal", "volume" : "20" }, "uris" : [ "http://www.mendeley.com/documents/?uuid=734170c4-c93a-4a2c-9b5d-c69080a6be14" ] } ], "mendeley" : { "formattedCitation" : "(Savelsbergh, Williams, Van der Kamp, &amp; Ward, 2002)", "plainTextFormattedCitation" : "(Savelsbergh, Williams, Van der Kamp, &amp; Ward, 2002)", "previouslyFormattedCitation" : "(Savelsbergh, Williams, Van der Kamp, &amp; Ward, 2002)" }, "properties" : { "noteIndex" : 0 }, "schema" : "https://github.com/citation-style-language/schema/raw/master/csl-citation.json" }</w:instrText>
      </w:r>
      <w:r w:rsidRPr="00341B41">
        <w:fldChar w:fldCharType="separate"/>
      </w:r>
      <w:r w:rsidR="0098293B" w:rsidRPr="00341B41">
        <w:rPr>
          <w:noProof/>
        </w:rPr>
        <w:t>(Savelsbergh, Williams, Van der Kamp, &amp; Ward, 2002)</w:t>
      </w:r>
      <w:r w:rsidRPr="00341B41">
        <w:fldChar w:fldCharType="end"/>
      </w:r>
      <w:r w:rsidRPr="00341B41">
        <w:t xml:space="preserve">, rugby </w:t>
      </w:r>
      <w:r w:rsidRPr="00341B41">
        <w:fldChar w:fldCharType="begin" w:fldLock="1"/>
      </w:r>
      <w:r w:rsidR="0019756D" w:rsidRPr="00341B41">
        <w:instrText>ADDIN CSL_CITATION { "citationItems" : [ { "id" : "ITEM-1", "itemData" : { "DOI" : "10.1016/j.actpsy.2006.02.002", "ISSN" : "0001-6918", "PMID" : "16546104", "abstract" : "The ability to detect deceptive movement was examined in skilled and novice rugby players. Participants (14 per group) attempted to predict direction change from video of expert and recreational rugby players changing direction with and without deceptive movement. Confidence associated with judgments was recorded on each trial to seek evidence regarding use of inferential (heuristic-based) and direct-perceptual (invariant-based) judgments. Novices were found to be susceptible to deceptive movement whereas skilled participants were not; however, both skilled and novice participants were more confident on trials containing deceptive movement. The data suggest that the skill-level difference in sensitivity to advance visual information extends to deceptive information. The implications of this finding, and the importance of considering the underlying process of anticipation skill, are discussed.", "author" : [ { "dropping-particle" : "", "family" : "Jackson", "given" : "Robin C", "non-dropping-particle" : "", "parse-names" : false, "suffix" : "" }, { "dropping-particle" : "", "family" : "Warren", "given" : "Simon", "non-dropping-particle" : "", "parse-names" : false, "suffix" : "" }, { "dropping-particle" : "", "family" : "Abernethy", "given" : "Bruce", "non-dropping-particle" : "", "parse-names" : false, "suffix" : "" } ], "container-title" : "Acta Psychologica", "id" : "ITEM-1", "issue" : "3", "issued" : { "date-parts" : [ [ "2006", "11" ] ] }, "page" : "355-71", "title" : "Anticipation skill and susceptibility to deceptive movement.", "type" : "article-journal", "volume" : "123" }, "uris" : [ "http://www.mendeley.com/documents/?uuid=1e6eb47d-73e7-4b5b-9ad4-9172468a8de2" ] } ], "mendeley" : { "formattedCitation" : "(Jackson, Warren, &amp; Abernethy, 2006)", "plainTextFormattedCitation" : "(Jackson, Warren, &amp; Abernethy, 2006)", "previouslyFormattedCitation" : "(Jackson, Warren, &amp; Abernethy, 2006)" }, "properties" : { "noteIndex" : 0 }, "schema" : "https://github.com/citation-style-language/schema/raw/master/csl-citation.json" }</w:instrText>
      </w:r>
      <w:r w:rsidRPr="00341B41">
        <w:fldChar w:fldCharType="separate"/>
      </w:r>
      <w:r w:rsidR="0098293B" w:rsidRPr="00341B41">
        <w:rPr>
          <w:noProof/>
        </w:rPr>
        <w:t>(Jackson, Warren, &amp; Abernethy, 2006)</w:t>
      </w:r>
      <w:r w:rsidRPr="00341B41">
        <w:fldChar w:fldCharType="end"/>
      </w:r>
      <w:r w:rsidRPr="00341B41">
        <w:t xml:space="preserve">, ice hockey </w:t>
      </w:r>
      <w:r w:rsidRPr="00341B41">
        <w:fldChar w:fldCharType="begin" w:fldLock="1"/>
      </w:r>
      <w:r w:rsidR="0019756D" w:rsidRPr="00341B41">
        <w:instrText>ADDIN CSL_CITATION { "citationItems" : [ { "id" : "ITEM-1", "itemData" : { "author" : [ { "dropping-particle" : "", "family" : "Salmela", "given" : "J.H", "non-dropping-particle" : "", "parse-names" : false, "suffix" : "" }, { "dropping-particle" : "", "family" : "Fiorito", "given" : "P", "non-dropping-particle" : "", "parse-names" : false, "suffix" : "" } ], "container-title" : "Canadian Journal of Applied Sport Science", "id" : "ITEM-1", "issue" : "1", "issued" : { "date-parts" : [ [ "1979" ] ] }, "page" : "56-59", "title" : "Visual cues in ice hocky goaltending", "type" : "article-journal", "volume" : "4" }, "uris" : [ "http://www.mendeley.com/documents/?uuid=bf73ae55-8233-4cfc-a116-5550f4ed253a" ] } ], "mendeley" : { "formattedCitation" : "(Salmela &amp; Fiorito, 1979)", "plainTextFormattedCitation" : "(Salmela &amp; Fiorito, 1979)", "previouslyFormattedCitation" : "(Salmela &amp; Fiorito, 1979)" }, "properties" : { "noteIndex" : 0 }, "schema" : "https://github.com/citation-style-language/schema/raw/master/csl-citation.json" }</w:instrText>
      </w:r>
      <w:r w:rsidRPr="00341B41">
        <w:fldChar w:fldCharType="separate"/>
      </w:r>
      <w:r w:rsidR="0098293B" w:rsidRPr="00341B41">
        <w:rPr>
          <w:noProof/>
        </w:rPr>
        <w:t>(Salmela &amp; Fiorito, 1979)</w:t>
      </w:r>
      <w:r w:rsidRPr="00341B41">
        <w:fldChar w:fldCharType="end"/>
      </w:r>
      <w:r w:rsidRPr="00341B41">
        <w:t xml:space="preserve">, tennis </w:t>
      </w:r>
      <w:r w:rsidRPr="00341B41">
        <w:fldChar w:fldCharType="begin" w:fldLock="1"/>
      </w:r>
      <w:r w:rsidR="0019756D" w:rsidRPr="00341B41">
        <w:instrText>ADDIN CSL_CITATION { "citationItems" : [ { "id" : "ITEM-1", "itemData" : { "author" : [ { "dropping-particle" : "", "family" : "Rowe", "given" : "Richard", "non-dropping-particle" : "", "parse-names" : false, "suffix" : "" }, { "dropping-particle" : "", "family" : "McKenna", "given" : "Frank P", "non-dropping-particle" : "", "parse-names" : false, "suffix" : "" } ], "container-title" : "Journal of Experimental Psychology: Applied", "id" : "ITEM-1", "issue" : "1", "issued" : { "date-parts" : [ [ "2001" ] ] }, "page" : "60-67", "title" : "Skilled anticipation in real-world tasks: Measurement of attentional demands in the domain of tennis", "type" : "article-journal", "volume" : "7" }, "uris" : [ "http://www.mendeley.com/documents/?uuid=25d0285b-f160-4cb8-a199-2fcbe666f3a6" ] } ], "mendeley" : { "formattedCitation" : "(Rowe &amp; McKenna, 2001)", "plainTextFormattedCitation" : "(Rowe &amp; McKenna, 2001)", "previouslyFormattedCitation" : "(Rowe &amp; McKenna, 2001)" }, "properties" : { "noteIndex" : 0 }, "schema" : "https://github.com/citation-style-language/schema/raw/master/csl-citation.json" }</w:instrText>
      </w:r>
      <w:r w:rsidRPr="00341B41">
        <w:fldChar w:fldCharType="separate"/>
      </w:r>
      <w:r w:rsidR="0098293B" w:rsidRPr="00341B41">
        <w:rPr>
          <w:noProof/>
        </w:rPr>
        <w:t>(Rowe &amp; McKenna, 2001)</w:t>
      </w:r>
      <w:r w:rsidRPr="00341B41">
        <w:fldChar w:fldCharType="end"/>
      </w:r>
      <w:r w:rsidRPr="00341B41">
        <w:t xml:space="preserve">, squash </w:t>
      </w:r>
      <w:r w:rsidRPr="00341B41">
        <w:fldChar w:fldCharType="begin" w:fldLock="1"/>
      </w:r>
      <w:r w:rsidR="0019756D" w:rsidRPr="00341B41">
        <w:instrText>ADDIN CSL_CITATION { "citationItems" : [ { "id" : "ITEM-1", "itemData" : { "ISSN" : "0301-0066", "PMID" : "2336337", "abstract" : "The visual search characteristics of expert and novice squash players were compared in two experiments. In the first experiment subjects were required to predict the forthcoming direction and force of an opponent's stroke from a film display. This film display was designed to simulate the normal display available to the defending player in squash and involved the use of variable temporal cut-offs to force the subjects to use advance cues in their prediction. Systematic differences in the information pick-up of the experts and novices were observed on the film task but these differences were achieved with only relatively minor between-group variations in visual search strategy. In the second experiment, set in the natural field setting, no expert-novice differences in either fixation distribution, order, or duration were observed on a comparable prediction task. This provided further support for the conclusion that the limiting factor in the perceptual performance of the novices is not an inappropriate search strategy but rather an inability to make full use of the information available from fixated display features. Some practical implications of these findings for the squash coach and player are considered.", "author" : [ { "dropping-particle" : "", "family" : "Abernethy", "given" : "Bruce", "non-dropping-particle" : "", "parse-names" : false, "suffix" : "" } ], "container-title" : "Perception", "id" : "ITEM-1", "issue" : "1", "issued" : { "date-parts" : [ [ "1990" ] ] }, "page" : "63-77", "title" : "Expertise, visual search, and information pick-up in squash.", "type" : "article-journal", "volume" : "19" }, "uris" : [ "http://www.mendeley.com/documents/?uuid=aced561f-d301-4960-b866-9d73c47cf268" ] } ], "mendeley" : { "formattedCitation" : "(Abernethy, 1990)", "plainTextFormattedCitation" : "(Abernethy, 1990)", "previouslyFormattedCitation" : "(Abernethy, 1990)" }, "properties" : { "noteIndex" : 0 }, "schema" : "https://github.com/citation-style-language/schema/raw/master/csl-citation.json" }</w:instrText>
      </w:r>
      <w:r w:rsidRPr="00341B41">
        <w:fldChar w:fldCharType="separate"/>
      </w:r>
      <w:r w:rsidR="0098293B" w:rsidRPr="00341B41">
        <w:rPr>
          <w:noProof/>
        </w:rPr>
        <w:t>(Abernethy, 1990)</w:t>
      </w:r>
      <w:r w:rsidRPr="00341B41">
        <w:fldChar w:fldCharType="end"/>
      </w:r>
      <w:r w:rsidRPr="00341B41">
        <w:t xml:space="preserve">, and badminton </w:t>
      </w:r>
      <w:r w:rsidRPr="00341B41">
        <w:fldChar w:fldCharType="begin" w:fldLock="1"/>
      </w:r>
      <w:r w:rsidR="0019756D" w:rsidRPr="00341B41">
        <w:instrText>ADDIN CSL_CITATION { "citationItems" : [ { "id" : "ITEM-1", "itemData" : { "DOI" : "10.3200/JMBR.39.5.353-368", "ISSN" : "0022-2895", "PMID" : "17827113", "abstract" : "In a series of 3 experiments, the authors examined the ability of badminton players of different skill levels (12 experts and 12 nonexperts) to anticipate the direction of badminton strokes. Participants viewed either film or point-light displays under a range of temporal or spatial occlusion conditions. World-class players were able to consistently pick up useful predictive information from the advance (precontact) kinematics of both the lower body and the racquet when the motion of those features was presented in isolation, whereas recreational players' use of the same information depended on the concurrent presence of linked segments. Participants' information pickup closely matched key biomechanical changes in the movement pattern being viewed, although, contrary to a common-coding view of perception and action (e.g., W. Prinz, 1997), some important differences were evident between the characteristics of the experts' movement prediction and those of expert movement production.", "author" : [ { "dropping-particle" : "", "family" : "Abernethy", "given" : "Bruce", "non-dropping-particle" : "", "parse-names" : false, "suffix" : "" }, { "dropping-particle" : "", "family" : "Zawi", "given" : "Khairi", "non-dropping-particle" : "", "parse-names" : false, "suffix" : "" } ], "container-title" : "Journal of Motor Behaviour", "id" : "ITEM-1", "issue" : "5", "issued" : { "date-parts" : [ [ "2007" ] ] }, "page" : "353-67", "title" : "Pickup of essential kinematics underpins expert perception of movement patterns.", "type" : "article-journal", "volume" : "39" }, "uris" : [ "http://www.mendeley.com/documents/?uuid=f65d6f95-72e5-4bcf-9627-6e8cfd3299bd" ] } ], "mendeley" : { "formattedCitation" : "(Abernethy &amp; Zawi, 2007)", "plainTextFormattedCitation" : "(Abernethy &amp; Zawi, 2007)", "previouslyFormattedCitation" : "(Abernethy &amp; Zawi, 2007)" }, "properties" : { "noteIndex" : 0 }, "schema" : "https://github.com/citation-style-language/schema/raw/master/csl-citation.json" }</w:instrText>
      </w:r>
      <w:r w:rsidRPr="00341B41">
        <w:fldChar w:fldCharType="separate"/>
      </w:r>
      <w:r w:rsidR="0098293B" w:rsidRPr="00341B41">
        <w:rPr>
          <w:noProof/>
        </w:rPr>
        <w:t>(Abernethy &amp; Zawi, 2007)</w:t>
      </w:r>
      <w:r w:rsidRPr="00341B41">
        <w:fldChar w:fldCharType="end"/>
      </w:r>
      <w:r w:rsidRPr="00341B41">
        <w:t xml:space="preserve">. As mentioned above, </w:t>
      </w:r>
      <w:r w:rsidRPr="00341B41">
        <w:lastRenderedPageBreak/>
        <w:t xml:space="preserve">anticipation is important in domains such as driving as well. Expertise related differences in anticipation skill have been found in studies of hazard perception when driving </w:t>
      </w:r>
      <w:r w:rsidRPr="00341B41">
        <w:fldChar w:fldCharType="begin" w:fldLock="1"/>
      </w:r>
      <w:r w:rsidR="0019756D" w:rsidRPr="00341B41">
        <w:instrText>ADDIN CSL_CITATION { "citationItems" : [ { "id" : "ITEM-1", "itemData" : { "DOI" : "10.1016/j.aap.2013.07.008", "ISSN" : "1879-2057", "PMID" : "23954689", "abstract" : "This study investigated the effects of driving experience on hazard awareness and risk perception skills. These topics have previously been investigated separately, yet a novel approach is suggested where hazard awareness and risk perception are examined concurrently. Young, newly qualified drivers, experienced drivers, and a group of commercial drivers, namely, taxi drivers performed three consecutive tasks: (1) observed 10 short movies of real-world driving situations and were asked to press a button each time they identified a hazardous situation; (2) observed one of three possible sub-sets of 8 movies (out of the 10 they have seen earlier) for the second time, and were asked to categorize them into an arbitrary number of clusters according to the similarity in their hazardous situation; and (3) observed the same sub-set for a third time and following each movie were asked to rate its level of hazardousness. The first task is considered a real-time identification task while the other two are performed using hindsight. During it participants' eye movements were recorded. Results showed that taxi drivers were more sensitive to hidden hazards than the other driver groups and that young-novices were the least sensitive. Young-novice drivers also relied heavily on materialized hazards in their categorization structure. In addition, it emerged that risk perception was derived from two major components: the likelihood of a crash and the severity of its outcome. Yet, the outcome was rarely considered under time pressure (i.e., in real-time hazard identification tasks). Using hindsight, when drivers were provided with the opportunity to rate the movies' hazardousness more freely (rating task) they considered both components. Otherwise, in the categorization task, they usually chose the severity of the crash outcome as their dominant criterion. Theoretical and practical implications are discussed.", "author" : [ { "dropping-particle" : "", "family" : "Borowsky", "given" : "Avinoam", "non-dropping-particle" : "", "parse-names" : false, "suffix" : "" }, { "dropping-particle" : "", "family" : "Oron-Gilad", "given" : "Tal", "non-dropping-particle" : "", "parse-names" : false, "suffix" : "" } ], "container-title" : "Accident Analysis and Prevention", "id" : "ITEM-1", "issued" : { "date-parts" : [ [ "2013", "10" ] ] }, "page" : "548-65", "publisher" : "Elsevier Ltd", "title" : "Exploring the effects of driving experience on hazard awareness and risk perception via real-time hazard identification, hazard classification, and rating tasks.", "type" : "article-journal", "volume" : "59" }, "uris" : [ "http://www.mendeley.com/documents/?uuid=51024e3d-0244-4ab2-a340-8281caaff743" ] }, { "id" : "ITEM-2", "itemData" : { "DOI" : "10.1037/1076-898X.12.1.1", "ISSN" : "1076-898X", "PMID" : "16536655", "abstract" : "Skill and risk taking are argued to be independent and to require different remedial programs. However, it is possible to contend that skill-based training could be associated with an increase, a decrease, or no change in risk-taking behavior. In 3 experiments, the authors examined the influence of a skill-based training program (hazard perception) on the risk-taking behavior of car drivers (using video-based driving simulations). Experiment 1 demonstrated a decrease in risk taking for novice drivers. In Experiment 2, the authors examined the possibilities that the skills training might operate through either a nonspecific reduction in risk taking or a specific improvement in hazard perception. Evidence supported the latter. These findings were replicated in a more ecological context in Experiment 3, which compared advanced and nonadvanced police drivers.", "author" : [ { "dropping-particle" : "", "family" : "McKenna", "given" : "Frank P", "non-dropping-particle" : "", "parse-names" : false, "suffix" : "" }, { "dropping-particle" : "", "family" : "Horswill", "given" : "Mark S", "non-dropping-particle" : "", "parse-names" : false, "suffix" : "" }, { "dropping-particle" : "", "family" : "Alexander", "given" : "Jane L", "non-dropping-particle" : "", "parse-names" : false, "suffix" : "" } ], "container-title" : "Journal of Experimental Psychology: Applied", "id" : "ITEM-2", "issue" : "1", "issued" : { "date-parts" : [ [ "2006", "3" ] ] }, "page" : "1-10", "title" : "Does anticipation training affect drivers' risk taking?", "type" : "article-journal", "volume" : "12" }, "uris" : [ "http://www.mendeley.com/documents/?uuid=d91c55ea-b480-49c3-9751-c4d62d5b066b" ] }, { "id" : "ITEM-3", "itemData" : { "DOI" : "10.1016/j.aap.2011.04.007", "ISSN" : "1879-2057", "PMID" : "21658504", "abstract" : "Drivers' hazard perception is the ability to identify dangerous situations on the road ahead. We detail the development and validation of a new computer-based hazard perception test to be used for driver licensing purposes in Queensland, Australia. We proposed five principles of effective hazard perception test creation, which we used to guide development of the test. In Study 1, the video-based instructions for the test were found to be intelligible to non-native English-speakers with an effective English reading age of 10 years. In Study 2, experienced drivers were found to be faster at responding to hazards in the test than learner drivers (independent of simple reaction time or ability to use the response device), providing evidence for test validity. We found no evidence of gender, income, or educational differences in hazard perception scores. The results of both experiments confirm the efficacy of the five principles, and provide support for the validity of the QT-HPT and its suitability for use in the graduated driver licensing system.", "author" : [ { "dropping-particle" : "", "family" : "Wetton", "given" : "Mark", "non-dropping-particle" : "", "parse-names" : false, "suffix" : "" }, { "dropping-particle" : "", "family" : "Hill", "given" : "Andrew", "non-dropping-particle" : "", "parse-names" : false, "suffix" : "" }, { "dropping-particle" : "", "family" : "Horswill", "given" : "Mark S", "non-dropping-particle" : "", "parse-names" : false, "suffix" : "" } ], "container-title" : "Accident Analysis and Prevention", "id" : "ITEM-3", "issue" : "5", "issued" : { "date-parts" : [ [ "2011", "9" ] ] }, "page" : "1759-70", "publisher" : "Elsevier Ltd", "title" : "The development and validation of a hazard perception test for use in driver licensing.", "type" : "article-journal", "volume" : "43" }, "uris" : [ "http://www.mendeley.com/documents/?uuid=d3e6b34b-c328-484a-af9f-87b15f6af068" ] } ], "mendeley" : { "formattedCitation" : "(Borowsky &amp; Oron-Gilad, 2013; McKenna, Horswill, &amp; Alexander, 2006; Wetton, Hill, &amp; Horswill, 2011)", "plainTextFormattedCitation" : "(Borowsky &amp; Oron-Gilad, 2013; McKenna, Horswill, &amp; Alexander, 2006; Wetton, Hill, &amp; Horswill, 2011)", "previouslyFormattedCitation" : "(Borowsky &amp; Oron-Gilad, 2013; McKenna, Horswill, &amp; Alexander, 2006; Wetton, Hill, &amp; Horswill, 2011)" }, "properties" : { "noteIndex" : 0 }, "schema" : "https://github.com/citation-style-language/schema/raw/master/csl-citation.json" }</w:instrText>
      </w:r>
      <w:r w:rsidRPr="00341B41">
        <w:fldChar w:fldCharType="separate"/>
      </w:r>
      <w:r w:rsidR="0098293B" w:rsidRPr="00341B41">
        <w:rPr>
          <w:noProof/>
        </w:rPr>
        <w:t>(Borowsky &amp; Oron-Gilad, 2013; McKenna, Horswill, &amp; Alexander, 2006; Wetton, Hill, &amp; Horswill, 2011)</w:t>
      </w:r>
      <w:r w:rsidRPr="00341B41">
        <w:fldChar w:fldCharType="end"/>
      </w:r>
      <w:r w:rsidRPr="00341B41">
        <w:t xml:space="preserve">. </w:t>
      </w:r>
    </w:p>
    <w:p w14:paraId="7982E32A" w14:textId="53C55E8D" w:rsidR="00D07C34" w:rsidRPr="00341B41" w:rsidRDefault="00D07C34" w:rsidP="00D07C34">
      <w:pPr>
        <w:ind w:firstLine="720"/>
      </w:pPr>
      <w:r w:rsidRPr="00341B41">
        <w:t>These opening sections have provided an overview of the major frameworks for studying the dimensions of expertise. The concept of anticipation has been introduced, and it has been highlighted that it is an important skill that needs to be developed in order to attain expert status in domains such as sports and driving. The following section will present a theoretical model of anticipation, applied to specific examples in sports. This will be followed by a discussion of the empirical evidence supporting the roles of a number of different perceptual and cognitive mechanisms that underpin anticipatory skill in athletes.</w:t>
      </w:r>
    </w:p>
    <w:p w14:paraId="6B4213C2" w14:textId="63933EED" w:rsidR="00D07C34" w:rsidRPr="00341B41" w:rsidRDefault="00D07C34" w:rsidP="00D07C34">
      <w:pPr>
        <w:pStyle w:val="Heading2"/>
      </w:pPr>
      <w:bookmarkStart w:id="14" w:name="_Toc486260830"/>
      <w:r w:rsidRPr="00341B41">
        <w:t>1.3.</w:t>
      </w:r>
      <w:r w:rsidRPr="00341B41">
        <w:tab/>
        <w:t>Cognitive models of anticipation</w:t>
      </w:r>
      <w:bookmarkEnd w:id="14"/>
    </w:p>
    <w:p w14:paraId="329DA347" w14:textId="2A9C3228" w:rsidR="00D07C34" w:rsidRPr="00341B41" w:rsidRDefault="00D07C34" w:rsidP="00D07C34">
      <w:pPr>
        <w:rPr>
          <w:rFonts w:cs="Times New Roman"/>
        </w:rPr>
      </w:pPr>
      <w:r w:rsidRPr="00341B41">
        <w:t xml:space="preserve">The concept of situation awareness (SA), developed mainly in the field of ergonomics, provides a useful theoretical framework for understanding expert anticipation in sports. </w:t>
      </w:r>
      <w:r w:rsidRPr="00341B41">
        <w:rPr>
          <w:rFonts w:cs="Times New Roman"/>
        </w:rPr>
        <w:t xml:space="preserve">The most influential theory of SA defines it as “the perception of elements in the environment within a volume of time and space, the comprehension of their meaning, and the projection of their status in the near future”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"Endsley", "given" : "M. R.", "non-dropping-particle" : "", "parse-names" : false, "suffix" : "" } ], "container-title" : "Human Factors", "id" : "ITEM-1", "issue" : "1", "issued" : { "date-parts" : [ [ "1995" ] ] }, "page" : "32-64", "title" : "Towards a theory of situation awareness in dynamic systems", "type" : "article-journal", "volume" : "37" }, "uris" : [ "http://www.mendeley.com/documents/?uuid=13d0974f-ec56-43eb-a990-9c9b907042d7" ] }, { "id" : "ITEM-2", "itemData" : { "DOI" : "10.1177/154193120004400117", "ISSN" : "1071-1813", "author" : [ { "dropping-particle" : "", "family" : "Endsley", "given" : "M. R.", "non-dropping-particle" : "", "parse-names" : false, "suffix" : "" } ], "container-title" : "Proceedings of the Human Factors and Ergonomics Society Annual Meeting", "id" : "ITEM-2", "issue" : "1", "issued" : { "date-parts" : [ [ "2000", "7", "1" ] ] }, "page" : "61-64", "title" : "Situation Models: An Avenue to the Modeling of Mental Models", "type" : "article-journal", "volume" : "44" }, "uris" : [ "http://www.mendeley.com/documents/?uuid=3452a8f3-cac2-46b7-96aa-1bdfb2c60f0c" ] } ], "mendeley" : { "formattedCitation" : "(Endsley, 1995, 2000)", "plainTextFormattedCitation" : "(Endsley, 1995, 2000)", "previouslyFormattedCitation" : "(Endsley, 1995, 2000)"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(Endsley, 1995, 2000)</w:t>
      </w:r>
      <w:r w:rsidRPr="00341B41">
        <w:rPr>
          <w:rFonts w:cs="Times New Roman"/>
        </w:rPr>
        <w:fldChar w:fldCharType="end"/>
      </w:r>
      <w:r w:rsidRPr="00341B41">
        <w:rPr>
          <w:rFonts w:cs="Times New Roman"/>
        </w:rPr>
        <w:t xml:space="preserve">. This theory outlines three levels of understanding, moving from the correct identification of relevant perceptual cues in the environment, to predicting how the state of the environment will change in the future i.e. anticipation. </w:t>
      </w:r>
    </w:p>
    <w:p w14:paraId="0A5E74B9" w14:textId="4B4D5222" w:rsidR="00D07C34" w:rsidRPr="00341B41" w:rsidRDefault="00D07C34" w:rsidP="00D07C34">
      <w:pPr>
        <w:ind w:firstLine="720"/>
        <w:rPr>
          <w:rFonts w:cs="Times New Roman"/>
        </w:rPr>
      </w:pPr>
      <w:r w:rsidRPr="00341B41">
        <w:rPr>
          <w:rFonts w:cs="Times New Roman"/>
        </w:rPr>
        <w:t xml:space="preserve">Level 1 SA is the perception of cues in the environment. This requires the status, attributes, and dynamics of the relevant elements to be understood. The first stage to </w:t>
      </w:r>
      <w:r w:rsidRPr="00341B41">
        <w:rPr>
          <w:rFonts w:cs="Times New Roman"/>
        </w:rPr>
        <w:lastRenderedPageBreak/>
        <w:t>successfully anticipating tennis shot direction would be correctly identifying all of the available perceptual cues present in the actions of the opponent prior to them hitting t</w:t>
      </w:r>
      <w:r w:rsidR="00B76CD2" w:rsidRPr="00341B41">
        <w:rPr>
          <w:rFonts w:cs="Times New Roman"/>
        </w:rPr>
        <w:t>he ball. As shown in section 1.4</w:t>
      </w:r>
      <w:r w:rsidR="0035594D" w:rsidRPr="00341B41">
        <w:rPr>
          <w:rFonts w:cs="Times New Roman"/>
        </w:rPr>
        <w:t>.1</w:t>
      </w:r>
      <w:r w:rsidRPr="00341B41">
        <w:rPr>
          <w:rFonts w:cs="Times New Roman"/>
        </w:rPr>
        <w:t xml:space="preserve">, level 1 SA may be achieved through an efficient visual search strategy. </w:t>
      </w:r>
    </w:p>
    <w:p w14:paraId="5E914A39" w14:textId="4F6192F4" w:rsidR="00D07C34" w:rsidRPr="00341B41" w:rsidRDefault="00D07C34" w:rsidP="00D07C34">
      <w:pPr>
        <w:ind w:firstLine="720"/>
        <w:rPr>
          <w:rFonts w:cs="Times New Roman"/>
        </w:rPr>
      </w:pPr>
      <w:r w:rsidRPr="00341B41">
        <w:rPr>
          <w:rFonts w:cs="Times New Roman"/>
        </w:rPr>
        <w:t>Level 2 SA is the comprehension of the current situation. To achieve this level of SA, it is necessary to go beyond identifying objects in the environment (level 1 SA), and gain an understanding of their significance relevant to a particular goal. In the tennis example, level 2 SA would be achieved by the player integrating all of the relevant cues identified during level 1 SA, in order to gain a full comprehension of the action that is going to be executed by the opposing player. Processes such as kinematic cue comprehension, and the use of probability and expectation, may facilit</w:t>
      </w:r>
      <w:r w:rsidR="0035594D" w:rsidRPr="00341B41">
        <w:rPr>
          <w:rFonts w:cs="Times New Roman"/>
        </w:rPr>
        <w:t>ate level 2 SA (see sections 1.4.2 and 1.4.3</w:t>
      </w:r>
      <w:r w:rsidRPr="00341B41">
        <w:rPr>
          <w:rFonts w:cs="Times New Roman"/>
        </w:rPr>
        <w:t xml:space="preserve">). </w:t>
      </w:r>
    </w:p>
    <w:p w14:paraId="5B78C216" w14:textId="77777777" w:rsidR="00D07C34" w:rsidRPr="00341B41" w:rsidRDefault="00D07C34" w:rsidP="00D07C34">
      <w:pPr>
        <w:ind w:firstLine="720"/>
        <w:rPr>
          <w:rFonts w:cs="Times New Roman"/>
        </w:rPr>
      </w:pPr>
      <w:r w:rsidRPr="00341B41">
        <w:rPr>
          <w:rFonts w:cs="Times New Roman"/>
        </w:rPr>
        <w:t xml:space="preserve">Finally, level 3 SA is the projection of future states, thus representing the ability to anticipate. Being able to anticipate future scenarios requires recognition of the status and dynamics of the elements (level 1) and then comprehend the situation as a whole (level 2). In the tennis example, level 3 SA would be achieved by first perceiving cues in the opposing player, understanding the intention of the opponent that the cues represent, and then being able to anticipate based on the information present in the cues. </w:t>
      </w:r>
    </w:p>
    <w:p w14:paraId="05988871" w14:textId="77777777" w:rsidR="00D07C34" w:rsidRPr="00341B41" w:rsidRDefault="00D07C34" w:rsidP="00D07C34">
      <w:pPr>
        <w:ind w:firstLine="720"/>
        <w:rPr>
          <w:rFonts w:cs="Times New Roman"/>
        </w:rPr>
      </w:pPr>
      <w:r w:rsidRPr="00341B41">
        <w:rPr>
          <w:rFonts w:cs="Times New Roman"/>
        </w:rPr>
        <w:t xml:space="preserve">SA provides a useful theoretical model of anticipation as it describes the processes required for anticipation, and also suggests potential mechanisms underlying expert anticipation in sport. Furthermore, the SA framework also provides insights into how anticipation may fail, and is useful in understanding how anticipation skill may be trained. </w:t>
      </w:r>
      <w:r w:rsidRPr="00341B41">
        <w:rPr>
          <w:rFonts w:cs="Times New Roman"/>
        </w:rPr>
        <w:lastRenderedPageBreak/>
        <w:t xml:space="preserve">For example, incorrect anticipation may occur due to a player not being able to successfully identify all of the relevant cues (level 1 failure), or incorrectly misattributing the information imbedded in a certain cue (level 2 failure). </w:t>
      </w:r>
    </w:p>
    <w:p w14:paraId="627B23B8" w14:textId="212DC5BF" w:rsidR="00D07C34" w:rsidRPr="00341B41" w:rsidRDefault="00D07C34" w:rsidP="00D07C34">
      <w:pPr>
        <w:ind w:firstLine="720"/>
        <w:rPr>
          <w:rFonts w:cs="Times New Roman"/>
        </w:rPr>
      </w:pPr>
      <w:r w:rsidRPr="00341B41">
        <w:rPr>
          <w:rFonts w:cs="Times New Roman"/>
        </w:rPr>
        <w:t xml:space="preserve">One proposed cognitive model on which to understand SA and anticipation is provided by long-term working memory theory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"Ericsson", "given" : "K Anders", "non-dropping-particle" : "", "parse-names" : false, "suffix" : "" }, { "dropping-particle" : "", "family" : "Kintsch", "given" : "W", "non-dropping-particle" : "", "parse-names" : false, "suffix" : "" } ], "container-title" : "Psychological Review", "id" : "ITEM-1", "issue" : "2", "issued" : { "date-parts" : [ [ "1995" ] ] }, "page" : "211-245", "title" : "Long-term working memory", "type" : "article-journal", "volume" : "102" }, "uris" : [ "http://www.mendeley.com/documents/?uuid=aa663820-701a-4f3a-b8f5-3a73455709af" ] } ], "mendeley" : { "formattedCitation" : "(Ericsson &amp; Kintsch, 1995)", "manualFormatting" : "(Ericsson &amp; Kintsch, 1995)", "plainTextFormattedCitation" : "(Ericsson &amp; Kintsch, 1995)", "previouslyFormattedCitation" : "(Ericsson &amp; Kintsch, 1995)" }, "properties" : { "noteIndex" : 0 }, "schema" : "https://github.com/citation-style-language/schema/raw/master/csl-citation.json" }</w:instrText>
      </w:r>
      <w:r w:rsidRPr="00341B41">
        <w:rPr>
          <w:rFonts w:cs="Times New Roman"/>
        </w:rPr>
        <w:fldChar w:fldCharType="separate"/>
      </w:r>
      <w:r w:rsidRPr="00341B41">
        <w:rPr>
          <w:rFonts w:cs="Times New Roman"/>
          <w:noProof/>
        </w:rPr>
        <w:t>(Ericsson &amp; Kintsch, 1995)</w:t>
      </w:r>
      <w:r w:rsidRPr="00341B41">
        <w:rPr>
          <w:rFonts w:cs="Times New Roman"/>
        </w:rPr>
        <w:fldChar w:fldCharType="end"/>
      </w:r>
      <w:r w:rsidRPr="00341B41">
        <w:rPr>
          <w:rFonts w:cs="Times New Roman"/>
        </w:rPr>
        <w:t>. This model proposes that experts develop an array of complex task-specific encoding and retrieval skills in long-term memory. These retrieval structures allow experts to index and store information during encoding in a way that features or collections of features can allow for a superior representation of current scenarios which in tu</w:t>
      </w:r>
      <w:r w:rsidR="00E249CE" w:rsidRPr="00341B41">
        <w:rPr>
          <w:rFonts w:cs="Times New Roman"/>
        </w:rPr>
        <w:t>rn facilities the recognition (l</w:t>
      </w:r>
      <w:r w:rsidRPr="00341B41">
        <w:rPr>
          <w:rFonts w:cs="Times New Roman"/>
        </w:rPr>
        <w:t xml:space="preserve">evel 1 SA), comprehension (level 2 SA), and anticipation (level 3 SA) of events. It is proposed that these long-term memory structures are accessible through short-term memory cues. Long-term working memory helps experts develop efficient encoding of a situation, which in turn, facilities monitoring, the formulation of planning actions, and continual evaluation of both the present situation and planned actions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"Ericsson", "given" : "K Anders", "non-dropping-particle" : "", "parse-names" : false, "suffix" : "" }, { "dropping-particle" : "", "family" : "Kintsch", "given" : "W", "non-dropping-particle" : "", "parse-names" : false, "suffix" : "" } ], "container-title" : "Psychological Review", "id" : "ITEM-1", "issue" : "2", "issued" : { "date-parts" : [ [ "1995" ] ] }, "page" : "211-245", "title" : "Long-term working memory", "type" : "article-journal", "volume" : "102" }, "uris" : [ "http://www.mendeley.com/documents/?uuid=aa663820-701a-4f3a-b8f5-3a73455709af" ] } ], "mendeley" : { "formattedCitation" : "(Ericsson &amp; Kintsch, 1995)", "manualFormatting" : "(Ericsson &amp; Kintsch, 1995)", "plainTextFormattedCitation" : "(Ericsson &amp; Kintsch, 1995)", "previouslyFormattedCitation" : "(Ericsson &amp; Kintsch, 1995)" }, "properties" : { "noteIndex" : 0 }, "schema" : "https://github.com/citation-style-language/schema/raw/master/csl-citation.json" }</w:instrText>
      </w:r>
      <w:r w:rsidRPr="00341B41">
        <w:rPr>
          <w:rFonts w:cs="Times New Roman"/>
        </w:rPr>
        <w:fldChar w:fldCharType="separate"/>
      </w:r>
      <w:r w:rsidRPr="00341B41">
        <w:rPr>
          <w:rFonts w:cs="Times New Roman"/>
          <w:noProof/>
        </w:rPr>
        <w:t>(Ericsson &amp; Kintsch, 1995)</w:t>
      </w:r>
      <w:r w:rsidRPr="00341B41">
        <w:rPr>
          <w:rFonts w:cs="Times New Roman"/>
        </w:rPr>
        <w:fldChar w:fldCharType="end"/>
      </w:r>
      <w:r w:rsidRPr="00341B41">
        <w:rPr>
          <w:rFonts w:cs="Times New Roman"/>
        </w:rPr>
        <w:t xml:space="preserve">. </w:t>
      </w:r>
    </w:p>
    <w:p w14:paraId="069604DC" w14:textId="6CE3FDFD" w:rsidR="00D07C34" w:rsidRPr="00341B41" w:rsidRDefault="00D07C34" w:rsidP="00D07C34">
      <w:pPr>
        <w:ind w:firstLine="720"/>
        <w:rPr>
          <w:rFonts w:cs="Times New Roman"/>
        </w:rPr>
      </w:pPr>
      <w:r w:rsidRPr="00341B41">
        <w:rPr>
          <w:rFonts w:cs="Times New Roman"/>
        </w:rPr>
        <w:t>Applied to a sports-specific situation, long-term working memory could aid in successful anticipation. An initial anticipatory cue in the opponent’s action could trigger rapid retrieval of a stored memory representation of a similar situation which can be used to help recognise and comprehend the current situation. Based on stored situation representations, the player could then make an anticipation on what the opponent intends to do based on knowledge</w:t>
      </w:r>
      <w:r w:rsidR="008B07E3" w:rsidRPr="00341B41">
        <w:rPr>
          <w:rFonts w:cs="Times New Roman"/>
        </w:rPr>
        <w:t xml:space="preserve"> acquired from past situations.</w:t>
      </w:r>
    </w:p>
    <w:p w14:paraId="2AB57534" w14:textId="24183198" w:rsidR="00D07C34" w:rsidRPr="00341B41" w:rsidRDefault="00D07C34" w:rsidP="00D07C34">
      <w:pPr>
        <w:ind w:firstLine="720"/>
        <w:rPr>
          <w:rFonts w:cs="Times New Roman"/>
        </w:rPr>
      </w:pPr>
      <w:r w:rsidRPr="00341B41">
        <w:rPr>
          <w:rFonts w:cs="Times New Roman"/>
        </w:rPr>
        <w:t xml:space="preserve">A related model is the interactive encoding model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"Dittrich", "given" : "W. H", "non-dropping-particle" : "", "parse-names" : false, "suffix" : "" } ], "container-title" : "Gesture-based communication in human-computer interaction", "editor" : [ { "dropping-particle" : "", "family" : "Braffort", "given" : "A", "non-dropping-particle" : "", "parse-names" : false, "suffix" : "" }, { "dropping-particle" : "", "family" : "Gherbi", "given" : "R", "non-dropping-particle" : "", "parse-names" : false, "suffix" : "" }, { "dropping-particle" : "", "family" : "Giber", "given" : "S", "non-dropping-particle" : "", "parse-names" : false, "suffix" : "" }, { "dropping-particle" : "", "family" : "Richardson", "given" : "J", "non-dropping-particle" : "", "parse-names" : false, "suffix" : "" }, { "dropping-particle" : "", "family" : "Teil", "given" : "D", "non-dropping-particle" : "", "parse-names" : false, "suffix" : "" } ], "id" : "ITEM-1", "issued" : { "date-parts" : [ [ "1999" ] ] }, "page" : "3-22", "publisher" : "Springer-Verlag", "publisher-place" : "Berlin, Germany", "title" : "Seeing biological motion: Is there a role for cognitive strategies?", "type" : "chapter" }, "uris" : [ "http://www.mendeley.com/documents/?uuid=27cb410b-daa3-469f-a28a-6214d3ab2c58" ] } ], "mendeley" : { "formattedCitation" : "(Dittrich, 1999)", "plainTextFormattedCitation" : "(Dittrich, 1999)", "previouslyFormattedCitation" : "(Dittrich, 1999)"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(Dittrich, 1999)</w:t>
      </w:r>
      <w:r w:rsidRPr="00341B41">
        <w:rPr>
          <w:rFonts w:cs="Times New Roman"/>
        </w:rPr>
        <w:fldChar w:fldCharType="end"/>
      </w:r>
      <w:r w:rsidRPr="00341B41">
        <w:rPr>
          <w:rFonts w:cs="Times New Roman"/>
        </w:rPr>
        <w:t xml:space="preserve">. This model suggests that individuals combine both low level and high level cognitive processes when </w:t>
      </w:r>
      <w:r w:rsidRPr="00341B41">
        <w:rPr>
          <w:rFonts w:cs="Times New Roman"/>
        </w:rPr>
        <w:lastRenderedPageBreak/>
        <w:t xml:space="preserve">making recognition based judgements. When viewing an action, initially an individual extracts low level relational and temporal relationships between features, before engaging in a higher-level processing where this information is extracted and judged in the context of stored memory structures. One possibility is the presented stimuli is matched with an internal semantic template. In experts, this bank of semantic templates is extensive, having </w:t>
      </w:r>
      <w:r w:rsidR="002720BB" w:rsidRPr="00341B41">
        <w:rPr>
          <w:rFonts w:cs="Times New Roman"/>
        </w:rPr>
        <w:t>been</w:t>
      </w:r>
      <w:r w:rsidRPr="00341B41">
        <w:rPr>
          <w:rFonts w:cs="Times New Roman"/>
        </w:rPr>
        <w:t xml:space="preserve"> developed through years of extensive training. On the other hand, less experienced individuals have fewer templates and so processing is based primarily on low-level features.  </w:t>
      </w:r>
    </w:p>
    <w:p w14:paraId="088D512E" w14:textId="5FDD9BD3" w:rsidR="00D07C34" w:rsidRPr="00341B41" w:rsidRDefault="00D07C34" w:rsidP="00D07C34">
      <w:pPr>
        <w:ind w:firstLine="720"/>
        <w:rPr>
          <w:rFonts w:cs="Times New Roman"/>
        </w:rPr>
      </w:pPr>
      <w:r w:rsidRPr="00341B41">
        <w:rPr>
          <w:rFonts w:cs="Times New Roman"/>
        </w:rPr>
        <w:t>Relating this idea to anticipation in sports, when watching an opponent’s action, the expert player is able to anticipate by extracting low level features in the player’s movement (level 1 SA)</w:t>
      </w:r>
      <w:r w:rsidR="00260BB2" w:rsidRPr="00341B41">
        <w:rPr>
          <w:rFonts w:cs="Times New Roman"/>
        </w:rPr>
        <w:t>.</w:t>
      </w:r>
      <w:r w:rsidRPr="00341B41">
        <w:rPr>
          <w:rFonts w:cs="Times New Roman"/>
        </w:rPr>
        <w:t xml:space="preserve"> </w:t>
      </w:r>
      <w:r w:rsidR="00260BB2" w:rsidRPr="00341B41">
        <w:rPr>
          <w:rFonts w:cs="Times New Roman"/>
        </w:rPr>
        <w:t>This enables the player to judge</w:t>
      </w:r>
      <w:r w:rsidRPr="00341B41">
        <w:rPr>
          <w:rFonts w:cs="Times New Roman"/>
        </w:rPr>
        <w:t xml:space="preserve"> the meaning of these features with relation to stored semantic representations, therefore allowing for the comprehension (level 2 SA) of the </w:t>
      </w:r>
      <w:r w:rsidR="001245FD" w:rsidRPr="00341B41">
        <w:rPr>
          <w:rFonts w:cs="Times New Roman"/>
        </w:rPr>
        <w:t>low-level</w:t>
      </w:r>
      <w:r w:rsidRPr="00341B41">
        <w:rPr>
          <w:rFonts w:cs="Times New Roman"/>
        </w:rPr>
        <w:t xml:space="preserve"> features and so also successful anticipation. On the other hand, the novice player is unable to move past the processing of low-level features and as such cannot move past level 1 SA. Evidence that expert players are able to use anticipatory cues present within a player’s body movem</w:t>
      </w:r>
      <w:r w:rsidR="002264F5" w:rsidRPr="00341B41">
        <w:rPr>
          <w:rFonts w:cs="Times New Roman"/>
        </w:rPr>
        <w:t>ents is presented in section 1.4</w:t>
      </w:r>
      <w:r w:rsidRPr="00341B41">
        <w:rPr>
          <w:rFonts w:cs="Times New Roman"/>
        </w:rPr>
        <w:t xml:space="preserve">.2. Long-term working memory and interactive encoding both provide cognitive models in which anticipation could be facilitated. </w:t>
      </w:r>
    </w:p>
    <w:p w14:paraId="644D0F18" w14:textId="77F973BF" w:rsidR="00D07C34" w:rsidRPr="00341B41" w:rsidRDefault="00D07C34" w:rsidP="00D07C34">
      <w:pPr>
        <w:pStyle w:val="Heading2"/>
      </w:pPr>
      <w:bookmarkStart w:id="15" w:name="_Toc486260831"/>
      <w:r w:rsidRPr="00341B41">
        <w:lastRenderedPageBreak/>
        <w:t>1.4.</w:t>
      </w:r>
      <w:r w:rsidRPr="00341B41">
        <w:tab/>
        <w:t>Perceptual and cognitive mechanisms underlying expert anticipation skill</w:t>
      </w:r>
      <w:bookmarkEnd w:id="15"/>
    </w:p>
    <w:p w14:paraId="63E23433" w14:textId="5A82B93D" w:rsidR="00D07C34" w:rsidRPr="00341B41" w:rsidRDefault="00D07C34" w:rsidP="00D07C34">
      <w:pPr>
        <w:pStyle w:val="Heading3"/>
      </w:pPr>
      <w:bookmarkStart w:id="16" w:name="_Toc486260832"/>
      <w:r w:rsidRPr="00341B41">
        <w:t>1.4.1</w:t>
      </w:r>
      <w:r w:rsidRPr="00341B41">
        <w:tab/>
      </w:r>
      <w:r w:rsidR="00B42DB7" w:rsidRPr="00341B41">
        <w:t>Visual search strategies</w:t>
      </w:r>
      <w:bookmarkEnd w:id="16"/>
    </w:p>
    <w:p w14:paraId="1CD3C1F9" w14:textId="2D0E916F" w:rsidR="00B42DB7" w:rsidRPr="00341B41" w:rsidRDefault="00B42DB7" w:rsidP="00B42DB7">
      <w:r w:rsidRPr="00341B41">
        <w:t xml:space="preserve">Given that expert sports players are able to extract anticipatory cues from various sources, it would be expected that expert players would exhibit different visual search strategies compared to novice players. Visual search strategy refers to the way in which the eyes are used to search a scene for relevant information to guide action </w:t>
      </w:r>
      <w:r w:rsidRPr="00341B41">
        <w:fldChar w:fldCharType="begin" w:fldLock="1"/>
      </w:r>
      <w:r w:rsidR="0019756D" w:rsidRPr="00341B41">
        <w:instrText>ADDIN CSL_CITATION { "citationItems" : [ { "id" : "ITEM-1", "itemData" : { "DOI" : "10.1016/j.tics.2003.09.006", "ISSN" : "13646613", "author" : [ { "dropping-particle" : "", "family" : "Henderson", "given" : "J", "non-dropping-particle" : "", "parse-names" : false, "suffix" : "" } ], "container-title" : "Trends in Cognitive Sciences", "id" : "ITEM-1", "issue" : "11", "issued" : { "date-parts" : [ [ "2003" ] ] }, "page" : "498-504", "title" : "Human gaze control during real-world scene perception", "type" : "article-journal", "volume" : "7" }, "uris" : [ "http://www.mendeley.com/documents/?uuid=a60626bb-dbd1-4044-b581-c85e02a85da8" ] } ], "mendeley" : { "formattedCitation" : "(Henderson, 2003)", "plainTextFormattedCitation" : "(Henderson, 2003)", "previouslyFormattedCitation" : "(Henderson, 2003)" }, "properties" : { "noteIndex" : 0 }, "schema" : "https://github.com/citation-style-language/schema/raw/master/csl-citation.json" }</w:instrText>
      </w:r>
      <w:r w:rsidRPr="00341B41">
        <w:fldChar w:fldCharType="separate"/>
      </w:r>
      <w:r w:rsidR="0098293B" w:rsidRPr="00341B41">
        <w:rPr>
          <w:noProof/>
        </w:rPr>
        <w:t>(Henderson, 2003)</w:t>
      </w:r>
      <w:r w:rsidRPr="00341B41">
        <w:fldChar w:fldCharType="end"/>
      </w:r>
      <w:r w:rsidRPr="00341B41">
        <w:t xml:space="preserve">. Visual search strategy is typically assessed by using an eye-tracker and measures the orientation of the fovea and the nature of eye movements between each individual fixation </w:t>
      </w:r>
      <w:r w:rsidRPr="00341B41">
        <w:fldChar w:fldCharType="begin" w:fldLock="1"/>
      </w:r>
      <w:r w:rsidR="0019756D" w:rsidRPr="00341B41">
        <w:instrText>ADDIN CSL_CITATION { "citationItems" : [ { "id" : "ITEM-1", "itemData" : { "ISBN" : "6135333054", "author" : [ { "dropping-particle" : "", "family" : "Williams", "given" : "Andrew Mark", "non-dropping-particle" : "", "parse-names" : false, "suffix" : "" }, { "dropping-particle" : "", "family" : "Janelle", "given" : "Christopher M", "non-dropping-particle" : "", "parse-names" : false, "suffix" : "" }, { "dropping-particle" : "", "family" : "Davids", "given" : "Keith", "non-dropping-particle" : "", "parse-names" : false, "suffix" : "" } ], "container-title" : "International Journal of Sport and Exercise Psychology", "id" : "ITEM-1", "issued" : { "date-parts" : [ [ "2004" ] ] }, "page" : "301-318", "title" : "Constraints on the search for visual information", "type" : "article-journal", "volume" : "2" }, "uris" : [ "http://www.mendeley.com/documents/?uuid=10b7bc03-a247-4490-8e76-9de52b211907" ] } ], "mendeley" : { "formattedCitation" : "(Williams, Janelle, &amp; Davids, 2004)", "manualFormatting" : "(Williams, Janelle, &amp; Davids, 2004)", "plainTextFormattedCitation" : "(Williams, Janelle, &amp; Davids, 2004)", "previouslyFormattedCitation" : "(Williams, Janelle, &amp; Davids, 2004)" }, "properties" : { "noteIndex" : 0 }, "schema" : "https://github.com/citation-style-language/schema/raw/master/csl-citation.json" }</w:instrText>
      </w:r>
      <w:r w:rsidRPr="00341B41">
        <w:fldChar w:fldCharType="separate"/>
      </w:r>
      <w:r w:rsidRPr="00341B41">
        <w:rPr>
          <w:noProof/>
        </w:rPr>
        <w:t>(Williams, Janelle, &amp; Davids, 2004)</w:t>
      </w:r>
      <w:r w:rsidRPr="00341B41">
        <w:fldChar w:fldCharType="end"/>
      </w:r>
      <w:r w:rsidRPr="00341B41">
        <w:t xml:space="preserve">. Considering the fact that the first stage of making a successful anticipation is identifying the individual elements in the environment, coupled with the very fast timescale to make the anticipation, it would be expected that expert players would exhibit a more efficient visual search strategies than novices </w:t>
      </w:r>
      <w:r w:rsidRPr="00341B41">
        <w:fldChar w:fldCharType="begin" w:fldLock="1"/>
      </w:r>
      <w:r w:rsidR="0019756D" w:rsidRPr="00341B41">
        <w:instrText>ADDIN CSL_CITATION { "citationItems" : [ { "id" : "ITEM-1", "itemData" : { "DOI" : "10.1080/026404102317284736", "ISSN" : "0264-0414", "author" : [ { "dropping-particle" : "", "family" : "Williams", "given" : "Andrew Mark", "non-dropping-particle" : "", "parse-names" : false, "suffix" : "" } ], "container-title" : "Journal of Sports Sciences", "id" : "ITEM-1", "issue" : "3", "issued" : { "date-parts" : [ [ "2002", "1", "1" ] ] }, "note" : "doi: 10.1080/026404102317284736", "page" : "169-170", "publisher" : "Routledge", "title" : "Visual search behaviour in sport", "type" : "article-journal", "volume" : "20" }, "uris" : [ "http://www.mendeley.com/documents/?uuid=d70a7492-7c3f-45f6-8d28-baa22d4a1b54" ] } ], "mendeley" : { "formattedCitation" : "(Williams, 2002)", "manualFormatting" : "(Williams, 2002)", "plainTextFormattedCitation" : "(Williams, 2002)", "previouslyFormattedCitation" : "(Williams, 2002)" }, "properties" : { "noteIndex" : 0 }, "schema" : "https://github.com/citation-style-language/schema/raw/master/csl-citation.json" }</w:instrText>
      </w:r>
      <w:r w:rsidRPr="00341B41">
        <w:fldChar w:fldCharType="separate"/>
      </w:r>
      <w:r w:rsidRPr="00341B41">
        <w:rPr>
          <w:noProof/>
        </w:rPr>
        <w:t>(Williams, 2002)</w:t>
      </w:r>
      <w:r w:rsidRPr="00341B41">
        <w:fldChar w:fldCharType="end"/>
      </w:r>
      <w:r w:rsidRPr="00341B41">
        <w:t xml:space="preserve">. </w:t>
      </w:r>
    </w:p>
    <w:p w14:paraId="6A3EF9D0" w14:textId="34835B9A" w:rsidR="00B42DB7" w:rsidRPr="00341B41" w:rsidRDefault="00B42DB7" w:rsidP="00B42DB7">
      <w:pPr>
        <w:ind w:firstLine="720"/>
      </w:pPr>
      <w:r w:rsidRPr="00341B41">
        <w:t xml:space="preserve">In one study of football goalkeepers, experts were more accurate than novices in anticipating penalty shot direction </w:t>
      </w:r>
      <w:r w:rsidRPr="00341B41">
        <w:fldChar w:fldCharType="begin" w:fldLock="1"/>
      </w:r>
      <w:r w:rsidR="0019756D" w:rsidRPr="00341B41">
        <w:instrText>ADDIN CSL_CITATION { "citationItems" : [ { "id" : "ITEM-1", "itemData" : { "DOI" : "10.1080/026404102317284826", "ISSN" : "0264-0414", "PMID" : "11999482", "abstract" : "We used a novel methodological approach to examine skill-based differences in anticipation and visual search behaviour during the penalty kick in soccer. Expert and novice goalkeepers were required to move a joystick in response to penalty kicks presented on film. The proportion of penalties saved was assessed, as well as the frequency and time of initiation of joystick corrections. Visual search behaviour was examined using an eye movement registration system. Expert goalkeepers were generally more accurate in predicting the direction of the penalty kick, waited longer before initiating a response and made fewer corrective movements with the joystick. The expert goalkeepers used a more efficient search strategy involving fewer fixations of longer duration to less disparate areas of the display. The novices spent longer fixating on the trunk, arms and hips, whereas the experts found the kicking leg, non-kicking leg and ball areas to be more informative, particularly as the moment of foot-ball contact approached. No differences in visual search behaviour were observed between successful and unsuccessful penalties. The results have implications for improving anticipation skill at penalty kicks.", "author" : [ { "dropping-particle" : "", "family" : "Savelsbergh", "given" : "Geert J P", "non-dropping-particle" : "", "parse-names" : false, "suffix" : "" }, { "dropping-particle" : "", "family" : "Williams", "given" : "Andrew Mark", "non-dropping-particle" : "", "parse-names" : false, "suffix" : "" }, { "dropping-particle" : "", "family" : "Kamp", "given" : "John", "non-dropping-particle" : "Van der", "parse-names" : false, "suffix" : "" }, { "dropping-particle" : "", "family" : "Ward", "given" : "Paul", "non-dropping-particle" : "", "parse-names" : false, "suffix" : "" } ], "container-title" : "Journal of Sports Sciences", "id" : "ITEM-1", "issue" : "3", "issued" : { "date-parts" : [ [ "2002", "3" ] ] }, "page" : "279-87", "title" : "Visual search, anticipation and expertise in soccer goalkeepers.", "type" : "article-journal", "volume" : "20" }, "uris" : [ "http://www.mendeley.com/documents/?uuid=734170c4-c93a-4a2c-9b5d-c69080a6be14" ] } ], "mendeley" : { "formattedCitation" : "(Savelsbergh et al., 2002)", "plainTextFormattedCitation" : "(Savelsbergh et al., 2002)", "previouslyFormattedCitation" : "(Savelsbergh et al., 2002)" }, "properties" : { "noteIndex" : 0 }, "schema" : "https://github.com/citation-style-language/schema/raw/master/csl-citation.json" }</w:instrText>
      </w:r>
      <w:r w:rsidRPr="00341B41">
        <w:fldChar w:fldCharType="separate"/>
      </w:r>
      <w:r w:rsidR="0098293B" w:rsidRPr="00341B41">
        <w:rPr>
          <w:noProof/>
        </w:rPr>
        <w:t>(Savelsbergh et al., 2002)</w:t>
      </w:r>
      <w:r w:rsidRPr="00341B41">
        <w:fldChar w:fldCharType="end"/>
      </w:r>
      <w:r w:rsidRPr="00341B41">
        <w:t xml:space="preserve">. The expert group used a more efficient visual search strategy which involved fewer overall fixations of longer duration to fewer areas of the display. Whilst novices spent longer fixating on the trunk, arms and hips, experts spent longer fixating on both the kicking and non-kicking leg and ball areas. This was particularly true the closer the scene got to foot-ball contact </w:t>
      </w:r>
      <w:r w:rsidRPr="00341B41">
        <w:fldChar w:fldCharType="begin" w:fldLock="1"/>
      </w:r>
      <w:r w:rsidR="0019756D" w:rsidRPr="00341B41">
        <w:instrText>ADDIN CSL_CITATION { "citationItems" : [ { "id" : "ITEM-1", "itemData" : { "DOI" : "10.1080/026404102317284826", "ISSN" : "0264-0414", "PMID" : "11999482", "abstract" : "We used a novel methodological approach to examine skill-based differences in anticipation and visual search behaviour during the penalty kick in soccer. Expert and novice goalkeepers were required to move a joystick in response to penalty kicks presented on film. The proportion of penalties saved was assessed, as well as the frequency and time of initiation of joystick corrections. Visual search behaviour was examined using an eye movement registration system. Expert goalkeepers were generally more accurate in predicting the direction of the penalty kick, waited longer before initiating a response and made fewer corrective movements with the joystick. The expert goalkeepers used a more efficient search strategy involving fewer fixations of longer duration to less disparate areas of the display. The novices spent longer fixating on the trunk, arms and hips, whereas the experts found the kicking leg, non-kicking leg and ball areas to be more informative, particularly as the moment of foot-ball contact approached. No differences in visual search behaviour were observed between successful and unsuccessful penalties. The results have implications for improving anticipation skill at penalty kicks.", "author" : [ { "dropping-particle" : "", "family" : "Savelsbergh", "given" : "Geert J P", "non-dropping-particle" : "", "parse-names" : false, "suffix" : "" }, { "dropping-particle" : "", "family" : "Williams", "given" : "Andrew Mark", "non-dropping-particle" : "", "parse-names" : false, "suffix" : "" }, { "dropping-particle" : "", "family" : "Kamp", "given" : "John", "non-dropping-particle" : "Van der", "parse-names" : false, "suffix" : "" }, { "dropping-particle" : "", "family" : "Ward", "given" : "Paul", "non-dropping-particle" : "", "parse-names" : false, "suffix" : "" } ], "container-title" : "Journal of Sports Sciences", "id" : "ITEM-1", "issue" : "3", "issued" : { "date-parts" : [ [ "2002", "3" ] ] }, "page" : "279-87", "title" : "Visual search, anticipation and expertise in soccer goalkeepers.", "type" : "article-journal", "volume" : "20" }, "uris" : [ "http://www.mendeley.com/documents/?uuid=734170c4-c93a-4a2c-9b5d-c69080a6be14" ] } ], "mendeley" : { "formattedCitation" : "(Savelsbergh et al., 2002)", "plainTextFormattedCitation" : "(Savelsbergh et al., 2002)", "previouslyFormattedCitation" : "(Savelsbergh et al., 2002)" }, "properties" : { "noteIndex" : 0 }, "schema" : "https://github.com/citation-style-language/schema/raw/master/csl-citation.json" }</w:instrText>
      </w:r>
      <w:r w:rsidRPr="00341B41">
        <w:fldChar w:fldCharType="separate"/>
      </w:r>
      <w:r w:rsidR="0098293B" w:rsidRPr="00341B41">
        <w:rPr>
          <w:noProof/>
        </w:rPr>
        <w:t>(Savelsbergh et al., 2002)</w:t>
      </w:r>
      <w:r w:rsidRPr="00341B41">
        <w:fldChar w:fldCharType="end"/>
      </w:r>
      <w:r w:rsidRPr="00341B41">
        <w:t xml:space="preserve">. </w:t>
      </w:r>
    </w:p>
    <w:p w14:paraId="59D7084B" w14:textId="6D1AC14C" w:rsidR="00B42DB7" w:rsidRPr="00341B41" w:rsidRDefault="00B42DB7" w:rsidP="00B42DB7">
      <w:pPr>
        <w:ind w:firstLine="720"/>
      </w:pPr>
      <w:r w:rsidRPr="00341B41">
        <w:t xml:space="preserve">In a follow-up study, differences in visual search behaviour between correct and incorrect anticipation within expert players were investigated </w:t>
      </w:r>
      <w:r w:rsidRPr="00341B41">
        <w:fldChar w:fldCharType="begin" w:fldLock="1"/>
      </w:r>
      <w:r w:rsidR="0019756D" w:rsidRPr="00341B41">
        <w:instrText>ADDIN CSL_CITATION { "citationItems" : [ { "id" : "ITEM-1", "itemData" : { "DOI" : "10.1080/00140130500101346", "ISSN" : "0014-0139", "PMID" : "16338733", "abstract" : "A novel methodological approach is presented to examine the visual search behaviours employed by expert goalkeepers during simulated penalty kick situations in soccer. Expert soccer goalkeepers were classified as successful or unsuccessful based on their performance on a film-based test of anticipation skill, thereby allowing an intra-group comparison of visual search behaviour on the task. The anticipation test required participants to move a joystick in response to penalty kick situations presented on a large screen. The proportion of penalties saved was assessed as well as the frequency and time of initiation of joystick corrections. Visual search behaviour was examined using a portable eye movement registration system. The successful experts were more accurate in predicting the height and direction of the penalty kick, waited longer before initiating a response and appeared to spend longer periods of time fixating on the non-kicking leg compared with the non-successful experts.", "author" : [ { "dropping-particle" : "", "family" : "Savelsbergh", "given" : "Geert J P", "non-dropping-particle" : "", "parse-names" : false, "suffix" : "" }, { "dropping-particle" : "", "family" : "Kamp", "given" : "John", "non-dropping-particle" : "Van der", "parse-names" : false, "suffix" : "" }, { "dropping-particle" : "", "family" : "Williams", "given" : "Andrew Mark", "non-dropping-particle" : "", "parse-names" : false, "suffix" : "" }, { "dropping-particle" : "", "family" : "Ward", "given" : "Paul", "non-dropping-particle" : "", "parse-names" : false, "suffix" : "" } ], "container-title" : "Ergonomics", "id" : "ITEM-1", "issue" : "11-14", "issued" : { "date-parts" : [ [ "2005" ] ] }, "page" : "1686-97", "title" : "Anticipation and visual search behaviour in expert soccer goalkeepers.", "type" : "article-journal", "volume" : "48" }, "uris" : [ "http://www.mendeley.com/documents/?uuid=56795d19-3584-44da-bd4d-8b5910e967b9" ] } ], "mendeley" : { "formattedCitation" : "(Savelsbergh, Van der Kamp, Williams, &amp; Ward, 2005)", "plainTextFormattedCitation" : "(Savelsbergh, Van der Kamp, Williams, &amp; Ward, 2005)", "previouslyFormattedCitation" : "(Savelsbergh, Van der Kamp, Williams, &amp; Ward, 2005)" }, "properties" : { "noteIndex" : 0 }, "schema" : "https://github.com/citation-style-language/schema/raw/master/csl-citation.json" }</w:instrText>
      </w:r>
      <w:r w:rsidRPr="00341B41">
        <w:fldChar w:fldCharType="separate"/>
      </w:r>
      <w:r w:rsidR="0098293B" w:rsidRPr="00341B41">
        <w:rPr>
          <w:noProof/>
        </w:rPr>
        <w:t>(Savelsbergh, Van der Kamp, Williams, &amp; Ward, 2005)</w:t>
      </w:r>
      <w:r w:rsidRPr="00341B41">
        <w:fldChar w:fldCharType="end"/>
      </w:r>
      <w:r w:rsidRPr="00341B41">
        <w:t xml:space="preserve">. Although no differences in general visual search characteristics </w:t>
      </w:r>
      <w:r w:rsidRPr="00341B41">
        <w:lastRenderedPageBreak/>
        <w:t xml:space="preserve">such as duration of fixation, </w:t>
      </w:r>
      <w:r w:rsidR="00C94B4E" w:rsidRPr="00341B41">
        <w:t xml:space="preserve">total </w:t>
      </w:r>
      <w:r w:rsidRPr="00341B41">
        <w:t xml:space="preserve">number of fixations, or number of fixation locations were found, there was a difference with respect to the particular body regions fixated upon. Unsuccessful anticipations tended to show more fixations on the head, whereas successful anticipations were associated with longer fixations on the non-kicking leg </w:t>
      </w:r>
      <w:r w:rsidRPr="00341B41">
        <w:fldChar w:fldCharType="begin" w:fldLock="1"/>
      </w:r>
      <w:r w:rsidR="0019756D" w:rsidRPr="00341B41">
        <w:instrText>ADDIN CSL_CITATION { "citationItems" : [ { "id" : "ITEM-1", "itemData" : { "DOI" : "10.1080/00140130500101346", "ISSN" : "0014-0139", "PMID" : "16338733", "abstract" : "A novel methodological approach is presented to examine the visual search behaviours employed by expert goalkeepers during simulated penalty kick situations in soccer. Expert soccer goalkeepers were classified as successful or unsuccessful based on their performance on a film-based test of anticipation skill, thereby allowing an intra-group comparison of visual search behaviour on the task. The anticipation test required participants to move a joystick in response to penalty kick situations presented on a large screen. The proportion of penalties saved was assessed as well as the frequency and time of initiation of joystick corrections. Visual search behaviour was examined using a portable eye movement registration system. The successful experts were more accurate in predicting the height and direction of the penalty kick, waited longer before initiating a response and appeared to spend longer periods of time fixating on the non-kicking leg compared with the non-successful experts.", "author" : [ { "dropping-particle" : "", "family" : "Savelsbergh", "given" : "Geert J P", "non-dropping-particle" : "", "parse-names" : false, "suffix" : "" }, { "dropping-particle" : "", "family" : "Kamp", "given" : "John", "non-dropping-particle" : "Van der", "parse-names" : false, "suffix" : "" }, { "dropping-particle" : "", "family" : "Williams", "given" : "Andrew Mark", "non-dropping-particle" : "", "parse-names" : false, "suffix" : "" }, { "dropping-particle" : "", "family" : "Ward", "given" : "Paul", "non-dropping-particle" : "", "parse-names" : false, "suffix" : "" } ], "container-title" : "Ergonomics", "id" : "ITEM-1", "issue" : "11-14", "issued" : { "date-parts" : [ [ "2005" ] ] }, "page" : "1686-97", "title" : "Anticipation and visual search behaviour in expert soccer goalkeepers.", "type" : "article-journal", "volume" : "48" }, "uris" : [ "http://www.mendeley.com/documents/?uuid=56795d19-3584-44da-bd4d-8b5910e967b9" ] } ], "mendeley" : { "formattedCitation" : "(Savelsbergh et al., 2005)", "plainTextFormattedCitation" : "(Savelsbergh et al., 2005)", "previouslyFormattedCitation" : "(Savelsbergh et al., 2005)" }, "properties" : { "noteIndex" : 0 }, "schema" : "https://github.com/citation-style-language/schema/raw/master/csl-citation.json" }</w:instrText>
      </w:r>
      <w:r w:rsidRPr="00341B41">
        <w:fldChar w:fldCharType="separate"/>
      </w:r>
      <w:r w:rsidR="0098293B" w:rsidRPr="00341B41">
        <w:rPr>
          <w:noProof/>
        </w:rPr>
        <w:t>(Savelsbergh et al., 2005)</w:t>
      </w:r>
      <w:r w:rsidRPr="00341B41">
        <w:fldChar w:fldCharType="end"/>
      </w:r>
      <w:r w:rsidRPr="00341B41">
        <w:t>. These results show that unsuccessful anticipation was due not to</w:t>
      </w:r>
      <w:r w:rsidR="00C94B4E" w:rsidRPr="00341B41">
        <w:t xml:space="preserve"> a</w:t>
      </w:r>
      <w:r w:rsidRPr="00341B41">
        <w:t xml:space="preserve"> lack of information, but the type of information picked up. The fact that unsuccessful anticipations were associated with more fixations on the head suggests a failure to achieve level 1 SA, as the relevant cues in the environment were not identified </w:t>
      </w:r>
      <w:r w:rsidRPr="00341B41">
        <w:fldChar w:fldCharType="begin" w:fldLock="1"/>
      </w:r>
      <w:r w:rsidR="0019756D" w:rsidRPr="00341B41">
        <w:instrText>ADDIN CSL_CITATION { "citationItems" : [ { "id" : "ITEM-1", "itemData" : { "author" : [ { "dropping-particle" : "", "family" : "Endsley", "given" : "M. R.", "non-dropping-particle" : "", "parse-names" : false, "suffix" : "" } ], "container-title" : "Human Factors", "id" : "ITEM-1", "issue" : "1", "issued" : { "date-parts" : [ [ "1995" ] ] }, "page" : "32-64", "title" : "Towards a theory of situation awareness in dynamic systems", "type" : "article-journal", "volume" : "37" }, "uris" : [ "http://www.mendeley.com/documents/?uuid=13d0974f-ec56-43eb-a990-9c9b907042d7" ] }, { "id" : "ITEM-2", "itemData" : { "DOI" : "10.1177/154193120004400117", "ISSN" : "1071-1813", "author" : [ { "dropping-particle" : "", "family" : "Endsley", "given" : "M. R.", "non-dropping-particle" : "", "parse-names" : false, "suffix" : "" } ], "container-title" : "Proceedings of the Human Factors and Ergonomics Society Annual Meeting", "id" : "ITEM-2", "issue" : "1", "issued" : { "date-parts" : [ [ "2000", "7", "1" ] ] }, "page" : "61-64", "title" : "Situation Models: An Avenue to the Modeling of Mental Models", "type" : "article-journal", "volume" : "44" }, "uris" : [ "http://www.mendeley.com/documents/?uuid=3452a8f3-cac2-46b7-96aa-1bdfb2c60f0c" ] } ], "mendeley" : { "formattedCitation" : "(Endsley, 1995, 2000)", "plainTextFormattedCitation" : "(Endsley, 1995, 2000)", "previouslyFormattedCitation" : "(Endsley, 1995, 2000)" }, "properties" : { "noteIndex" : 0 }, "schema" : "https://github.com/citation-style-language/schema/raw/master/csl-citation.json" }</w:instrText>
      </w:r>
      <w:r w:rsidRPr="00341B41">
        <w:fldChar w:fldCharType="separate"/>
      </w:r>
      <w:r w:rsidR="0098293B" w:rsidRPr="00341B41">
        <w:rPr>
          <w:noProof/>
        </w:rPr>
        <w:t>(Endsley, 1995, 2000)</w:t>
      </w:r>
      <w:r w:rsidRPr="00341B41">
        <w:fldChar w:fldCharType="end"/>
      </w:r>
      <w:r w:rsidRPr="00341B41">
        <w:t xml:space="preserve">. </w:t>
      </w:r>
    </w:p>
    <w:p w14:paraId="2E94EC7F" w14:textId="38BB4D6C" w:rsidR="00B42DB7" w:rsidRPr="00341B41" w:rsidRDefault="00B42DB7" w:rsidP="00B42DB7">
      <w:pPr>
        <w:ind w:firstLine="720"/>
      </w:pPr>
      <w:r w:rsidRPr="00341B41">
        <w:t xml:space="preserve">Both of these studies used penalty kicks as stimuli. This however only represents one of many different situations faced during a football match. Specifically, these findings are only relevant to a 1 on 1 situation, whereas team sports inherently feature many situations with multiple players. To address this, researchers recorded visual search behaviour across varying types of offensive play in soccer </w:t>
      </w:r>
      <w:r w:rsidRPr="00341B41">
        <w:fldChar w:fldCharType="begin" w:fldLock="1"/>
      </w:r>
      <w:r w:rsidR="0019756D" w:rsidRPr="00341B41">
        <w:instrText>ADDIN CSL_CITATION { "citationItems" : [ { "id" : "ITEM-1", "itemData" : { "ISBN" : "0895-2779 (Print)", "ISSN" : "0895-2779", "PMID" : "17568064", "abstract" : "We examined differences in visual search behaviors and decision-making skill across different microstates of offensive play in soccer using youth participants (13.0-15.8 years) varying in skill and experience. We used realistic film simulations of offensive play, movement-based response measures, and an eye movement registration technique. Playing experience, skill level, and the unique constraints of the task, expressed by the number of players and relative proportion of offensive and defensive players, determined both the observed search behavior and processing requirements imposed on players in dynamic offensive team simulations. Significant differences in performance were observed between players and nonplayers and across three groups of soccer players who differed in skill level. Implications for talent identification and development are considered.", "author" : [ { "dropping-particle" : "", "family" : "Vaeyens", "given" : "Roel", "non-dropping-particle" : "", "parse-names" : false, "suffix" : "" }, { "dropping-particle" : "", "family" : "Lenoir", "given" : "Matthieu", "non-dropping-particle" : "", "parse-names" : false, "suffix" : "" }, { "dropping-particle" : "", "family" : "Williams", "given" : "Andrew Mark", "non-dropping-particle" : "", "parse-names" : false, "suffix" : "" }, { "dropping-particle" : "", "family" : "Mazyn", "given" : "Liesbeth", "non-dropping-particle" : "", "parse-names" : false, "suffix" : "" }, { "dropping-particle" : "", "family" : "Philippaerts", "given" : "Renaat M", "non-dropping-particle" : "", "parse-names" : false, "suffix" : "" } ], "container-title" : "Journal of Sport and Exercise Psychology", "id" : "ITEM-1", "issue" : "2", "issued" : { "date-parts" : [ [ "2007" ] ] }, "page" : "147-169", "title" : "The effects of task constraints on visual search behavior and decision-making skill in youth soccer players.", "type" : "article-journal", "volume" : "29" }, "uris" : [ "http://www.mendeley.com/documents/?uuid=6ee036bf-f435-4fde-a800-afca04727884" ] } ], "mendeley" : { "formattedCitation" : "(Vaeyens, Lenoir, Williams, Mazyn, &amp; Philippaerts, 2007)", "plainTextFormattedCitation" : "(Vaeyens, Lenoir, Williams, Mazyn, &amp; Philippaerts, 2007)", "previouslyFormattedCitation" : "(Vaeyens, Lenoir, Williams, Mazyn, &amp; Philippaerts, 2007)" }, "properties" : { "noteIndex" : 0 }, "schema" : "https://github.com/citation-style-language/schema/raw/master/csl-citation.json" }</w:instrText>
      </w:r>
      <w:r w:rsidRPr="00341B41">
        <w:fldChar w:fldCharType="separate"/>
      </w:r>
      <w:r w:rsidR="0098293B" w:rsidRPr="00341B41">
        <w:rPr>
          <w:noProof/>
        </w:rPr>
        <w:t>(Vaeyens, Lenoir, Williams, Mazyn, &amp; Philippaerts, 2007)</w:t>
      </w:r>
      <w:r w:rsidRPr="00341B41">
        <w:fldChar w:fldCharType="end"/>
      </w:r>
      <w:r w:rsidRPr="00341B41">
        <w:t xml:space="preserve">. Participants watched videos of a number of different types of offensive play, which varied in the number of players present in the scene: 2 vs. 1 (i.e. two attackers versus one defender), 3 vs. 1, 3 vs 2, 4 vs. 3, and 5 vs. 3. A goalkeeper was present in each condition. In each scene, a target player was identified by wearing a yellow jersey. Participants were required to anticipate the most appropriate decision that the target player should make in each scene. They found the visual search strategies employed varied across the different conditions, and was mainly affected by the number of players present in the scene. A smaller number of fixations, longer mean fixation duration, and lower </w:t>
      </w:r>
      <w:proofErr w:type="spellStart"/>
      <w:r w:rsidRPr="00341B41">
        <w:t>interfixation</w:t>
      </w:r>
      <w:proofErr w:type="spellEnd"/>
      <w:r w:rsidRPr="00341B41">
        <w:t xml:space="preserve"> rate was employed in the 2 vs. 1 and 3 vs. 1 conditions compared to the others. In contrast, in trials involving 3 vs.2, 4 vs. 3, and 5 vs. 3 players, there were a higher </w:t>
      </w:r>
      <w:r w:rsidRPr="00341B41">
        <w:lastRenderedPageBreak/>
        <w:t xml:space="preserve">number of fixations, shorter mean duration, and shorter </w:t>
      </w:r>
      <w:proofErr w:type="spellStart"/>
      <w:r w:rsidRPr="00341B41">
        <w:t>interfixation</w:t>
      </w:r>
      <w:proofErr w:type="spellEnd"/>
      <w:r w:rsidRPr="00341B41">
        <w:t xml:space="preserve"> rate. The results suggest that as the number of players and potential response alternatives increased, players employed a higher search rate in order to extract information from more disparate information sources </w:t>
      </w:r>
      <w:r w:rsidRPr="00341B41">
        <w:fldChar w:fldCharType="begin" w:fldLock="1"/>
      </w:r>
      <w:r w:rsidR="0019756D" w:rsidRPr="00341B41">
        <w:instrText>ADDIN CSL_CITATION { "citationItems" : [ { "id" : "ITEM-1", "itemData" : { "ISBN" : "0895-2779 (Print)", "ISSN" : "0895-2779", "PMID" : "17568064", "abstract" : "We examined differences in visual search behaviors and decision-making skill across different microstates of offensive play in soccer using youth participants (13.0-15.8 years) varying in skill and experience. We used realistic film simulations of offensive play, movement-based response measures, and an eye movement registration technique. Playing experience, skill level, and the unique constraints of the task, expressed by the number of players and relative proportion of offensive and defensive players, determined both the observed search behavior and processing requirements imposed on players in dynamic offensive team simulations. Significant differences in performance were observed between players and nonplayers and across three groups of soccer players who differed in skill level. Implications for talent identification and development are considered.", "author" : [ { "dropping-particle" : "", "family" : "Vaeyens", "given" : "Roel", "non-dropping-particle" : "", "parse-names" : false, "suffix" : "" }, { "dropping-particle" : "", "family" : "Lenoir", "given" : "Matthieu", "non-dropping-particle" : "", "parse-names" : false, "suffix" : "" }, { "dropping-particle" : "", "family" : "Williams", "given" : "Andrew Mark", "non-dropping-particle" : "", "parse-names" : false, "suffix" : "" }, { "dropping-particle" : "", "family" : "Mazyn", "given" : "Liesbeth", "non-dropping-particle" : "", "parse-names" : false, "suffix" : "" }, { "dropping-particle" : "", "family" : "Philippaerts", "given" : "Renaat M", "non-dropping-particle" : "", "parse-names" : false, "suffix" : "" } ], "container-title" : "Journal of Sport and Exercise Psychology", "id" : "ITEM-1", "issue" : "2", "issued" : { "date-parts" : [ [ "2007" ] ] }, "page" : "147-169", "title" : "The effects of task constraints on visual search behavior and decision-making skill in youth soccer players.", "type" : "article-journal", "volume" : "29" }, "uris" : [ "http://www.mendeley.com/documents/?uuid=6ee036bf-f435-4fde-a800-afca04727884" ] } ], "mendeley" : { "formattedCitation" : "(Vaeyens et al., 2007)", "plainTextFormattedCitation" : "(Vaeyens et al., 2007)", "previouslyFormattedCitation" : "(Vaeyens et al., 2007)" }, "properties" : { "noteIndex" : 0 }, "schema" : "https://github.com/citation-style-language/schema/raw/master/csl-citation.json" }</w:instrText>
      </w:r>
      <w:r w:rsidRPr="00341B41">
        <w:fldChar w:fldCharType="separate"/>
      </w:r>
      <w:r w:rsidR="0098293B" w:rsidRPr="00341B41">
        <w:rPr>
          <w:noProof/>
        </w:rPr>
        <w:t>(Vaeyens et al., 2007)</w:t>
      </w:r>
      <w:r w:rsidRPr="00341B41">
        <w:fldChar w:fldCharType="end"/>
      </w:r>
      <w:r w:rsidRPr="00341B41">
        <w:t xml:space="preserve">. </w:t>
      </w:r>
    </w:p>
    <w:p w14:paraId="7BE92E6B" w14:textId="459E3363" w:rsidR="00B42DB7" w:rsidRPr="00341B41" w:rsidRDefault="00B42DB7" w:rsidP="00B42DB7">
      <w:pPr>
        <w:ind w:firstLine="720"/>
      </w:pPr>
      <w:r w:rsidRPr="00341B41">
        <w:t xml:space="preserve">Expert players were faster and more accurate in selecting a decision than the novice players, however there were fewer group differences in visual search behaviours than expected </w:t>
      </w:r>
      <w:r w:rsidRPr="00341B41">
        <w:fldChar w:fldCharType="begin" w:fldLock="1"/>
      </w:r>
      <w:r w:rsidR="0019756D" w:rsidRPr="00341B41">
        <w:instrText>ADDIN CSL_CITATION { "citationItems" : [ { "id" : "ITEM-1", "itemData" : { "ISBN" : "0895-2779 (Print)", "ISSN" : "0895-2779", "PMID" : "17568064", "abstract" : "We examined differences in visual search behaviors and decision-making skill across different microstates of offensive play in soccer using youth participants (13.0-15.8 years) varying in skill and experience. We used realistic film simulations of offensive play, movement-based response measures, and an eye movement registration technique. Playing experience, skill level, and the unique constraints of the task, expressed by the number of players and relative proportion of offensive and defensive players, determined both the observed search behavior and processing requirements imposed on players in dynamic offensive team simulations. Significant differences in performance were observed between players and nonplayers and across three groups of soccer players who differed in skill level. Implications for talent identification and development are considered.", "author" : [ { "dropping-particle" : "", "family" : "Vaeyens", "given" : "Roel", "non-dropping-particle" : "", "parse-names" : false, "suffix" : "" }, { "dropping-particle" : "", "family" : "Lenoir", "given" : "Matthieu", "non-dropping-particle" : "", "parse-names" : false, "suffix" : "" }, { "dropping-particle" : "", "family" : "Williams", "given" : "Andrew Mark", "non-dropping-particle" : "", "parse-names" : false, "suffix" : "" }, { "dropping-particle" : "", "family" : "Mazyn", "given" : "Liesbeth", "non-dropping-particle" : "", "parse-names" : false, "suffix" : "" }, { "dropping-particle" : "", "family" : "Philippaerts", "given" : "Renaat M", "non-dropping-particle" : "", "parse-names" : false, "suffix" : "" } ], "container-title" : "Journal of Sport and Exercise Psychology", "id" : "ITEM-1", "issue" : "2", "issued" : { "date-parts" : [ [ "2007" ] ] }, "page" : "147-169", "title" : "The effects of task constraints on visual search behavior and decision-making skill in youth soccer players.", "type" : "article-journal", "volume" : "29" }, "uris" : [ "http://www.mendeley.com/documents/?uuid=6ee036bf-f435-4fde-a800-afca04727884" ] } ], "mendeley" : { "formattedCitation" : "(Vaeyens et al., 2007)", "plainTextFormattedCitation" : "(Vaeyens et al., 2007)", "previouslyFormattedCitation" : "(Vaeyens et al., 2007)" }, "properties" : { "noteIndex" : 0 }, "schema" : "https://github.com/citation-style-language/schema/raw/master/csl-citation.json" }</w:instrText>
      </w:r>
      <w:r w:rsidRPr="00341B41">
        <w:fldChar w:fldCharType="separate"/>
      </w:r>
      <w:r w:rsidR="0098293B" w:rsidRPr="00341B41">
        <w:rPr>
          <w:noProof/>
        </w:rPr>
        <w:t>(Vaeyens et al., 2007)</w:t>
      </w:r>
      <w:r w:rsidRPr="00341B41">
        <w:fldChar w:fldCharType="end"/>
      </w:r>
      <w:r w:rsidRPr="00341B41">
        <w:t xml:space="preserve">. Differences were found in relation to fixation order and fixation location, with expert players alternating their fixation between the player in possession of the ball and other areas of the display more frequently than other players. This finding supports the argument that experts are more adept in adapting their visual search strategy according to the constraints of the task than novices, a difference also found in other domains such as driving </w:t>
      </w:r>
      <w:r w:rsidRPr="00341B41">
        <w:fldChar w:fldCharType="begin" w:fldLock="1"/>
      </w:r>
      <w:r w:rsidR="0019756D" w:rsidRPr="00341B41">
        <w:instrText>ADDIN CSL_CITATION { "citationItems" : [ { "id" : "ITEM-1", "itemData" : { "DOI" : "10.1037/1076-898X.9.3.163", "ISSN" : "1076-898X", "PMID" : "14570510", "abstract" : "How do police cope with the visual demands placed on them during pursuit driving? This study compared the hazard ratings, eye movements, and physiological responses of police drivers with novice and with age-matched control drivers while viewing video clips of driving taken from police vehicles. The clips included pursuits, emergency responses, and control drives. Although police drivers did not report more hazards than the other participants reported, they had an increased frequency of electrodermal responses while viewing dangerous clips and a greater visual sampling rate and spread of search. However, despite an overall police advantage in oculomotor and physiological measures, all drivers had a reduced spread of search in nighttime pursuits because of the focusing of overt attention.", "author" : [ { "dropping-particle" : "", "family" : "Crundall", "given" : "David", "non-dropping-particle" : "", "parse-names" : false, "suffix" : "" }, { "dropping-particle" : "", "family" : "Chapman", "given" : "Peter", "non-dropping-particle" : "", "parse-names" : false, "suffix" : "" }, { "dropping-particle" : "", "family" : "Phelps", "given" : "Nicola", "non-dropping-particle" : "", "parse-names" : false, "suffix" : "" }, { "dropping-particle" : "", "family" : "Underwood", "given" : "Geoffrey", "non-dropping-particle" : "", "parse-names" : false, "suffix" : "" } ], "container-title" : "Journal of Experimental Psychology: Applied", "id" : "ITEM-1", "issue" : "3", "issued" : { "date-parts" : [ [ "2003", "9" ] ] }, "page" : "163-74", "title" : "Eye movements and hazard perception in police pursuit and emergency response driving.", "type" : "article-journal", "volume" : "9" }, "uris" : [ "http://www.mendeley.com/documents/?uuid=7e15bb43-21e9-4f97-9e13-f57939d545f8" ] } ], "mendeley" : { "formattedCitation" : "(Crundall, Chapman, Phelps, &amp; Underwood, 2003)", "plainTextFormattedCitation" : "(Crundall, Chapman, Phelps, &amp; Underwood, 2003)", "previouslyFormattedCitation" : "(Crundall, Chapman, Phelps, &amp; Underwood, 2003)" }, "properties" : { "noteIndex" : 0 }, "schema" : "https://github.com/citation-style-language/schema/raw/master/csl-citation.json" }</w:instrText>
      </w:r>
      <w:r w:rsidRPr="00341B41">
        <w:fldChar w:fldCharType="separate"/>
      </w:r>
      <w:r w:rsidR="0098293B" w:rsidRPr="00341B41">
        <w:rPr>
          <w:noProof/>
        </w:rPr>
        <w:t>(Crundall, Chapman, Phelps, &amp; Underwood, 2003)</w:t>
      </w:r>
      <w:r w:rsidRPr="00341B41">
        <w:fldChar w:fldCharType="end"/>
      </w:r>
      <w:r w:rsidRPr="00341B41">
        <w:t xml:space="preserve">, and provides more evidence that experts have a more efficient search strategy. </w:t>
      </w:r>
    </w:p>
    <w:p w14:paraId="552FD470" w14:textId="0977E5FC" w:rsidR="00B42DB7" w:rsidRPr="00341B41" w:rsidRDefault="00B42DB7" w:rsidP="00B42DB7">
      <w:pPr>
        <w:ind w:firstLine="720"/>
      </w:pPr>
      <w:r w:rsidRPr="00341B41">
        <w:t xml:space="preserve">A meta-analysis of 42 studies using a wide range of sports and experimental designs found systematic differences in visual search behaviour, with experts using fewer fixations of longer duration, compared with novices </w:t>
      </w:r>
      <w:r w:rsidRPr="00341B41">
        <w:fldChar w:fldCharType="begin" w:fldLock="1"/>
      </w:r>
      <w:r w:rsidR="0019756D" w:rsidRPr="00341B41">
        <w:instrText>ADDIN CSL_CITATION { "citationItems" : [ { "id" : "ITEM-1", "itemData" : { "author" : [ { "dropping-particle" : "", "family" : "Mann", "given" : "Derek T Y", "non-dropping-particle" : "", "parse-names" : false, "suffix" : "" }, { "dropping-particle" : "", "family" : "Williams", "given" : "Andrew Mark", "non-dropping-particle" : "", "parse-names" : false, "suffix" : "" }, { "dropping-particle" : "", "family" : "Ward", "given" : "Paul", "non-dropping-particle" : "", "parse-names" : false, "suffix" : "" }, { "dropping-particle" : "", "family" : "Janelle", "given" : "Christopher M", "non-dropping-particle" : "", "parse-names" : false, "suffix" : "" } ], "container-title" : "Journal of Sport and Exercise Psychology", "id" : "ITEM-1", "issued" : { "date-parts" : [ [ "2007" ] ] }, "page" : "457-478", "title" : "Perceptual-Cognitive Expertise in Sport: A Meta-Analysis", "type" : "article-journal", "volume" : "29" }, "uris" : [ "http://www.mendeley.com/documents/?uuid=784faa4e-a339-48ba-9b9c-856d3fd62279" ] } ], "mendeley" : { "formattedCitation" : "(D. T. Y. Mann et al., 2007)", "manualFormatting" : "(Mann et al., 2007)", "plainTextFormattedCitation" : "(D. T. Y. Mann et al., 2007)", "previouslyFormattedCitation" : "(D. T. Y. Mann et al., 2007)" }, "properties" : { "noteIndex" : 0 }, "schema" : "https://github.com/citation-style-language/schema/raw/master/csl-citation.json" }</w:instrText>
      </w:r>
      <w:r w:rsidRPr="00341B41">
        <w:fldChar w:fldCharType="separate"/>
      </w:r>
      <w:r w:rsidRPr="00341B41">
        <w:rPr>
          <w:noProof/>
        </w:rPr>
        <w:t>(Mann et al., 2007)</w:t>
      </w:r>
      <w:r w:rsidRPr="00341B41">
        <w:fldChar w:fldCharType="end"/>
      </w:r>
      <w:r w:rsidRPr="00341B41">
        <w:t xml:space="preserve">. Specific differences emerged based upon sport type, paradigm used etc.; suggesting the type of search strategy exhibited by experts in sport will be dependent upon constraints such as the task, the environment, and the individual player </w:t>
      </w:r>
      <w:r w:rsidRPr="00341B41">
        <w:fldChar w:fldCharType="begin" w:fldLock="1"/>
      </w:r>
      <w:r w:rsidR="0019756D" w:rsidRPr="00341B41">
        <w:instrText>ADDIN CSL_CITATION { "citationItems" : [ { "id" : "ITEM-1", "itemData" : { "ISBN" : "6135333054", "author" : [ { "dropping-particle" : "", "family" : "Williams", "given" : "Andrew Mark", "non-dropping-particle" : "", "parse-names" : false, "suffix" : "" }, { "dropping-particle" : "", "family" : "Janelle", "given" : "Christopher M", "non-dropping-particle" : "", "parse-names" : false, "suffix" : "" }, { "dropping-particle" : "", "family" : "Davids", "given" : "Keith", "non-dropping-particle" : "", "parse-names" : false, "suffix" : "" } ], "container-title" : "International Journal of Sport and Exercise Psychology", "id" : "ITEM-1", "issued" : { "date-parts" : [ [ "2004" ] ] }, "page" : "301-318", "title" : "Constraints on the search for visual information", "type" : "article-journal", "volume" : "2" }, "uris" : [ "http://www.mendeley.com/documents/?uuid=10b7bc03-a247-4490-8e76-9de52b211907" ] } ], "mendeley" : { "formattedCitation" : "(Williams et al., 2004)", "manualFormatting" : "(Williams et al., 2004)", "plainTextFormattedCitation" : "(Williams et al., 2004)", "previouslyFormattedCitation" : "(Williams et al., 2004)" }, "properties" : { "noteIndex" : 0 }, "schema" : "https://github.com/citation-style-language/schema/raw/master/csl-citation.json" }</w:instrText>
      </w:r>
      <w:r w:rsidRPr="00341B41">
        <w:fldChar w:fldCharType="separate"/>
      </w:r>
      <w:r w:rsidRPr="00341B41">
        <w:rPr>
          <w:noProof/>
        </w:rPr>
        <w:t>(Williams et al., 2004)</w:t>
      </w:r>
      <w:r w:rsidRPr="00341B41">
        <w:fldChar w:fldCharType="end"/>
      </w:r>
      <w:r w:rsidRPr="00341B41">
        <w:t xml:space="preserve">. </w:t>
      </w:r>
    </w:p>
    <w:p w14:paraId="237D54AA" w14:textId="4A4D0DD3" w:rsidR="00B42DB7" w:rsidRPr="00341B41" w:rsidRDefault="00B42DB7" w:rsidP="00B42DB7">
      <w:pPr>
        <w:ind w:firstLine="720"/>
      </w:pPr>
      <w:r w:rsidRPr="00341B41">
        <w:t xml:space="preserve">A number of considerations need to be made when viewing the research on visual search. Firstly, the role of peripheral vision in expert anticipation may be underestimated, as eye tracking equipment only detects foveal vision. Secondly, whilst eye tracking can tell </w:t>
      </w:r>
      <w:r w:rsidRPr="00341B41">
        <w:lastRenderedPageBreak/>
        <w:t xml:space="preserve">us where the players are looking, it doesn’t tell us what information is being picked up. This has been referred to previously as the difference between looking, and seeing </w:t>
      </w:r>
      <w:r w:rsidRPr="00341B41">
        <w:fldChar w:fldCharType="begin" w:fldLock="1"/>
      </w:r>
      <w:r w:rsidR="0019756D" w:rsidRPr="00341B41">
        <w:instrText>ADDIN CSL_CITATION { "citationItems" : [ { "id" : "ITEM-1", "itemData" : { "DOI" : "10.1111/j.1467-9280.1997.tb00459.x", "abstract" : "Given that attention precedes an eye movement to a target it becomes possible to use fixation sequences to probe the spatiotemporal dynamics of search Applying this method to a realistic search task, we found eye movements directed to the geometric centers of progressively smaller groups of objects rather than accurate fixations to individual objects in a display Such a binary search strategy is consistent with zoom-lens models positing an initially broad distribution of search, followed by a narrowing of this search region until only the target is selected We also interpret this oculomotor averaging behavior as evidence for an initially parallel search analysis that becomes increasingly serial as the search process converges on the target ", "author" : [ { "dropping-particle" : "", "family" : "Zelinsky", "given" : "Gregory J", "non-dropping-particle" : "", "parse-names" : false, "suffix" : "" }, { "dropping-particle" : "", "family" : "Rao", "given" : "Rajesh P N", "non-dropping-particle" : "", "parse-names" : false, "suffix" : "" }, { "dropping-particle" : "", "family" : "Hayhoe", "given" : "Mary M", "non-dropping-particle" : "", "parse-names" : false, "suffix" : "" }, { "dropping-particle" : "", "family" : "Ballard", "given" : "Dana H", "non-dropping-particle" : "", "parse-names" : false, "suffix" : "" } ], "container-title" : "Psychological Science ", "id" : "ITEM-1", "issue" : "6 ", "issued" : { "date-parts" : [ [ "1997", "11", "1" ] ] }, "note" : "10.1111/j.1467-9280.1997.tb00459.x", "page" : "448-453", "title" : "Eye Movements Reveal the Spatiotemporal Dynamics of Visual Search", "type" : "article-journal", "volume" : "8 " }, "uris" : [ "http://www.mendeley.com/documents/?uuid=e8eb5f1f-7e41-4641-b839-205cdf2a0510" ] } ], "mendeley" : { "formattedCitation" : "(Zelinsky, Rao, Hayhoe, &amp; Ballard, 1997)", "plainTextFormattedCitation" : "(Zelinsky, Rao, Hayhoe, &amp; Ballard, 1997)", "previouslyFormattedCitation" : "(Zelinsky, Rao, Hayhoe, &amp; Ballard, 1997)" }, "properties" : { "noteIndex" : 0 }, "schema" : "https://github.com/citation-style-language/schema/raw/master/csl-citation.json" }</w:instrText>
      </w:r>
      <w:r w:rsidRPr="00341B41">
        <w:fldChar w:fldCharType="separate"/>
      </w:r>
      <w:r w:rsidR="0098293B" w:rsidRPr="00341B41">
        <w:rPr>
          <w:noProof/>
        </w:rPr>
        <w:t>(Zelinsky, Rao, Hayhoe, &amp; Ballard, 1997)</w:t>
      </w:r>
      <w:r w:rsidRPr="00341B41">
        <w:fldChar w:fldCharType="end"/>
      </w:r>
      <w:r w:rsidRPr="00341B41">
        <w:t xml:space="preserve">. Whilst cue usage can be inferred from eye fixation data, in some situations experts may fixate on a target centrally and gather informative cues from the periphery </w:t>
      </w:r>
      <w:r w:rsidRPr="00341B41">
        <w:fldChar w:fldCharType="begin" w:fldLock="1"/>
      </w:r>
      <w:r w:rsidR="0019756D" w:rsidRPr="00341B41">
        <w:instrText>ADDIN CSL_CITATION { "citationItems" : [ { "id" : "ITEM-1", "itemData" : { "DOI" : "10.1080/02701367.1998.10607677", "ISSN" : "0270-1367", "author" : [ { "dropping-particle" : "", "family" : "Williams", "given" : "Andrew Mark", "non-dropping-particle" : "", "parse-names" : false, "suffix" : "" }, { "dropping-particle" : "", "family" : "Davids", "given" : "K", "non-dropping-particle" : "", "parse-names" : false, "suffix" : "" } ], "container-title" : "Research Quarterly for Exercise and Sport", "id" : "ITEM-1", "issue" : "2", "issued" : { "date-parts" : [ [ "1998" ] ] }, "note" : "doi: 10.1080/02701367.1998.10607677", "page" : "111-128", "title" : "Visual Search Strategy, Selective Attention, and Expertise in Soccer", "type" : "article-journal", "volume" : "69" }, "uris" : [ "http://www.mendeley.com/documents/?uuid=a2f27717-9a1b-44b2-926a-e2a40d7ec150" ] }, { "id" : "ITEM-2", "itemData" : { "author" : [ { "dropping-particle" : "", "family" : "Williams", "given" : "Andrew Mark", "non-dropping-particle" : "", "parse-names" : false, "suffix" : "" }, { "dropping-particle" : "", "family" : "Elliot", "given" : "David", "non-dropping-particle" : "", "parse-names" : false, "suffix" : "" } ], "container-title" : "Journal of Sport and Exercise Psychology", "id" : "ITEM-2", "issue" : "4", "issued" : { "date-parts" : [ [ "1999" ] ] }, "page" : "362-375", "title" : "Anxiety, expertise, and visual search strategy in karate", "type" : "article-journal", "volume" : "21" }, "uris" : [ "http://www.mendeley.com/documents/?uuid=64af2230-e4ba-40b3-9b9f-e2a180873f65" ] } ], "mendeley" : { "formattedCitation" : "(Williams &amp; Davids, 1998; Williams &amp; Elliot, 1999)", "manualFormatting" : "(Williams &amp; Davids, 1998; Williams &amp; Elliot, 1999)", "plainTextFormattedCitation" : "(Williams &amp; Davids, 1998; Williams &amp; Elliot, 1999)", "previouslyFormattedCitation" : "(Williams &amp; Davids, 1998; Williams &amp; Elliot, 1999)" }, "properties" : { "noteIndex" : 0 }, "schema" : "https://github.com/citation-style-language/schema/raw/master/csl-citation.json" }</w:instrText>
      </w:r>
      <w:r w:rsidRPr="00341B41">
        <w:fldChar w:fldCharType="separate"/>
      </w:r>
      <w:r w:rsidRPr="00341B41">
        <w:rPr>
          <w:noProof/>
        </w:rPr>
        <w:t>(Williams &amp; Davids, 1998; Williams &amp; Elliot, 1999)</w:t>
      </w:r>
      <w:r w:rsidRPr="00341B41">
        <w:fldChar w:fldCharType="end"/>
      </w:r>
      <w:r w:rsidRPr="00341B41">
        <w:t xml:space="preserve">. Studies of visual search in real-world environments show a greater reliance on peripheral vision than laboratory tasks, suggesting that task constraints affect the type of visual search strategy engaged in, with more foveal vision fixations in laboratory studies compared to in-situ settings </w:t>
      </w:r>
      <w:r w:rsidRPr="00341B41">
        <w:fldChar w:fldCharType="begin" w:fldLock="1"/>
      </w:r>
      <w:r w:rsidR="0019756D" w:rsidRPr="00341B41">
        <w:instrText>ADDIN CSL_CITATION { "citationItems" : [ { "id" : "ITEM-1", "itemData" : { "DOI" : "10.3758/APP", "ISBN" : "1943-3921", "ISSN" : "1943-3921", "PMID" : "19304639", "abstract" : "The thermal diffusivity of an object is a parameter that controls the rate at which heat is extracted from the hand when it touches that object. It is an important feature for distinguishing materials by means of touch. In order to quantitatively describe the ability of human observers to discriminate between materials on the basis of heat extraction rate, we conducted an experiment in which this heat extraction was performed in a controlled way. In different conditions, subjects were repeatedly asked to select from two stimuli the one that cooled faster. The discrimination threshold was around 43% of the extraction rate. A rate that was twice as slow also yielded twice the absolute threshold. When we halved the temperature difference between the beginning and end of the stimulus, the threshold did not change as much. In separate experiments, we investigated the different cues that were available in the stimulus: initial cooling rate and end temperature. Both cues were used for discrimination, but cooling rate seemed to be the most important.", "author" : [ { "dropping-particle" : "", "family" : "Dicks", "given" : "Matt", "non-dropping-particle" : "", "parse-names" : false, "suffix" : "" }, { "dropping-particle" : "", "family" : "Button", "given" : "Chris", "non-dropping-particle" : "", "parse-names" : false, "suffix" : "" }, { "dropping-particle" : "", "family" : "Davids", "given" : "Keith", "non-dropping-particle" : "", "parse-names" : false, "suffix" : "" } ], "container-title" : "Attention, Perception and Psychophysics", "id" : "ITEM-1", "issue" : "3", "issued" : { "date-parts" : [ [ "2010" ] ] }, "page" : "706-720", "title" : "Examination of gaze behaviors under in situ and video simulation task constraints reveals differences in information pickup for perception and action", "type" : "article-journal", "volume" : "72" }, "uris" : [ "http://www.mendeley.com/documents/?uuid=38e58436-1c23-4ceb-80f2-4ad06e558c4c" ] } ], "mendeley" : { "formattedCitation" : "(Dicks, Button, &amp; Davids, 2010)", "plainTextFormattedCitation" : "(Dicks, Button, &amp; Davids, 2010)", "previouslyFormattedCitation" : "(Dicks, Button, &amp; Davids, 2010)" }, "properties" : { "noteIndex" : 0 }, "schema" : "https://github.com/citation-style-language/schema/raw/master/csl-citation.json" }</w:instrText>
      </w:r>
      <w:r w:rsidRPr="00341B41">
        <w:fldChar w:fldCharType="separate"/>
      </w:r>
      <w:r w:rsidR="0098293B" w:rsidRPr="00341B41">
        <w:rPr>
          <w:noProof/>
        </w:rPr>
        <w:t>(Dicks, Button, &amp; Davids, 2010)</w:t>
      </w:r>
      <w:r w:rsidRPr="00341B41">
        <w:fldChar w:fldCharType="end"/>
      </w:r>
      <w:r w:rsidRPr="00341B41">
        <w:t xml:space="preserve">. </w:t>
      </w:r>
    </w:p>
    <w:p w14:paraId="07566587" w14:textId="1A25B8CE" w:rsidR="00B42DB7" w:rsidRPr="00341B41" w:rsidRDefault="00B42DB7" w:rsidP="00B42DB7">
      <w:pPr>
        <w:ind w:firstLine="720"/>
      </w:pPr>
      <w:r w:rsidRPr="00341B41">
        <w:t>This section has shown that experts generally show a more efficient visual search strategy than novices, which has been tied to faster and more accurate anticipation. In the context of the SA framework, the expert player’s visual search allows them to perceive all the relevant elements in the environment, i.e. level 1 SA. However, eye movement data doesn’t indicate the information in the visual scene is being extracted. In other words, it does not give a good understanding of how comprehension of the elements (level 2 SA) is achieved. The following sections will explore some of the cognitive-perceptual mechanisms employed by expert players in comprehension of the relevant cues needed for successful anticipation.</w:t>
      </w:r>
    </w:p>
    <w:p w14:paraId="342F6F68" w14:textId="7CF0363F" w:rsidR="00B42DB7" w:rsidRPr="00341B41" w:rsidRDefault="00B42DB7" w:rsidP="00B42DB7">
      <w:pPr>
        <w:pStyle w:val="Heading3"/>
      </w:pPr>
      <w:bookmarkStart w:id="17" w:name="_Toc486260833"/>
      <w:r w:rsidRPr="00341B41">
        <w:t>1.4.2.</w:t>
      </w:r>
      <w:r w:rsidRPr="00341B41">
        <w:tab/>
        <w:t>Use of kinematic cues</w:t>
      </w:r>
      <w:bookmarkEnd w:id="17"/>
    </w:p>
    <w:p w14:paraId="43B0F088" w14:textId="2B392A81" w:rsidR="00B42DB7" w:rsidRPr="00341B41" w:rsidRDefault="00B42DB7" w:rsidP="00B42DB7">
      <w:pPr>
        <w:rPr>
          <w:rFonts w:cs="Times New Roman"/>
        </w:rPr>
      </w:pPr>
      <w:r w:rsidRPr="00341B41">
        <w:t xml:space="preserve">A player would be at an advantage if they were able to anticipate an opponent’s next move based upon the opponent’s body movements, or kinematics. This could be accomplished by being able to understand the relevance of kinematic information in the player’s action, and being able to use that knowledge to predict the outcome of a certain action. </w:t>
      </w:r>
      <w:r w:rsidRPr="00341B41">
        <w:rPr>
          <w:rFonts w:cs="Times New Roman"/>
        </w:rPr>
        <w:t xml:space="preserve">There is now a </w:t>
      </w:r>
      <w:r w:rsidRPr="00341B41">
        <w:rPr>
          <w:rFonts w:cs="Times New Roman"/>
        </w:rPr>
        <w:lastRenderedPageBreak/>
        <w:t>large body of research focusing on the use of body kinematics to anticipate. This research has focused in particular on ‘striking’ sports such as tennis, badminton, cricket etc. where players make contact with a ball or similar object as an integral part of the game. In sports such as these, the time between a player making contact with the ball and an opponent having to react to it (returning a shot in tennis, catching a ball in cricket) is very short</w:t>
      </w:r>
      <w:r w:rsidR="00947524" w:rsidRPr="00341B41">
        <w:rPr>
          <w:rFonts w:cs="Times New Roman"/>
        </w:rPr>
        <w:t>. As such, it would be useful for players to</w:t>
      </w:r>
      <w:r w:rsidRPr="00341B41">
        <w:rPr>
          <w:rFonts w:cs="Times New Roman"/>
        </w:rPr>
        <w:t xml:space="preserve"> use cues in their opponent’s kinematics to anticipate where the ball was going to go (e.g. its velocity, direction, spin </w:t>
      </w:r>
      <w:proofErr w:type="spellStart"/>
      <w:r w:rsidRPr="00341B41">
        <w:rPr>
          <w:rFonts w:cs="Times New Roman"/>
        </w:rPr>
        <w:t>etc</w:t>
      </w:r>
      <w:proofErr w:type="spellEnd"/>
      <w:r w:rsidRPr="00341B41">
        <w:rPr>
          <w:rFonts w:cs="Times New Roman"/>
        </w:rPr>
        <w:t xml:space="preserve">). </w:t>
      </w:r>
    </w:p>
    <w:p w14:paraId="0E3BFA9E" w14:textId="2D37A588" w:rsidR="00B42DB7" w:rsidRPr="00341B41" w:rsidRDefault="00B42DB7" w:rsidP="00B42DB7">
      <w:pPr>
        <w:ind w:firstLine="720"/>
        <w:rPr>
          <w:rFonts w:cs="Times New Roman"/>
        </w:rPr>
      </w:pPr>
      <w:r w:rsidRPr="00341B41">
        <w:t xml:space="preserve">Experts have been found to anticipate outcomes based upon opponent kinematics and perform better than novices. </w:t>
      </w:r>
      <w:r w:rsidRPr="00341B41">
        <w:rPr>
          <w:rFonts w:cs="Times New Roman"/>
        </w:rPr>
        <w:t xml:space="preserve">The effective pick-up of relative motion is essential – i.e. experts anticipate the outcome of a situation based upon their perception of relative motion between specific bodily features rather via an isolated or superficial cue </w:t>
      </w:r>
      <w:r w:rsidRPr="00341B41">
        <w:rPr>
          <w:rFonts w:cs="Times New Roman"/>
        </w:rPr>
        <w:fldChar w:fldCharType="begin" w:fldLock="1"/>
      </w:r>
      <w:r w:rsidR="0019756D" w:rsidRPr="00341B41">
        <w:rPr>
          <w:rFonts w:cs="Times New Roman"/>
        </w:rPr>
        <w:instrText>ADDIN CSL_CITATION { "citationItems" : [ { "id" : "ITEM-1", "itemData" : { "ISSN" : "0270-1367", "PMID" : "22808703", "abstract" : "Expert performers in striking sports can hit objects moving at high speed with incredible precision. Exceptionally well developed anticipation skills are necessary to cope with the severe constraints on interception. In this papr we provide a review of the empirical evidence regarding expert interception in striking sports and propose a preliminary model of expert anticipation. Central to the review and the model is the notion that the visual information used to guide the sequential phases of the striking action is systematically different between experts and nonexperts. Knowing the factors that contribute to expert anticipation, and how anticipation may guide skilled performance in striking sports, has practical implications for assessment and training across skill levels.", "author" : [ { "dropping-particle" : "", "family" : "M\u00fcller", "given" : "Sean", "non-dropping-particle" : "", "parse-names" : false, "suffix" : "" }, { "dropping-particle" : "", "family" : "Abernethy", "given" : "Bruce", "non-dropping-particle" : "", "parse-names" : false, "suffix" : "" } ], "container-title" : "Research Quarterly for Exercise and Sport", "id" : "ITEM-1", "issue" : "2", "issued" : { "date-parts" : [ [ "2012" ] ] }, "page" : "175-87", "title" : "Expert anticipatory skill in striking sports: a review and a model.", "type" : "article-journal", "volume" : "83" }, "uris" : [ "http://www.mendeley.com/documents/?uuid=2506f647-ef1f-44b7-869e-bafab9e0c0fa" ] } ], "mendeley" : { "formattedCitation" : "(M\u00fcller &amp; Abernethy, 2012)", "plainTextFormattedCitation" : "(M\u00fcller &amp; Abernethy, 2012)", "previouslyFormattedCitation" : "(M\u00fcller &amp; Abernethy, 2012)"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(Müller &amp; Abernethy, 2012)</w:t>
      </w:r>
      <w:r w:rsidRPr="00341B41">
        <w:rPr>
          <w:rFonts w:cs="Times New Roman"/>
        </w:rPr>
        <w:fldChar w:fldCharType="end"/>
      </w:r>
      <w:r w:rsidRPr="00341B41">
        <w:rPr>
          <w:rFonts w:cs="Times New Roman"/>
        </w:rPr>
        <w:t xml:space="preserve">. </w:t>
      </w:r>
    </w:p>
    <w:p w14:paraId="6F3AA68B" w14:textId="4B13CBCA" w:rsidR="00B42DB7" w:rsidRPr="00341B41" w:rsidRDefault="00B42DB7" w:rsidP="00B42DB7">
      <w:pPr>
        <w:ind w:firstLine="720"/>
        <w:rPr>
          <w:rFonts w:cs="Times New Roman"/>
        </w:rPr>
      </w:pPr>
      <w:r w:rsidRPr="00341B41">
        <w:rPr>
          <w:rFonts w:cs="Times New Roman"/>
        </w:rPr>
        <w:t>Two common methodologies used to study the use of kinematic information in anticipation are the temporal and spatial occlusion paradigm</w:t>
      </w:r>
      <w:r w:rsidR="00B464D0" w:rsidRPr="00341B41">
        <w:rPr>
          <w:rFonts w:cs="Times New Roman"/>
        </w:rPr>
        <w:t>s</w:t>
      </w:r>
      <w:r w:rsidRPr="00341B41">
        <w:rPr>
          <w:rFonts w:cs="Times New Roman"/>
        </w:rPr>
        <w:t xml:space="preserve"> </w:t>
      </w:r>
      <w:r w:rsidRPr="00341B41">
        <w:fldChar w:fldCharType="begin" w:fldLock="1"/>
      </w:r>
      <w:r w:rsidR="0019756D" w:rsidRPr="00341B41">
        <w:instrText>ADDIN CSL_CITATION { "citationItems" : [ { "id" : "ITEM-1", "itemData" : { "DOI" : "10.1080/02643290600576595", "ISBN" : "0264329060057", "ISSN" : "1747-0218", "PMID" : "17095494", "abstract" : "Four experiments are reported that examine the ability of cricket batsmen of different skill levels to pick up advance information to anticipate the type and length of balls bowled by swing and spin bowlers. The information available upon which to make the predictive judgements was manipulated through a combination of temporal occlusion of the display and selective occlusion or presentation of putative anticipatory cues. In addition to a capability to pick up advance information from the same cues used by intermediate and low-skilled players, highly skilled players demonstrated the additional, unique capability to pick up advance information from some specific early cues (especially bowling hand and arm cues) to which the less skilled players were not attuned. The acquisition of expert perceptual-motor skill appears to involve not only refinement of information extraction but also progression to the use of earlier, kinematically relevant sources of information.", "author" : [ { "dropping-particle" : "", "family" : "M\u00fcller", "given" : "Sean", "non-dropping-particle" : "", "parse-names" : false, "suffix" : "" }, { "dropping-particle" : "", "family" : "Abernethy", "given" : "Bruce", "non-dropping-particle" : "", "parse-names" : false, "suffix" : "" }, { "dropping-particle" : "", "family" : "Farrow", "given" : "Damian", "non-dropping-particle" : "", "parse-names" : false, "suffix" : "" } ], "container-title" : "Quarterly Journal of Experimental Psychology", "id" : "ITEM-1", "issue" : "12", "issued" : { "date-parts" : [ [ "2006", "12" ] ] }, "page" : "2162-86", "title" : "How do world-class cricket batsmen anticipate a bowler's intention?", "type" : "article-journal", "volume" : "59" }, "uris" : [ "http://www.mendeley.com/documents/?uuid=41f00468-8b8c-4fe1-94d3-28e1f61a18d8" ] }, { "id" : "ITEM-2", "itemData" : { "DOI" : "10.1080/02701367.1998.10607677", "ISSN" : "0270-1367", "author" : [ { "dropping-particle" : "", "family" : "Williams", "given" : "Andrew Mark", "non-dropping-particle" : "", "parse-names" : false, "suffix" : "" }, { "dropping-particle" : "", "family" : "Davids", "given" : "K", "non-dropping-particle" : "", "parse-names" : false, "suffix" : "" } ], "container-title" : "Research Quarterly for Exercise and Sport", "id" : "ITEM-2", "issue" : "2", "issued" : { "date-parts" : [ [ "1998" ] ] }, "note" : "doi: 10.1080/02701367.1998.10607677", "page" : "111-128", "title" : "Visual Search Strategy, Selective Attention, and Expertise in Soccer", "type" : "article-journal", "volume" : "69" }, "uris" : [ "http://www.mendeley.com/documents/?uuid=a2f27717-9a1b-44b2-926a-e2a40d7ec150" ] } ], "mendeley" : { "formattedCitation" : "(M\u00fcller, Abernethy, &amp; Farrow, 2006; Williams &amp; Davids, 1998)", "manualFormatting" : "(M\u00fcller, Abernethy, &amp; Farrow, 2006; Williams &amp; Davids, 1998)", "plainTextFormattedCitation" : "(M\u00fcller, Abernethy, &amp; Farrow, 2006; Williams &amp; Davids, 1998)", "previouslyFormattedCitation" : "(M\u00fcller, Abernethy, &amp; Farrow, 2006; Williams &amp; Davids, 1998)" }, "properties" : { "noteIndex" : 0 }, "schema" : "https://github.com/citation-style-language/schema/raw/master/csl-citation.json" }</w:instrText>
      </w:r>
      <w:r w:rsidRPr="00341B41">
        <w:fldChar w:fldCharType="separate"/>
      </w:r>
      <w:r w:rsidRPr="00341B41">
        <w:rPr>
          <w:noProof/>
        </w:rPr>
        <w:t>(Müller, Abernethy, &amp; Farrow, 2006; Williams &amp; Davids, 1998)</w:t>
      </w:r>
      <w:r w:rsidRPr="00341B41">
        <w:fldChar w:fldCharType="end"/>
      </w:r>
      <w:r w:rsidRPr="00341B41">
        <w:t xml:space="preserve">. </w:t>
      </w:r>
      <w:r w:rsidRPr="00341B41">
        <w:rPr>
          <w:rFonts w:cs="Times New Roman"/>
        </w:rPr>
        <w:t xml:space="preserve">In these </w:t>
      </w:r>
      <w:proofErr w:type="gramStart"/>
      <w:r w:rsidRPr="00341B41">
        <w:rPr>
          <w:rFonts w:cs="Times New Roman"/>
        </w:rPr>
        <w:t>tasks</w:t>
      </w:r>
      <w:proofErr w:type="gramEnd"/>
      <w:r w:rsidRPr="00341B41">
        <w:rPr>
          <w:rFonts w:cs="Times New Roman"/>
        </w:rPr>
        <w:t xml:space="preserve"> an opponent is filmed from a first-person perspective performing a given action (e.g. tennis shots), which are then displayed to participants. In temporal occlusion studies, the videos are occluded at varying time-points relative to a critical event (e.g. racket-ball contact). In spatial occlusion studies, part of the scene is removed whilst presenting the remainder of the video (e.g. removing the opponent’s arm or racket). </w:t>
      </w:r>
    </w:p>
    <w:p w14:paraId="328BC4E8" w14:textId="299CD7F6" w:rsidR="00B42DB7" w:rsidRPr="00341B41" w:rsidRDefault="00B42DB7" w:rsidP="00B42DB7">
      <w:pPr>
        <w:ind w:firstLine="720"/>
        <w:rPr>
          <w:rFonts w:cs="Times New Roman"/>
        </w:rPr>
      </w:pPr>
      <w:r w:rsidRPr="00341B41">
        <w:t xml:space="preserve">Using temporal occlusion, </w:t>
      </w:r>
      <w:r w:rsidRPr="00341B41">
        <w:rPr>
          <w:rFonts w:cs="Times New Roman"/>
        </w:rPr>
        <w:t xml:space="preserve">expert cricket batsmen were found to use information from before the moment the bowler released the ball to accurately anticipate the trajectory </w:t>
      </w:r>
      <w:r w:rsidRPr="00341B41">
        <w:rPr>
          <w:rFonts w:cs="Times New Roman"/>
        </w:rPr>
        <w:lastRenderedPageBreak/>
        <w:t xml:space="preserve">of the ball </w:t>
      </w:r>
      <w:r w:rsidRPr="00341B41">
        <w:rPr>
          <w:rFonts w:cs="Times New Roman"/>
        </w:rPr>
        <w:fldChar w:fldCharType="begin" w:fldLock="1"/>
      </w:r>
      <w:r w:rsidR="0019756D" w:rsidRPr="00341B41">
        <w:rPr>
          <w:rFonts w:cs="Times New Roman"/>
        </w:rPr>
        <w:instrText>ADDIN CSL_CITATION { "citationItems" : [ { "id" : "ITEM-1", "itemData" : { "DOI" : "10.1080/02643290600576595", "ISBN" : "0264329060057", "ISSN" : "1747-0218", "PMID" : "17095494", "abstract" : "Four experiments are reported that examine the ability of cricket batsmen of different skill levels to pick up advance information to anticipate the type and length of balls bowled by swing and spin bowlers. The information available upon which to make the predictive judgements was manipulated through a combination of temporal occlusion of the display and selective occlusion or presentation of putative anticipatory cues. In addition to a capability to pick up advance information from the same cues used by intermediate and low-skilled players, highly skilled players demonstrated the additional, unique capability to pick up advance information from some specific early cues (especially bowling hand and arm cues) to which the less skilled players were not attuned. The acquisition of expert perceptual-motor skill appears to involve not only refinement of information extraction but also progression to the use of earlier, kinematically relevant sources of information.", "author" : [ { "dropping-particle" : "", "family" : "M\u00fcller", "given" : "Sean", "non-dropping-particle" : "", "parse-names" : false, "suffix" : "" }, { "dropping-particle" : "", "family" : "Abernethy", "given" : "Bruce", "non-dropping-particle" : "", "parse-names" : false, "suffix" : "" }, { "dropping-particle" : "", "family" : "Farrow", "given" : "Damian", "non-dropping-particle" : "", "parse-names" : false, "suffix" : "" } ], "container-title" : "Quarterly Journal of Experimental Psychology", "id" : "ITEM-1", "issue" : "12", "issued" : { "date-parts" : [ [ "2006", "12" ] ] }, "page" : "2162-86", "title" : "How do world-class cricket batsmen anticipate a bowler's intention?", "type" : "article-journal", "volume" : "59" }, "uris" : [ "http://www.mendeley.com/documents/?uuid=41f00468-8b8c-4fe1-94d3-28e1f61a18d8" ] } ], "mendeley" : { "formattedCitation" : "(M\u00fcller et al., 2006)", "plainTextFormattedCitation" : "(M\u00fcller et al., 2006)", "previouslyFormattedCitation" : "(M\u00fcller et al., 2006)"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(Müller et al., 2006)</w:t>
      </w:r>
      <w:r w:rsidRPr="00341B41">
        <w:rPr>
          <w:rFonts w:cs="Times New Roman"/>
        </w:rPr>
        <w:fldChar w:fldCharType="end"/>
      </w:r>
      <w:r w:rsidRPr="00341B41">
        <w:rPr>
          <w:rFonts w:cs="Times New Roman"/>
        </w:rPr>
        <w:t xml:space="preserve">. Specifically, it was found that the expert batsmen made use of the motion of the bowler’s arm relative to the bowling hand, primarily between the time of front foot impact and that that of ball release. Specific timing information can be obtained by including multiple levels of occlusion. In a study of badminton players, five different occlusion levels were used </w:t>
      </w:r>
      <w:r w:rsidRPr="00341B41">
        <w:rPr>
          <w:rFonts w:cs="Times New Roman"/>
        </w:rPr>
        <w:fldChar w:fldCharType="begin" w:fldLock="1"/>
      </w:r>
      <w:r w:rsidR="0019756D" w:rsidRPr="00341B41">
        <w:rPr>
          <w:rFonts w:cs="Times New Roman"/>
        </w:rPr>
        <w:instrText>ADDIN CSL_CITATION { "citationItems" : [ { "id" : "ITEM-1", "itemData" : { "abstract" : "The visual search characteristics of 15 expert and 16 novice badminton players were recorded as they performed a film test designed to assess their anticipatory cue usage. Experts were found, from the film task, to be able to pick up earlier advance information than novices and this appeared to be related to their reliance upon the arm, in addition to the racquet, as a source of anticipatory information. These differemces in information-extraction, however, were not matched by differences in visual search characteristics with the location, duration and sequence of the novices' fixations on the film display being indistinguishable from those of the experts. It is concluded therefore that the major source of expertise-related differences in sport perception is not the visual search (or reception) strategy per se but rather the use to which the received information is subsequently put. Some experimental and practical implications of the observed discrepancy between visual orientation and information-extraction are considered and the normal search strategy adopted in badminton by both expert and novice players is described in some detail.", "author" : [ { "dropping-particle" : "", "family" : "Abernethy", "given" : "Bruce", "non-dropping-particle" : "", "parse-names" : false, "suffix" : "" }, { "dropping-particle" : "", "family" : "Russell", "given" : "D.G.", "non-dropping-particle" : "", "parse-names" : false, "suffix" : "" } ], "container-title" : "Human Movement Science", "id" : "ITEM-1", "issued" : { "date-parts" : [ [ "1987" ] ] }, "page" : "283-319", "title" : "The relationship between expertise and visual search strategy in a racquet sport", "type" : "article-journal", "volume" : "6" }, "uris" : [ "http://www.mendeley.com/documents/?uuid=c1041af7-fcc8-4793-a64c-eb0adf95368a" ] } ], "mendeley" : { "formattedCitation" : "(Abernethy &amp; Russell, 1987b)", "plainTextFormattedCitation" : "(Abernethy &amp; Russell, 1987b)", "previouslyFormattedCitation" : "(Abernethy &amp; Russell, 1987b)"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&amp; Russell, 1987b)</w:t>
      </w:r>
      <w:r w:rsidRPr="00341B41">
        <w:rPr>
          <w:rFonts w:cs="Times New Roman"/>
        </w:rPr>
        <w:fldChar w:fldCharType="end"/>
      </w:r>
      <w:r w:rsidRPr="00341B41">
        <w:rPr>
          <w:rFonts w:cs="Times New Roman"/>
        </w:rPr>
        <w:t>. The earlier the occlusion was relevant to racket-shuttle contact, the less kinematic information participants had available to them, and thus anticipation should be harder. The hardest level of occlusion was -167ms before the critical event, with each subsequent occlusion level providing 83ms more information that could be used to anticipate. This allowed comparison of anticipation accuracy across adjacent conditions giving a measure of information pick-up within the time window bounded by adjacent conditions. In this study, it was found that experts could pick up anticipatory cues from the opponent’s kinematics much earlier (at -167ms) than novices, whose information pick-up started much closer to racket-shuttle contact. This suggests experts are attuned to earlier information</w:t>
      </w:r>
      <w:r w:rsidR="00C9252E" w:rsidRPr="00341B41">
        <w:rPr>
          <w:rFonts w:cs="Times New Roman"/>
        </w:rPr>
        <w:t xml:space="preserve"> regarding an opponent’s action. I</w:t>
      </w:r>
      <w:r w:rsidRPr="00341B41">
        <w:rPr>
          <w:rFonts w:cs="Times New Roman"/>
        </w:rPr>
        <w:t xml:space="preserve">t also suggests they are more attuned to information from spatially distinct regions (the arm holding the racket underwent its greatest movement -167 to -83ms, whilst the racket itself underwent its greatest movement -83 to 0ms). Improvements were shown in both groups between 0ms and 83ms, due to the availability of shuttle flight information </w:t>
      </w:r>
      <w:r w:rsidRPr="00341B41">
        <w:rPr>
          <w:rFonts w:cs="Times New Roman"/>
        </w:rPr>
        <w:fldChar w:fldCharType="begin" w:fldLock="1"/>
      </w:r>
      <w:r w:rsidR="0019756D" w:rsidRPr="00341B41">
        <w:rPr>
          <w:rFonts w:cs="Times New Roman"/>
        </w:rPr>
        <w:instrText>ADDIN CSL_CITATION { "citationItems" : [ { "id" : "ITEM-1", "itemData" : { "abstract" : "The visual search characteristics of 15 expert and 16 novice badminton players were recorded as they performed a film test designed to assess their anticipatory cue usage. Experts were found, from the film task, to be able to pick up earlier advance information than novices and this appeared to be related to their reliance upon the arm, in addition to the racquet, as a source of anticipatory information. These differemces in information-extraction, however, were not matched by differences in visual search characteristics with the location, duration and sequence of the novices' fixations on the film display being indistinguishable from those of the experts. It is concluded therefore that the major source of expertise-related differences in sport perception is not the visual search (or reception) strategy per se but rather the use to which the received information is subsequently put. Some experimental and practical implications of the observed discrepancy between visual orientation and information-extraction are considered and the normal search strategy adopted in badminton by both expert and novice players is described in some detail.", "author" : [ { "dropping-particle" : "", "family" : "Abernethy", "given" : "Bruce", "non-dropping-particle" : "", "parse-names" : false, "suffix" : "" }, { "dropping-particle" : "", "family" : "Russell", "given" : "D.G.", "non-dropping-particle" : "", "parse-names" : false, "suffix" : "" } ], "container-title" : "Human Movement Science", "id" : "ITEM-1", "issued" : { "date-parts" : [ [ "1987" ] ] }, "page" : "283-319", "title" : "The relationship between expertise and visual search strategy in a racquet sport", "type" : "article-journal", "volume" : "6" }, "uris" : [ "http://www.mendeley.com/documents/?uuid=c1041af7-fcc8-4793-a64c-eb0adf95368a" ] } ], "mendeley" : { "formattedCitation" : "(Abernethy &amp; Russell, 1987b)", "plainTextFormattedCitation" : "(Abernethy &amp; Russell, 1987b)", "previouslyFormattedCitation" : "(Abernethy &amp; Russell, 1987b)"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&amp; Russell, 1987b)</w:t>
      </w:r>
      <w:r w:rsidRPr="00341B41">
        <w:rPr>
          <w:rFonts w:cs="Times New Roman"/>
        </w:rPr>
        <w:fldChar w:fldCharType="end"/>
      </w:r>
      <w:r w:rsidRPr="00341B41">
        <w:rPr>
          <w:rFonts w:cs="Times New Roman"/>
        </w:rPr>
        <w:t xml:space="preserve">. </w:t>
      </w:r>
    </w:p>
    <w:p w14:paraId="5D635DFC" w14:textId="2000819B" w:rsidR="00B42DB7" w:rsidRPr="00341B41" w:rsidRDefault="00B42DB7" w:rsidP="00B42DB7">
      <w:pPr>
        <w:ind w:firstLine="720"/>
        <w:rPr>
          <w:rFonts w:cs="Times New Roman"/>
        </w:rPr>
      </w:pPr>
      <w:r w:rsidRPr="00341B41">
        <w:rPr>
          <w:rFonts w:cs="Times New Roman"/>
        </w:rPr>
        <w:t>Temporal occlusion studies have consistently found that when a sports-related action is occluded prior to a critical moment, experts can anticipate th</w:t>
      </w:r>
      <w:r w:rsidR="008A03B6" w:rsidRPr="00341B41">
        <w:rPr>
          <w:rFonts w:cs="Times New Roman"/>
        </w:rPr>
        <w:t>e intentions of their opponent</w:t>
      </w:r>
      <w:r w:rsidRPr="00341B41">
        <w:rPr>
          <w:rFonts w:cs="Times New Roman"/>
        </w:rPr>
        <w:t xml:space="preserve"> earlier in the movement sequence than novices. This finding is consistent across multiple sports such as football </w:t>
      </w:r>
      <w:r w:rsidRPr="00341B41">
        <w:rPr>
          <w:rFonts w:cs="Times New Roman"/>
        </w:rPr>
        <w:fldChar w:fldCharType="begin" w:fldLock="1"/>
      </w:r>
      <w:r w:rsidR="0019756D" w:rsidRPr="00341B41">
        <w:rPr>
          <w:rFonts w:cs="Times New Roman"/>
        </w:rPr>
        <w:instrText>ADDIN CSL_CITATION { "citationItems" : [ { "id" : "ITEM-1", "itemData" : { "DOI" : "10.1080/02701367.1998.10607677", "ISSN" : "0270-1367", "author" : [ { "dropping-particle" : "", "family" : "Williams", "given" : "Andrew Mark", "non-dropping-particle" : "", "parse-names" : false, "suffix" : "" }, { "dropping-particle" : "", "family" : "Davids", "given" : "K", "non-dropping-particle" : "", "parse-names" : false, "suffix" : "" } ], "container-title" : "Research Quarterly for Exercise and Sport", "id" : "ITEM-1", "issue" : "2", "issued" : { "date-parts" : [ [ "1998" ] ] }, "note" : "doi: 10.1080/02701367.1998.10607677", "page" : "111-128", "title" : "Visual Search Strategy, Selective Attention, and Expertise in Soccer", "type" : "article-journal", "volume" : "69" }, "uris" : [ "http://www.mendeley.com/documents/?uuid=a2f27717-9a1b-44b2-926a-e2a40d7ec150" ] } ], "mendeley" : { "formattedCitation" : "(Williams &amp; Davids, 1998)", "manualFormatting" : "(Williams &amp; Davids, 1998)", "plainTextFormattedCitation" : "(Williams &amp; Davids, 1998)", "previouslyFormattedCitation" : "(Williams &amp; Davids, 1998)" }, "properties" : { "noteIndex" : 0 }, "schema" : "https://github.com/citation-style-language/schema/raw/master/csl-citation.json" }</w:instrText>
      </w:r>
      <w:r w:rsidRPr="00341B41">
        <w:rPr>
          <w:rFonts w:cs="Times New Roman"/>
        </w:rPr>
        <w:fldChar w:fldCharType="separate"/>
      </w:r>
      <w:r w:rsidRPr="00341B41">
        <w:rPr>
          <w:rFonts w:cs="Times New Roman"/>
          <w:noProof/>
        </w:rPr>
        <w:t>(Williams &amp; Davids, 1998)</w:t>
      </w:r>
      <w:r w:rsidRPr="00341B41">
        <w:rPr>
          <w:rFonts w:cs="Times New Roman"/>
        </w:rPr>
        <w:fldChar w:fldCharType="end"/>
      </w:r>
      <w:r w:rsidRPr="00341B41">
        <w:rPr>
          <w:rFonts w:cs="Times New Roman"/>
        </w:rPr>
        <w:t xml:space="preserve">, basketball </w:t>
      </w:r>
      <w:r w:rsidRPr="00341B41">
        <w:rPr>
          <w:rFonts w:cs="Times New Roman"/>
        </w:rPr>
        <w:fldChar w:fldCharType="begin" w:fldLock="1"/>
      </w:r>
      <w:r w:rsidR="0019756D" w:rsidRPr="00341B41">
        <w:rPr>
          <w:rFonts w:cs="Times New Roman"/>
        </w:rPr>
        <w:instrText>ADDIN CSL_CITATION { "citationItems" : [ { "id" : "ITEM-1", "itemData" : { "DOI" : "10.1016/j.neuroscience.2013.01.048", "ISSN" : "1873-7544", "PMID" : "23384606", "abstract" : "Athletes exhibit better anticipation abilities than novices. However, it is not known whether this difference is related to different visual perceptions between them and which neural elements are involved in producing this difference. Fifteen elite basketball players and 15 novices participated in an action anticipation task with basketball free throw. Accurate rate for anticipation and gaze behavior were analyzed. Functional brain activity was recorded using functional magnetic resonance imaging. We found that the accurate rate for anticipation was higher in athletes than that in novices. Athletes showed more stable gaze fixation than novices and the locus of fixation was reliable in athletes but not in novices. Athletes showed higher activity in inferior parietal lobule and inferior frontal gyrus than novices during action anticipation. We conclude that the processes for action anticipation in elite athletes and novices are different and this difference is caused by different visual perceptions between them.", "author" : [ { "dropping-particle" : "", "family" : "Wu", "given" : "Y", "non-dropping-particle" : "", "parse-names" : false, "suffix" : "" }, { "dropping-particle" : "", "family" : "Zeng", "given" : "Y", "non-dropping-particle" : "", "parse-names" : false, "suffix" : "" }, { "dropping-particle" : "", "family" : "Zhang", "given" : "L", "non-dropping-particle" : "", "parse-names" : false, "suffix" : "" }, { "dropping-particle" : "", "family" : "Wang", "given" : "S", "non-dropping-particle" : "", "parse-names" : false, "suffix" : "" }, { "dropping-particle" : "", "family" : "Wang", "given" : "D", "non-dropping-particle" : "", "parse-names" : false, "suffix" : "" }, { "dropping-particle" : "", "family" : "Tan", "given" : "X", "non-dropping-particle" : "", "parse-names" : false, "suffix" : "" }, { "dropping-particle" : "", "family" : "Zhu", "given" : "X", "non-dropping-particle" : "", "parse-names" : false, "suffix" : "" }, { "dropping-particle" : "", "family" : "Zhang", "given" : "J", "non-dropping-particle" : "", "parse-names" : false, "suffix" : "" } ], "container-title" : "Neuroscience", "id" : "ITEM-1", "issued" : { "date-parts" : [ [ "2013", "5", "1" ] ] }, "page" : "29-41", "title" : "The role of visual perception in action anticipation in basketball athletes.", "type" : "article-journal", "volume" : "237" }, "uris" : [ "http://www.mendeley.com/documents/?uuid=8209befb-066b-4625-8478-7512aabeb1a9" ] } ], "mendeley" : { "formattedCitation" : "(Wu et al., 2013)", "plainTextFormattedCitation" : "(Wu et al., 2013)", "previouslyFormattedCitation" : "(Wu et al., 2013)"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(Wu et al., 2013)</w:t>
      </w:r>
      <w:r w:rsidRPr="00341B41">
        <w:rPr>
          <w:rFonts w:cs="Times New Roman"/>
        </w:rPr>
        <w:fldChar w:fldCharType="end"/>
      </w:r>
      <w:r w:rsidRPr="00341B41">
        <w:rPr>
          <w:rFonts w:cs="Times New Roman"/>
        </w:rPr>
        <w:t xml:space="preserve">, </w:t>
      </w:r>
      <w:r w:rsidRPr="00341B41">
        <w:rPr>
          <w:rFonts w:cs="Times New Roman"/>
        </w:rPr>
        <w:lastRenderedPageBreak/>
        <w:t xml:space="preserve">tennis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"Rowe", "given" : "Richard", "non-dropping-particle" : "", "parse-names" : false, "suffix" : "" }, { "dropping-particle" : "", "family" : "McKenna", "given" : "Frank P", "non-dropping-particle" : "", "parse-names" : false, "suffix" : "" } ], "container-title" : "Journal of Experimental Psychology: Applied", "id" : "ITEM-1", "issue" : "1", "issued" : { "date-parts" : [ [ "2001" ] ] }, "page" : "60-67", "title" : "Skilled anticipation in real-world tasks: Measurement of attentional demands in the domain of tennis", "type" : "article-journal", "volume" : "7" }, "uris" : [ "http://www.mendeley.com/documents/?uuid=25d0285b-f160-4cb8-a199-2fcbe666f3a6" ] } ], "mendeley" : { "formattedCitation" : "(Rowe &amp; McKenna, 2001)", "plainTextFormattedCitation" : "(Rowe &amp; McKenna, 2001)", "previouslyFormattedCitation" : "(Rowe &amp; McKenna, 2001)"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(Rowe &amp; McKenna, 2001)</w:t>
      </w:r>
      <w:r w:rsidRPr="00341B41">
        <w:rPr>
          <w:rFonts w:cs="Times New Roman"/>
        </w:rPr>
        <w:fldChar w:fldCharType="end"/>
      </w:r>
      <w:r w:rsidRPr="00341B41">
        <w:rPr>
          <w:rFonts w:cs="Times New Roman"/>
        </w:rPr>
        <w:t xml:space="preserve">, squash </w:t>
      </w:r>
      <w:r w:rsidRPr="00341B41">
        <w:rPr>
          <w:rFonts w:cs="Times New Roman"/>
        </w:rPr>
        <w:fldChar w:fldCharType="begin" w:fldLock="1"/>
      </w:r>
      <w:r w:rsidR="0019756D" w:rsidRPr="00341B41">
        <w:rPr>
          <w:rFonts w:cs="Times New Roman"/>
        </w:rPr>
        <w:instrText>ADDIN CSL_CITATION { "citationItems" : [ { "id" : "ITEM-1", "itemData" : { "ISSN" : "0301-0066", "PMID" : "2336337", "abstract" : "The visual search characteristics of expert and novice squash players were compared in two experiments. In the first experiment subjects were required to predict the forthcoming direction and force of an opponent's stroke from a film display. This film display was designed to simulate the normal display available to the defending player in squash and involved the use of variable temporal cut-offs to force the subjects to use advance cues in their prediction. Systematic differences in the information pick-up of the experts and novices were observed on the film task but these differences were achieved with only relatively minor between-group variations in visual search strategy. In the second experiment, set in the natural field setting, no expert-novice differences in either fixation distribution, order, or duration were observed on a comparable prediction task. This provided further support for the conclusion that the limiting factor in the perceptual performance of the novices is not an inappropriate search strategy but rather an inability to make full use of the information available from fixated display features. Some practical implications of these findings for the squash coach and player are considered.", "author" : [ { "dropping-particle" : "", "family" : "Abernethy", "given" : "Bruce", "non-dropping-particle" : "", "parse-names" : false, "suffix" : "" } ], "container-title" : "Perception", "id" : "ITEM-1", "issue" : "1", "issued" : { "date-parts" : [ [ "1990" ] ] }, "page" : "63-77", "title" : "Expertise, visual search, and information pick-up in squash.", "type" : "article-journal", "volume" : "19" }, "uris" : [ "http://www.mendeley.com/documents/?uuid=aced561f-d301-4960-b866-9d73c47cf268" ] } ], "mendeley" : { "formattedCitation" : "(Abernethy, 1990)", "plainTextFormattedCitation" : "(Abernethy, 1990)", "previouslyFormattedCitation" : "(Abernethy, 1990)"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1990)</w:t>
      </w:r>
      <w:r w:rsidRPr="00341B41">
        <w:rPr>
          <w:rFonts w:cs="Times New Roman"/>
        </w:rPr>
        <w:fldChar w:fldCharType="end"/>
      </w:r>
      <w:r w:rsidRPr="00341B41">
        <w:rPr>
          <w:rFonts w:cs="Times New Roman"/>
        </w:rPr>
        <w:t xml:space="preserve">, and badminton </w:t>
      </w:r>
      <w:r w:rsidRPr="00341B41">
        <w:rPr>
          <w:rFonts w:cs="Times New Roman"/>
        </w:rPr>
        <w:fldChar w:fldCharType="begin" w:fldLock="1"/>
      </w:r>
      <w:r w:rsidR="0019756D" w:rsidRPr="00341B41">
        <w:rPr>
          <w:rFonts w:cs="Times New Roman"/>
        </w:rPr>
        <w:instrText>ADDIN CSL_CITATION { "citationItems" : [ { "id" : "ITEM-1", "itemData" : { "abstract" : "The visual search characteristics of 15 expert and 16 novice badminton players were recorded as they performed a film test designed to assess their anticipatory cue usage. Experts were found, from the film task, to be able to pick up earlier advance information than novices and this appeared to be related to their reliance upon the arm, in addition to the racquet, as a source of anticipatory information. These differemces in information-extraction, however, were not matched by differences in visual search characteristics with the location, duration and sequence of the novices' fixations on the film display being indistinguishable from those of the experts. It is concluded therefore that the major source of expertise-related differences in sport perception is not the visual search (or reception) strategy per se but rather the use to which the received information is subsequently put. Some experimental and practical implications of the observed discrepancy between visual orientation and information-extraction are considered and the normal search strategy adopted in badminton by both expert and novice players is described in some detail.", "author" : [ { "dropping-particle" : "", "family" : "Abernethy", "given" : "Bruce", "non-dropping-particle" : "", "parse-names" : false, "suffix" : "" }, { "dropping-particle" : "", "family" : "Russell", "given" : "D.G.", "non-dropping-particle" : "", "parse-names" : false, "suffix" : "" } ], "container-title" : "Human Movement Science", "id" : "ITEM-1", "issued" : { "date-parts" : [ [ "1987" ] ] }, "page" : "283-319", "title" : "The relationship between expertise and visual search strategy in a racquet sport", "type" : "article-journal", "volume" : "6" }, "uris" : [ "http://www.mendeley.com/documents/?uuid=c1041af7-fcc8-4793-a64c-eb0adf95368a" ] } ], "mendeley" : { "formattedCitation" : "(Abernethy &amp; Russell, 1987b)", "plainTextFormattedCitation" : "(Abernethy &amp; Russell, 1987b)", "previouslyFormattedCitation" : "(Abernethy &amp; Russell, 1987b)"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&amp; Russell, 1987b)</w:t>
      </w:r>
      <w:r w:rsidRPr="00341B41">
        <w:rPr>
          <w:rFonts w:cs="Times New Roman"/>
        </w:rPr>
        <w:fldChar w:fldCharType="end"/>
      </w:r>
      <w:r w:rsidRPr="00341B41">
        <w:rPr>
          <w:rFonts w:cs="Times New Roman"/>
        </w:rPr>
        <w:t xml:space="preserve">. </w:t>
      </w:r>
    </w:p>
    <w:p w14:paraId="44AC577F" w14:textId="08A49872" w:rsidR="00B42DB7" w:rsidRPr="00341B41" w:rsidRDefault="00B42DB7" w:rsidP="00B42DB7">
      <w:pPr>
        <w:ind w:firstLine="720"/>
        <w:rPr>
          <w:rFonts w:cs="Times New Roman"/>
        </w:rPr>
      </w:pPr>
      <w:r w:rsidRPr="00341B41">
        <w:rPr>
          <w:rFonts w:cs="Times New Roman"/>
        </w:rPr>
        <w:t xml:space="preserve">Spatial occlusion studies have been used to further understand the specific cues that are used by experts to successfully anticipate. In a spatial occlusion study of badminton, serves were shown to participants with different regions of the scene being masked so that participants couldn’t use that information to anticipate </w:t>
      </w:r>
      <w:r w:rsidRPr="00341B41">
        <w:rPr>
          <w:rFonts w:cs="Times New Roman"/>
        </w:rPr>
        <w:fldChar w:fldCharType="begin" w:fldLock="1"/>
      </w:r>
      <w:r w:rsidR="0019756D" w:rsidRPr="00341B41">
        <w:rPr>
          <w:rFonts w:cs="Times New Roman"/>
        </w:rPr>
        <w:instrText>ADDIN CSL_CITATION { "citationItems" : [ { "id" : "ITEM-1", "itemData" : { "abstract" : "Two experiments are described comparing the temporal and spatial characteristics of the anticipatory cues used by expert (n=20) and novice (n=35) racquet sport players. In both experiments the perceptual display available in badminton was simulated using film, and display characteristics were selectively manipulated either by varying the duration of the stroke sequence that was visible (Experiment 1) or by selectively masking specific display features (Experiment 2). The subjects' task in all cases was to predict the landing position of the stroke they were viewing. It was found in Experiment 1 that experts were able to pick up more relevant information from earlier display cues than could novices, and this appeared in Experiment 2 to be due to their ability to extract advance information from the playing side arm, in addition to the racquet itself. These differences, it was concluded, were congruent with predictions that could be derived from traditional information processing notions related to recognition of display redundancy. The roles of different anticipatory cue sources in the independent predictions of stroke speed and direction were also examined, and it was concluded that directional judgments were more dependent on cue specificity than were depth judgments.", "author" : [ { "dropping-particle" : "", "family" : "Abernethy", "given" : "Bruce", "non-dropping-particle" : "", "parse-names" : false, "suffix" : "" }, { "dropping-particle" : "", "family" : "Russell", "given" : "D.G.", "non-dropping-particle" : "", "parse-names" : false, "suffix" : "" } ], "container-title" : "Journal of Sport Psychology", "id" : "ITEM-1", "issue" : "4", "issued" : { "date-parts" : [ [ "1987" ] ] }, "page" : "326-345", "title" : "Expert novice differences in an applied selective attention task", "type" : "article-journal", "volume" : "9" }, "uris" : [ "http://www.mendeley.com/documents/?uuid=5ba2890b-df87-4a92-88de-b33462932def" ] } ], "mendeley" : { "formattedCitation" : "(Abernethy &amp; Russell, 1987a)", "plainTextFormattedCitation" : "(Abernethy &amp; Russell, 1987a)", "previouslyFormattedCitation" : "(Abernethy &amp; Russell, 1987a)"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&amp; Russell, 1987a)</w:t>
      </w:r>
      <w:r w:rsidRPr="00341B41">
        <w:rPr>
          <w:rFonts w:cs="Times New Roman"/>
        </w:rPr>
        <w:fldChar w:fldCharType="end"/>
      </w:r>
      <w:r w:rsidRPr="00341B41">
        <w:rPr>
          <w:rFonts w:cs="Times New Roman"/>
        </w:rPr>
        <w:t xml:space="preserve">. In each trial, either the arm and racket, only the racket, the head, the lower body, or background areas were masked with a black spot so that they could not be seen by participants. This approach showed that novices gained most of their anticipatory information from racket movement. Expert players however used mostly arm and racket movement, but also head posture, lower body posture, and lower body motion. These results showed that expert players can use a range of kinematic cues to anticipate, information not available to novices. Spatial occlusion studies in football </w:t>
      </w:r>
      <w:r w:rsidRPr="00341B41">
        <w:rPr>
          <w:rFonts w:cs="Times New Roman"/>
        </w:rPr>
        <w:fldChar w:fldCharType="begin" w:fldLock="1"/>
      </w:r>
      <w:r w:rsidR="0019756D" w:rsidRPr="00341B41">
        <w:rPr>
          <w:rFonts w:cs="Times New Roman"/>
        </w:rPr>
        <w:instrText>ADDIN CSL_CITATION { "citationItems" : [ { "id" : "ITEM-1", "itemData" : { "DOI" : "10.1080/02701367.1998.10607677", "ISSN" : "0270-1367", "author" : [ { "dropping-particle" : "", "family" : "Williams", "given" : "Andrew Mark", "non-dropping-particle" : "", "parse-names" : false, "suffix" : "" }, { "dropping-particle" : "", "family" : "Davids", "given" : "K", "non-dropping-particle" : "", "parse-names" : false, "suffix" : "" } ], "container-title" : "Research Quarterly for Exercise and Sport", "id" : "ITEM-1", "issue" : "2", "issued" : { "date-parts" : [ [ "1998" ] ] }, "note" : "doi: 10.1080/02701367.1998.10607677", "page" : "111-128", "title" : "Visual Search Strategy, Selective Attention, and Expertise in Soccer", "type" : "article-journal", "volume" : "69" }, "uris" : [ "http://www.mendeley.com/documents/?uuid=a2f27717-9a1b-44b2-926a-e2a40d7ec150" ] } ], "mendeley" : { "formattedCitation" : "(Williams &amp; Davids, 1998)", "manualFormatting" : "(Williams &amp; Davids, 1998)", "plainTextFormattedCitation" : "(Williams &amp; Davids, 1998)", "previouslyFormattedCitation" : "(Williams &amp; Davids, 1998)" }, "properties" : { "noteIndex" : 0 }, "schema" : "https://github.com/citation-style-language/schema/raw/master/csl-citation.json" }</w:instrText>
      </w:r>
      <w:r w:rsidRPr="00341B41">
        <w:rPr>
          <w:rFonts w:cs="Times New Roman"/>
        </w:rPr>
        <w:fldChar w:fldCharType="separate"/>
      </w:r>
      <w:r w:rsidRPr="00341B41">
        <w:rPr>
          <w:rFonts w:cs="Times New Roman"/>
          <w:noProof/>
        </w:rPr>
        <w:t>(Williams &amp; Davids, 1998)</w:t>
      </w:r>
      <w:r w:rsidRPr="00341B41">
        <w:rPr>
          <w:rFonts w:cs="Times New Roman"/>
        </w:rPr>
        <w:fldChar w:fldCharType="end"/>
      </w:r>
      <w:r w:rsidRPr="00341B41">
        <w:rPr>
          <w:rFonts w:cs="Times New Roman"/>
        </w:rPr>
        <w:t xml:space="preserve">, cricket </w:t>
      </w:r>
      <w:r w:rsidRPr="00341B41">
        <w:rPr>
          <w:rFonts w:cs="Times New Roman"/>
        </w:rPr>
        <w:fldChar w:fldCharType="begin" w:fldLock="1"/>
      </w:r>
      <w:r w:rsidR="0019756D" w:rsidRPr="00341B41">
        <w:rPr>
          <w:rFonts w:cs="Times New Roman"/>
        </w:rPr>
        <w:instrText>ADDIN CSL_CITATION { "citationItems" : [ { "id" : "ITEM-1", "itemData" : { "DOI" : "10.1080/02643290600576595", "ISBN" : "0264329060057", "ISSN" : "1747-0218", "PMID" : "17095494", "abstract" : "Four experiments are reported that examine the ability of cricket batsmen of different skill levels to pick up advance information to anticipate the type and length of balls bowled by swing and spin bowlers. The information available upon which to make the predictive judgements was manipulated through a combination of temporal occlusion of the display and selective occlusion or presentation of putative anticipatory cues. In addition to a capability to pick up advance information from the same cues used by intermediate and low-skilled players, highly skilled players demonstrated the additional, unique capability to pick up advance information from some specific early cues (especially bowling hand and arm cues) to which the less skilled players were not attuned. The acquisition of expert perceptual-motor skill appears to involve not only refinement of information extraction but also progression to the use of earlier, kinematically relevant sources of information.", "author" : [ { "dropping-particle" : "", "family" : "M\u00fcller", "given" : "Sean", "non-dropping-particle" : "", "parse-names" : false, "suffix" : "" }, { "dropping-particle" : "", "family" : "Abernethy", "given" : "Bruce", "non-dropping-particle" : "", "parse-names" : false, "suffix" : "" }, { "dropping-particle" : "", "family" : "Farrow", "given" : "Damian", "non-dropping-particle" : "", "parse-names" : false, "suffix" : "" } ], "container-title" : "Quarterly Journal of Experimental Psychology", "id" : "ITEM-1", "issue" : "12", "issued" : { "date-parts" : [ [ "2006", "12" ] ] }, "page" : "2162-86", "title" : "How do world-class cricket batsmen anticipate a bowler's intention?", "type" : "article-journal", "volume" : "59" }, "uris" : [ "http://www.mendeley.com/documents/?uuid=41f00468-8b8c-4fe1-94d3-28e1f61a18d8" ] } ], "mendeley" : { "formattedCitation" : "(M\u00fcller et al., 2006)", "plainTextFormattedCitation" : "(M\u00fcller et al., 2006)", "previouslyFormattedCitation" : "(M\u00fcller et al., 2006)"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(Müller et al., 2006)</w:t>
      </w:r>
      <w:r w:rsidRPr="00341B41">
        <w:rPr>
          <w:rFonts w:cs="Times New Roman"/>
        </w:rPr>
        <w:fldChar w:fldCharType="end"/>
      </w:r>
      <w:r w:rsidRPr="00341B41">
        <w:rPr>
          <w:rFonts w:cs="Times New Roman"/>
        </w:rPr>
        <w:t xml:space="preserve">, squash </w:t>
      </w:r>
      <w:r w:rsidRPr="00341B41">
        <w:rPr>
          <w:rFonts w:cs="Times New Roman"/>
        </w:rPr>
        <w:fldChar w:fldCharType="begin" w:fldLock="1"/>
      </w:r>
      <w:r w:rsidR="0019756D" w:rsidRPr="00341B41">
        <w:rPr>
          <w:rFonts w:cs="Times New Roman"/>
        </w:rPr>
        <w:instrText>ADDIN CSL_CITATION { "citationItems" : [ { "id" : "ITEM-1", "itemData" : { "ISSN" : "0301-0066", "PMID" : "2336337", "abstract" : "The visual search characteristics of expert and novice squash players were compared in two experiments. In the first experiment subjects were required to predict the forthcoming direction and force of an opponent's stroke from a film display. This film display was designed to simulate the normal display available to the defending player in squash and involved the use of variable temporal cut-offs to force the subjects to use advance cues in their prediction. Systematic differences in the information pick-up of the experts and novices were observed on the film task but these differences were achieved with only relatively minor between-group variations in visual search strategy. In the second experiment, set in the natural field setting, no expert-novice differences in either fixation distribution, order, or duration were observed on a comparable prediction task. This provided further support for the conclusion that the limiting factor in the perceptual performance of the novices is not an inappropriate search strategy but rather an inability to make full use of the information available from fixated display features. Some practical implications of these findings for the squash coach and player are considered.", "author" : [ { "dropping-particle" : "", "family" : "Abernethy", "given" : "Bruce", "non-dropping-particle" : "", "parse-names" : false, "suffix" : "" } ], "container-title" : "Perception", "id" : "ITEM-1", "issue" : "1", "issued" : { "date-parts" : [ [ "1990" ] ] }, "page" : "63-77", "title" : "Expertise, visual search, and information pick-up in squash.", "type" : "article-journal", "volume" : "19" }, "uris" : [ "http://www.mendeley.com/documents/?uuid=aced561f-d301-4960-b866-9d73c47cf268" ] } ], "mendeley" : { "formattedCitation" : "(Abernethy, 1990)", "plainTextFormattedCitation" : "(Abernethy, 1990)", "previouslyFormattedCitation" : "(Abernethy, 1990)"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(Abernethy, 1990)</w:t>
      </w:r>
      <w:r w:rsidRPr="00341B41">
        <w:rPr>
          <w:rFonts w:cs="Times New Roman"/>
        </w:rPr>
        <w:fldChar w:fldCharType="end"/>
      </w:r>
      <w:r w:rsidRPr="00341B41">
        <w:rPr>
          <w:rFonts w:cs="Times New Roman"/>
        </w:rPr>
        <w:t xml:space="preserve">, tennis </w:t>
      </w:r>
      <w:r w:rsidRPr="00341B41">
        <w:rPr>
          <w:rFonts w:cs="Times New Roman"/>
        </w:rPr>
        <w:fldChar w:fldCharType="begin" w:fldLock="1"/>
      </w:r>
      <w:r w:rsidR="0019756D" w:rsidRPr="00341B41">
        <w:rPr>
          <w:rFonts w:cs="Times New Roman"/>
        </w:rPr>
        <w:instrText>ADDIN CSL_CITATION { "citationItems" : [ { "id" : "ITEM-1", "itemData" : { "DOI" : "10.3200/JMBR.39.5.341-352", "ISBN" : "0022-2895", "ISSN" : "0022-2895", "PMID" : "17827112", "abstract" : "The authors examined 13 skilled, 13 recreational, and 11 novice players' awareness of the advance visual information that they used to judge tennis serve direction. Participants viewed video clips of serve actions under 5 conditions of spatial occlusion. The authors assessed participants' awareness by comparing the different groups' confidence associated with correct and incorrect judgments and by conducting a postexperiment free-recall test. The results indicated that information from the ball toss and the arm + racquet region underpinned players' anticipation skill and that greater expertise was accompained by increasing awareness of the information on which judgments were based. The authors discuss the implications of the present results for researchers' use of confidence ratings to assess awareness in perceptual-judgment tasks.", "author" : [ { "dropping-particle" : "", "family" : "Jackson", "given" : "Robin C", "non-dropping-particle" : "", "parse-names" : false, "suffix" : "" }, { "dropping-particle" : "", "family" : "Mogan", "given" : "Peter", "non-dropping-particle" : "", "parse-names" : false, "suffix" : "" } ], "container-title" : "Journal of Motor Behavior", "id" : "ITEM-1", "issue" : "5", "issued" : { "date-parts" : [ [ "2007" ] ] }, "page" : "341-351", "title" : "Advance visual information, awareness, and anticipation skill.", "type" : "article-journal", "volume" : "39" }, "uris" : [ "http://www.mendeley.com/documents/?uuid=320f9029-aa33-4fb2-8135-cca5c6fc2617" ] }, { "id" : "ITEM-2", "itemData" : { "DOI" : "10.5641/027013606X13080769705009", "ISBN" : "0270-1367", "ISSN" : "02701367", "PMID" : "17020077", "abstract" : "The purpose of this study was to determine the sources of visual information used by highly skilled tennis players in anticipating their opponent's shots. In Experiment 1, motion analysis of the strokes showed that the relative motion between the racquet and forearm was different between the ground strokes and lobs, but there were no reliable kinematic differences when shot direction was varied. In Experiment 2, 12 skilled tennis players observed the opponent hitting strokes in a normal video or in a point-light display with different segments occluded. Players' anticipation accuracy was not degraded by the use of the point-light display. Occluding the racquet and forearm significantly reduced the participant's ability to determine the type of stroke produced.", "author" : [ { "dropping-particle" : "", "family" : "Shim", "given" : "Jaeho", "non-dropping-particle" : "", "parse-names" : false, "suffix" : "" }, { "dropping-particle" : "", "family" : "Carlton", "given" : "Les G", "non-dropping-particle" : "", "parse-names" : false, "suffix" : "" }, { "dropping-particle" : "", "family" : "Kwon", "given" : "Young-Hoo", "non-dropping-particle" : "", "parse-names" : false, "suffix" : "" } ], "container-title" : "Research Quarterly for Exercise and Sport", "id" : "ITEM-2", "issue" : "3", "issued" : { "date-parts" : [ [ "2006" ] ] }, "page" : "326-339", "title" : "Perception of kinematic characteristics of tennis strokes for anticipating stroke type and direction.", "type" : "article-journal", "volume" : "77" }, "uris" : [ "http://www.mendeley.com/documents/?uuid=e4e6f789-19f0-494f-b952-b8cdce41eeee" ] } ], "mendeley" : { "formattedCitation" : "(Jackson &amp; Mogan, 2007; Shim, Carlton, &amp; Kwon, 2006)", "plainTextFormattedCitation" : "(Jackson &amp; Mogan, 2007; Shim, Carlton, &amp; Kwon, 2006)", "previouslyFormattedCitation" : "(Jackson &amp; Mogan, 2007; Shim, Carlton, &amp; Kwon, 2006)"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(Jackson &amp; Mogan, 2007; Shim, Carlton, &amp; Kwon, 2006)</w:t>
      </w:r>
      <w:r w:rsidRPr="00341B41">
        <w:rPr>
          <w:rFonts w:cs="Times New Roman"/>
        </w:rPr>
        <w:fldChar w:fldCharType="end"/>
      </w:r>
      <w:r w:rsidRPr="00341B41">
        <w:rPr>
          <w:rFonts w:cs="Times New Roman"/>
        </w:rPr>
        <w:t xml:space="preserve">, and fencing </w:t>
      </w:r>
      <w:r w:rsidRPr="00341B41">
        <w:rPr>
          <w:rFonts w:cs="Times New Roman"/>
        </w:rPr>
        <w:fldChar w:fldCharType="begin" w:fldLock="1"/>
      </w:r>
      <w:r w:rsidR="0019756D" w:rsidRPr="00341B41">
        <w:rPr>
          <w:rFonts w:cs="Times New Roman"/>
        </w:rPr>
        <w:instrText>ADDIN CSL_CITATION { "citationItems" : [ { "id" : "ITEM-1", "itemData" : { "DOI" : "10.3758/APP", "ISSN" : "1943-3921", "PMID" : "19304639", "abstract" : "The present study examined whether results of athletes\u2019 eye movements while they observe fencing attacks reflect their actual information pickup by comparing these results with others gained with temporal and spatial occlusion and cuing techniques. Fifteen top-ranking expert fencers, 15 advanced fencers, and 32 sport students predicted the target region of 405 fencing attacks on a computer monitor. Results of eye movement recordings showed a stronger foveal fixation on the opponent\u2019s trunk and weapon in the two fencer groups. Top-ranking expert fencers fixated particularly on the upper trunk. This matched their performance decrements in the spatial occlusion condition. However, when the upper trunk was occluded, participants also shifted eye movements to neighboring body regions. Adding cues to the video material had no positive effects on prediction performance. We conclude that gaze behavior does not necessarily represent information pickup, but that studies applying the spatial occlusion paradigm should also register eye movements to avoid underestimating the information contributed by occluded regions.", "author" : [ { "dropping-particle" : "", "family" : "Hagemann", "given" : "Norbert", "non-dropping-particle" : "", "parse-names" : false, "suffix" : "" }, { "dropping-particle" : "", "family" : "Schorer", "given" : "J\u00f6rg", "non-dropping-particle" : "", "parse-names" : false, "suffix" : "" }, { "dropping-particle" : "", "family" : "Canal-Bruland", "given" : "Rouwen", "non-dropping-particle" : "", "parse-names" : false, "suffix" : "" }, { "dropping-particle" : "", "family" : "Lotz", "given" : "Simone", "non-dropping-particle" : "", "parse-names" : false, "suffix" : "" }, { "dropping-particle" : "", "family" : "Strauss", "given" : "Bernd", "non-dropping-particle" : "", "parse-names" : false, "suffix" : "" } ], "container-title" : "Attention, Perception and Psychophysics", "id" : "ITEM-1", "issue" : "8", "issued" : { "date-parts" : [ [ "2010" ] ] }, "page" : "2204-2214", "title" : "Visual perception in fencing: Do the eye movements of fencers represent their information pickup?", "type" : "article-journal", "volume" : "72" }, "uris" : [ "http://www.mendeley.com/documents/?uuid=2810de6f-7ebb-4da0-8341-f02b12257c4d" ] } ], "mendeley" : { "formattedCitation" : "(Hagemann, Schorer, Canal-Bruland, Lotz, &amp; Strauss, 2010)", "plainTextFormattedCitation" : "(Hagemann, Schorer, Canal-Bruland, Lotz, &amp; Strauss, 2010)", "previouslyFormattedCitation" : "(Hagemann, Schorer, Canal-Bruland, Lotz, &amp; Strauss, 2010)"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(Hagemann, Schorer, Canal-Bruland, Lotz, &amp; Strauss, 2010)</w:t>
      </w:r>
      <w:r w:rsidRPr="00341B41">
        <w:rPr>
          <w:rFonts w:cs="Times New Roman"/>
        </w:rPr>
        <w:fldChar w:fldCharType="end"/>
      </w:r>
      <w:r w:rsidRPr="00341B41">
        <w:rPr>
          <w:rFonts w:cs="Times New Roman"/>
        </w:rPr>
        <w:t xml:space="preserve"> have yielded comparable results. </w:t>
      </w:r>
    </w:p>
    <w:p w14:paraId="6B4BD261" w14:textId="48FFC69E" w:rsidR="00B42DB7" w:rsidRPr="00341B41" w:rsidRDefault="00B42DB7" w:rsidP="00B42DB7">
      <w:pPr>
        <w:ind w:firstLine="720"/>
        <w:rPr>
          <w:rFonts w:cs="Times New Roman"/>
        </w:rPr>
      </w:pPr>
      <w:r w:rsidRPr="00341B41">
        <w:rPr>
          <w:rFonts w:cs="Times New Roman"/>
        </w:rPr>
        <w:t xml:space="preserve">The pick-up of relative motion is an essential component of anticipation in fast ball sports </w:t>
      </w:r>
      <w:r w:rsidRPr="00341B41">
        <w:fldChar w:fldCharType="begin" w:fldLock="1"/>
      </w:r>
      <w:r w:rsidR="0019756D" w:rsidRPr="00341B41">
        <w:instrText>ADDIN CSL_CITATION { "citationItems" : [ { "id" : "ITEM-1", "itemData" : { "DOI" : "10.1068/p2872", "ISBN" : "0301-0066", "ISSN" : "03010066", "PMID" : "11296504", "abstract" : "Two experiments were conducted on the nature of expert perception in the sport of squash. In the first experiment, ten expert and fifteen novice players attempted to predict the direction and force of squash strokes from either a film display (occluded at variable time periods before and after the opposing player had struck the ball) or a matched point-light display (containing only the basic kinematic features of the opponent's movement pattern). Experts out-performed the novices under both display conditions, and the same basic time windows that characterised expert and novice pick-up of information in the film task also persisted in the point-light task. This suggests that the experts' perceptual advantage is directly related to their superior pick-up of essential kinematic information. In the second experiment, the vision of six expert and six less skilled players was occluded by remotely triggered liquid-crystal spectacles at quasi-random intervals during simulated match play. Players were required to complete their current stroke even when the display was occluded and their prediction performance was assessed with respect to whether they moved to the correct half of the court to match the direction and depth of the opponent's stroke. Consistent with experiment 1, experts were found to be superior in their advance pick-up of both directional and depth information when the display was occluded during the opponent's hitting action. However, experts also remained better than chance, and clearly superior to less skilled players, in their prediction performance under conditions where occlusion occurred before any significant pre-contact preparatory movement by the opposing player was visible. This additional source of expert superiority is attributable to their superior attunement to the information contained in the situational probabilities and sequential dependences within their opponent's pattern of play.", "author" : [ { "dropping-particle" : "", "family" : "Abernethy", "given" : "Bruce", "non-dropping-particle" : "", "parse-names" : false, "suffix" : "" }, { "dropping-particle" : "", "family" : "Gill", "given" : "Danny P.", "non-dropping-particle" : "", "parse-names" : false, "suffix" : "" }, { "dropping-particle" : "", "family" : "Parks", "given" : "Sheri L.", "non-dropping-particle" : "", "parse-names" : false, "suffix" : "" }, { "dropping-particle" : "", "family" : "Packer", "given" : "Stephen T.", "non-dropping-particle" : "", "parse-names" : false, "suffix" : "" } ], "container-title" : "Perception", "id" : "ITEM-1", "issue" : "2", "issued" : { "date-parts" : [ [ "2001" ] ] }, "page" : "233-252", "title" : "Expertise and the perception of kinematic and situational probability information", "type" : "article-journal", "volume" : "30" }, "uris" : [ "http://www.mendeley.com/documents/?uuid=0ca36330-02f6-455a-94f6-00fec06ceb81" ] }, { "id" : "ITEM-2", "itemData" : { "DOI" : "10.1080/02701367.2002.10608997", "ISSN" : "0270-1367", "PMID" : "11926480", "author" : [ { "dropping-particle" : "", "family" : "Ward", "given" : "Paul", "non-dropping-particle" : "", "parse-names" : false, "suffix" : "" }, { "dropping-particle" : "", "family" : "Williams", "given" : "Andrew Mark", "non-dropping-particle" : "", "parse-names" : false, "suffix" : "" }, { "dropping-particle" : "", "family" : "Bennett", "given" : "Simon J", "non-dropping-particle" : "", "parse-names" : false, "suffix" : "" } ], "container-title" : "Research Quarterly for Exercise and Sport", "id" : "ITEM-2", "issue" : "1", "issued" : { "date-parts" : [ [ "2002", "3" ] ] }, "page" : "107-12", "title" : "Visual search and biological motion perception in tennis.", "type" : "article-journal", "volume" : "73" }, "uris" : [ "http://www.mendeley.com/documents/?uuid=13c57bb5-b53a-40ef-bfd0-7fbfeb457c8c" ] } ], "mendeley" : { "formattedCitation" : "(Abernethy, Gill, Parks, &amp; Packer, 2001; Ward, Williams, &amp; Bennett, 2002)", "plainTextFormattedCitation" : "(Abernethy, Gill, Parks, &amp; Packer, 2001; Ward, Williams, &amp; Bennett, 2002)", "previouslyFormattedCitation" : "(Abernethy, Gill, Parks, &amp; Packer, 2001; Ward, Williams, &amp; Bennett, 2002)" }, "properties" : { "noteIndex" : 0 }, "schema" : "https://github.com/citation-style-language/schema/raw/master/csl-citation.json" }</w:instrText>
      </w:r>
      <w:r w:rsidRPr="00341B41">
        <w:fldChar w:fldCharType="separate"/>
      </w:r>
      <w:r w:rsidR="0098293B" w:rsidRPr="00341B41">
        <w:rPr>
          <w:noProof/>
        </w:rPr>
        <w:t>(Abernethy, Gill, Parks, &amp; Packer, 2001; Ward, Williams, &amp; Bennett, 2002)</w:t>
      </w:r>
      <w:r w:rsidRPr="00341B41">
        <w:fldChar w:fldCharType="end"/>
      </w:r>
      <w:r w:rsidRPr="00341B41">
        <w:t xml:space="preserve">. </w:t>
      </w:r>
      <w:r w:rsidRPr="00341B41">
        <w:rPr>
          <w:rFonts w:cs="Times New Roman"/>
        </w:rPr>
        <w:t xml:space="preserve">Rather than simply extracting information from an isolated area (as is tested in the spatial occlusion paradigm), expert players anticipate the actions of an opponent based on their perception of relative motion between specific kinematic features. Several studies have looked at expert anticipation skill when the action is presented as purely kinematic information, via a point-light display. This sort of stimuli is created by recording a player </w:t>
      </w:r>
      <w:r w:rsidRPr="00341B41">
        <w:rPr>
          <w:rFonts w:cs="Times New Roman"/>
        </w:rPr>
        <w:lastRenderedPageBreak/>
        <w:t xml:space="preserve">performing an action using a motion capture system. All superficial information is then removed, with just the motion information remaining. When using point-light displays, expert players maintain an advantage in terms of anticipation accuracy compared with novices </w:t>
      </w:r>
      <w:r w:rsidRPr="00341B41">
        <w:rPr>
          <w:rFonts w:cs="Times New Roman"/>
        </w:rPr>
        <w:fldChar w:fldCharType="begin" w:fldLock="1"/>
      </w:r>
      <w:r w:rsidR="0019756D" w:rsidRPr="00341B41">
        <w:rPr>
          <w:rFonts w:cs="Times New Roman"/>
        </w:rPr>
        <w:instrText>ADDIN CSL_CITATION { "citationItems" : [ { "id" : "ITEM-1", "itemData" : { "DOI" : "10.1080/02701367.2002.10608997", "ISSN" : "0270-1367", "PMID" : "11926480", "author" : [ { "dropping-particle" : "", "family" : "Ward", "given" : "Paul", "non-dropping-particle" : "", "parse-names" : false, "suffix" : "" }, { "dropping-particle" : "", "family" : "Williams", "given" : "Andrew Mark", "non-dropping-particle" : "", "parse-names" : false, "suffix" : "" }, { "dropping-particle" : "", "family" : "Bennett", "given" : "Simon J", "non-dropping-particle" : "", "parse-names" : false, "suffix" : "" } ], "container-title" : "Research Quarterly for Exercise and Sport", "id" : "ITEM-1", "issue" : "1", "issued" : { "date-parts" : [ [ "2002", "3" ] ] }, "page" : "107-12", "title" : "Visual search and biological motion perception in tennis.", "type" : "article-journal", "volume" : "73" }, "uris" : [ "http://www.mendeley.com/documents/?uuid=13c57bb5-b53a-40ef-bfd0-7fbfeb457c8c" ] } ], "mendeley" : { "formattedCitation" : "(Ward et al., 2002)", "plainTextFormattedCitation" : "(Ward et al., 2002)", "previouslyFormattedCitation" : "(Ward et al., 2002)"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(Ward et al., 2002)</w:t>
      </w:r>
      <w:r w:rsidRPr="00341B41">
        <w:rPr>
          <w:rFonts w:cs="Times New Roman"/>
        </w:rPr>
        <w:fldChar w:fldCharType="end"/>
      </w:r>
      <w:r w:rsidRPr="00341B41">
        <w:rPr>
          <w:rFonts w:cs="Times New Roman"/>
        </w:rPr>
        <w:t xml:space="preserve">. </w:t>
      </w:r>
    </w:p>
    <w:p w14:paraId="62F7F1A6" w14:textId="17DEB226" w:rsidR="00B42DB7" w:rsidRPr="00341B41" w:rsidRDefault="00B42DB7" w:rsidP="00B42DB7">
      <w:pPr>
        <w:ind w:firstLine="720"/>
        <w:rPr>
          <w:rFonts w:cs="Times New Roman"/>
        </w:rPr>
      </w:pPr>
      <w:r w:rsidRPr="00341B41">
        <w:rPr>
          <w:rFonts w:cs="Times New Roman"/>
        </w:rPr>
        <w:t xml:space="preserve">In a series of studies focusing on tennis, point-light display stimuli were used in conjunction with techniques from the spatial occlusion paradigm. They manipulated the kinematics of the action by occluding or neutralising biological motion at a certain body region, or interchanging them with kinematics of shots played from the opposite side of the court. Generally, it was found that whilst racket-arm movement is sufficient to accurately anticipate tennis shot direction, expert players are also able to extract anticipatory cues from other body areas such as the shoulders, trunk, and legs </w:t>
      </w:r>
      <w:r w:rsidRPr="00341B41">
        <w:rPr>
          <w:rFonts w:cs="Times New Roman"/>
        </w:rPr>
        <w:fldChar w:fldCharType="begin" w:fldLock="1"/>
      </w:r>
      <w:r w:rsidR="0019756D" w:rsidRPr="00341B41">
        <w:rPr>
          <w:rFonts w:cs="Times New Roman"/>
        </w:rPr>
        <w:instrText>ADDIN CSL_CITATION { "citationItems" : [ { "id" : "ITEM-1", "itemData" : { "DOI" : "10.1027/1618-3169/a000038", "ISSN" : "1618-3169", "PMID" : "20178941", "abstract" : "It is not clear whether the critical features used to discriminate movements are identical to those involved in predicting the same movement's effects and consequently, whether the mechanisms underlying recognition and anticipation differ. We examined whether people rely on different kinematic information when required to recognize differences in the movement pattern in comparison to when they have to anticipate the outcome of these same movements. Na\u00efve participants were presented with paired presentations of point-light animated tennis shots that ended at racket-ball contact. We instructed them either to judge whether the movements observed were the same or different or to predict shot direction (left vs. right). In addition, we locally manipulated the kinematics of point-light figures in an effort to identify the critical features used when making recognition and anticipation judgments. It appears that observers rely on different sources of information when required to recognize movement differences compared to when they need to anticipate the outcome of the same observed movements. Findings are discussed with reference to recent ideas focusing on the role of perceptual and motor resonance in perceptual judgments.", "author" : [ { "dropping-particle" : "", "family" : "Ca\u00f1al-Bruland", "given" : "Rouwen", "non-dropping-particle" : "", "parse-names" : false, "suffix" : "" }, { "dropping-particle" : "", "family" : "Williams", "given" : "Andrew Mark", "non-dropping-particle" : "", "parse-names" : false, "suffix" : "" } ], "container-title" : "Experimental Psychology", "id" : "ITEM-1", "issue" : "4", "issued" : { "date-parts" : [ [ "2010" ] ] }, "page" : "320-6", "title" : "Recognizing and predicting movement effects: identifying critical movement features.", "type" : "article-journal", "volume" : "57" }, "uris" : [ "http://www.mendeley.com/documents/?uuid=e87d0a97-4fec-4331-93b2-0da4a090ff8c" ] }, { "id" : "ITEM-2", "itemData" : { "DOI" : "10.3200/JMBR.41.2.158-171", "ISSN" : "0022-2895", "PMID" : "19201686", "abstract" : "The authors examined the importance of local dynamical information when anticipating tennis shot direction. In separate experiments, they occluded the arm and racket, shoulders, hips, trunk, and legs and locally neutralized dynamical differences between shot directions, respectively. The authors examined the impact of these manipulations on resulting (display) dynamics and the ability of participants with varying perceptual skills to anticipate shot direction. The occlusion manipulation affected the display dynamics to a larger extent than did the neutralization manipulation. Although the authors observed a decrement in performance when local information from the arm and racket was occluded or neutralized and when information from the trunk and legs was neutralized, the results generally suggest that participants anticipated shot direction through a more global perceptual approach, particularly in perceptually skilled participants.", "author" : [ { "dropping-particle" : "", "family" : "Huys", "given" : "Raoul", "non-dropping-particle" : "", "parse-names" : false, "suffix" : "" }, { "dropping-particle" : "", "family" : "Ca\u00f1al-Bruland", "given" : "Rouwen", "non-dropping-particle" : "", "parse-names" : false, "suffix" : "" }, { "dropping-particle" : "", "family" : "Hagemann", "given" : "N", "non-dropping-particle" : "", "parse-names" : false, "suffix" : "" }, { "dropping-particle" : "", "family" : "Beek", "given" : "Peter J", "non-dropping-particle" : "", "parse-names" : false, "suffix" : "" }, { "dropping-particle" : "", "family" : "Smeeton", "given" : "Nicholas J", "non-dropping-particle" : "", "parse-names" : false, "suffix" : "" }, { "dropping-particle" : "", "family" : "Williams", "given" : "Andrew Mark", "non-dropping-particle" : "", "parse-names" : false, "suffix" : "" } ], "container-title" : "Journal of Motor Behaviour", "id" : "ITEM-2", "issue" : "2", "issued" : { "date-parts" : [ [ "2009", "3" ] ] }, "page" : "158-71", "title" : "Global information pickup underpins anticipation of tennis shot direction.", "type" : "article-journal", "volume" : "41" }, "uris" : [ "http://www.mendeley.com/documents/?uuid=918cfc33-8edd-4bb1-89bd-0e26435768cc" ] }, { "id" : "ITEM-3", "itemData" : { "DOI" : "10.1016/j.humov.2008.10.006", "ISBN" : "1872-7646 (Electronic)\\r0167-9457 (Linking)", "ISSN" : "01679457", "PMID" : "19081648", "abstract" : "We examined the mechanisms underpinning anticipation of ground strokes in tennis by perturbing the dynamical information presented at different body regions (+ racket). We interchanged the dynamics at selected regions with those from strokes played to the opposite side of the court. Skilled and less skilled tennis players were required to anticipate stroke direction when presented with filmed sequences in stick figure format. There was a significant Skill \u00d7 Condition interaction. Skilled players reported lower accuracy scores when both proximal (i.e., shoulders, hips, and legs) and distal (i.e., arm + racket) cues were interchanged, whereas the less skilled players showed a significant decrement only in the arm + racket condition. Findings suggest that skilled players rely on a more 'global' than 'local' perceptual strategy. The greatest decrement in performance and lowest response accuracy scores were reported in the arm + racket condition, highlighting the importance of end-effector information when anticipating opponents' intentions. \u00a9 2008 Elsevier B.V. All rights reserved.", "author" : [ { "dropping-particle" : "", "family" : "Williams", "given" : "Andrew Mark", "non-dropping-particle" : "", "parse-names" : false, "suffix" : "" }, { "dropping-particle" : "", "family" : "Huys", "given" : "Raoul", "non-dropping-particle" : "", "parse-names" : false, "suffix" : "" }, { "dropping-particle" : "", "family" : "Ca\u00f1al-Bruland", "given" : "Rouwen", "non-dropping-particle" : "", "parse-names" : false, "suffix" : "" }, { "dropping-particle" : "", "family" : "Hagemann", "given" : "Norbert", "non-dropping-particle" : "", "parse-names" : false, "suffix" : "" } ], "container-title" : "Human Movement Science", "id" : "ITEM-3", "issue" : "3", "issued" : { "date-parts" : [ [ "2009" ] ] }, "page" : "362-370", "title" : "The dynamical information underpinning anticipation skill", "type" : "article-journal", "volume" : "28" }, "uris" : [ "http://www.mendeley.com/documents/?uuid=435d06fb-f876-4f89-9160-59e4d9321a92" ] } ], "mendeley" : { "formattedCitation" : "(Ca\u00f1al-Bruland &amp; Williams, 2010; Huys et al., 2009; Williams, Huys, Ca\u00f1al-Bruland, &amp; Hagemann, 2009)", "manualFormatting" : "(Ca\u00f1al-Bruland &amp; Williams, 2010; Huys et al., 2009; Williams, Huys, Ca\u00f1al-Bruland, &amp; Hagemann, 2009)", "plainTextFormattedCitation" : "(Ca\u00f1al-Bruland &amp; Williams, 2010; Huys et al., 2009; Williams, Huys, Ca\u00f1al-Bruland, &amp; Hagemann, 2009)", "previouslyFormattedCitation" : "(Ca\u00f1al-Bruland &amp; Williams, 2010; Huys et al., 2009; Williams, Huys, Ca\u00f1al-Bruland, &amp; Hagemann, 2009)" }, "properties" : { "noteIndex" : 0 }, "schema" : "https://github.com/citation-style-language/schema/raw/master/csl-citation.json" }</w:instrText>
      </w:r>
      <w:r w:rsidRPr="00341B41">
        <w:rPr>
          <w:rFonts w:cs="Times New Roman"/>
        </w:rPr>
        <w:fldChar w:fldCharType="separate"/>
      </w:r>
      <w:r w:rsidRPr="00341B41">
        <w:rPr>
          <w:rFonts w:cs="Times New Roman"/>
          <w:noProof/>
        </w:rPr>
        <w:t>(Cañal-Bruland &amp; Williams, 2010; Huys et al., 2009; Williams, Huys, Cañal-Bruland, &amp; Hagemann, 2009)</w:t>
      </w:r>
      <w:r w:rsidRPr="00341B41">
        <w:rPr>
          <w:rFonts w:cs="Times New Roman"/>
        </w:rPr>
        <w:fldChar w:fldCharType="end"/>
      </w:r>
      <w:r w:rsidRPr="00341B41">
        <w:rPr>
          <w:rFonts w:cs="Times New Roman"/>
        </w:rPr>
        <w:t xml:space="preserve">. </w:t>
      </w:r>
    </w:p>
    <w:p w14:paraId="29808EA5" w14:textId="7288730E" w:rsidR="00B42DB7" w:rsidRPr="00341B41" w:rsidRDefault="00B42DB7" w:rsidP="00B42DB7">
      <w:pPr>
        <w:ind w:firstLine="720"/>
        <w:rPr>
          <w:rFonts w:cs="Times New Roman"/>
        </w:rPr>
      </w:pPr>
      <w:r w:rsidRPr="00341B41">
        <w:rPr>
          <w:rFonts w:cs="Times New Roman"/>
        </w:rPr>
        <w:t xml:space="preserve">As kinematic cues in a player’s action can be successfully used by an opponent to anticipate, it would be expected that in competitive situations players will make deliberate efforts to disguise their intentions and/or actively deceive opponents. This may potentially lead to failure of level 1 SA, because the anticipating player will be unable to detect the available kinematic cues. Studies of the effect of disguise on anticipation generally show that experts are still able to anticipate disguised shots more accurately than novices, and there is mixed evidence that experts are less accurate at anticipating disguised shots compared to undisguised ones. One of the earlies studies of disguise in hockey penalty shot taking found no evidence that disguise influenced performance of goalkeepers’ ability to anticipate shot direction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"Lyle", "given" : "J", "non-dropping-particle" : "", "parse-names" : false, "suffix" : "" }, { "dropping-particle" : "", "family" : "Cook", "given" : "M", "non-dropping-particle" : "", "parse-names" : false, "suffix" : "" } ], "container-title" : "Momentum", "id" : "ITEM-1", "issue" : "1", "issued" : { "date-parts" : [ [ "1984" ] ] }, "page" : "20-25", "title" : "Non-verbal cues and decision making in games", "type" : "article-journal", "volume" : "9" }, "uris" : [ "http://www.mendeley.com/documents/?uuid=f50738f5-17b8-4a7d-b9c8-b62ecbfe9e33" ] } ], "mendeley" : { "formattedCitation" : "(Lyle &amp; Cook, 1984)", "plainTextFormattedCitation" : "(Lyle &amp; Cook, 1984)", "previouslyFormattedCitation" : "(Lyle &amp; Cook, 1984)"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(Lyle &amp; Cook, 1984)</w:t>
      </w:r>
      <w:r w:rsidRPr="00341B41">
        <w:rPr>
          <w:rFonts w:cs="Times New Roman"/>
        </w:rPr>
        <w:fldChar w:fldCharType="end"/>
      </w:r>
      <w:r w:rsidRPr="00341B41">
        <w:rPr>
          <w:rFonts w:cs="Times New Roman"/>
        </w:rPr>
        <w:t xml:space="preserve">. In another study, skilled and unskilled football goalkeepers had to anticipate penalty kick direction in players whose uniforms had </w:t>
      </w:r>
      <w:r w:rsidRPr="00341B41">
        <w:rPr>
          <w:rFonts w:cs="Times New Roman"/>
        </w:rPr>
        <w:lastRenderedPageBreak/>
        <w:t xml:space="preserve">been designed to disguise kinematic cues </w:t>
      </w:r>
      <w:r w:rsidRPr="00341B41">
        <w:rPr>
          <w:rFonts w:cs="Times New Roman"/>
        </w:rPr>
        <w:fldChar w:fldCharType="begin" w:fldLock="1"/>
      </w:r>
      <w:r w:rsidR="0019756D" w:rsidRPr="00341B41">
        <w:rPr>
          <w:rFonts w:cs="Times New Roman"/>
        </w:rPr>
        <w:instrText>ADDIN CSL_CITATION { "citationItems" : [ { "id" : "ITEM-1", "itemData" : { "DOI" : "http://dx.doi.org/10.1123/jsep.2014-0200", "ISBN" : "0895-2779", "ISSN" : "08952779", "PMID" : "25730893", "abstract" : "A number of novel manipulations to the design of playing uniforms were used to try to disguise the actions of penalty takers in soccer. Skilled and less-skilled soccer goalkeepers were required to anticipate penalty kick outcome while their opponent wore one of three different uniform designs that were intended to disguise the availability of potentially key information from the hip region. Variations of shapes/patterns were designed to conceal the actual alignment of the hips. Three occlusion points were used in the test film: -160 ms, -80 ms before, and at foot-ball contact. Skilled individuals reported higher accuracy scores than their less-skilled counterparts (p &lt; .05). There were no performance decrements for the less-skilled group across the different uniform conditions (p &gt; .05); however, the skilled group decreased their accuracy on the experimental conditions compared with the control (p &lt; .05). Findings highlight the potential benefits of designing playing uniforms that facilitate disguise in sport. ABSTRACT FROM AUTHOR", "author" : [ { "dropping-particle" : "", "family" : "Causer", "given" : "Joe", "non-dropping-particle" : "", "parse-names" : false, "suffix" : "" }, { "dropping-particle" : "", "family" : "Williams", "given" : "Andrew Mark", "non-dropping-particle" : "", "parse-names" : false, "suffix" : "" } ], "container-title" : "Journal of Sport &amp; Exercise Psychology", "id" : "ITEM-1", "issue" : "1", "issued" : { "date-parts" : [ [ "2015" ] ] }, "page" : "74-82", "title" : "The Use of Patterns to Disguise Environmental Cues During an Anticipatory Judgment Task.", "type" : "article-journal", "volume" : "37" }, "uris" : [ "http://www.mendeley.com/documents/?uuid=c9010f22-4b62-456e-905f-be57927c3780" ] } ], "mendeley" : { "formattedCitation" : "(Causer &amp; Williams, 2015)", "manualFormatting" : "(Causer &amp; Williams, 2015)", "plainTextFormattedCitation" : "(Causer &amp; Williams, 2015)", "previouslyFormattedCitation" : "(Causer &amp; Williams, 2015)" }, "properties" : { "noteIndex" : 0 }, "schema" : "https://github.com/citation-style-language/schema/raw/master/csl-citation.json" }</w:instrText>
      </w:r>
      <w:r w:rsidRPr="00341B41">
        <w:rPr>
          <w:rFonts w:cs="Times New Roman"/>
        </w:rPr>
        <w:fldChar w:fldCharType="separate"/>
      </w:r>
      <w:r w:rsidRPr="00341B41">
        <w:rPr>
          <w:rFonts w:cs="Times New Roman"/>
          <w:noProof/>
        </w:rPr>
        <w:t>(Causer &amp; Williams, 2015)</w:t>
      </w:r>
      <w:r w:rsidRPr="00341B41">
        <w:rPr>
          <w:rFonts w:cs="Times New Roman"/>
        </w:rPr>
        <w:fldChar w:fldCharType="end"/>
      </w:r>
      <w:r w:rsidRPr="00341B41">
        <w:rPr>
          <w:rFonts w:cs="Times New Roman"/>
        </w:rPr>
        <w:t xml:space="preserve">. They showed that whilst the skilled goalkeepers were more accurate than the unskilled goalkeepers, only the skilled players showed decreased accuracy in trials with the disguised uniforms compared to undisguised, suggesting that disguising the kinematic cues of an action can reduce anticipation accuracy, presumably due to a failure of level 1 SA, as the cues necessary to anticipate cannot be identified. </w:t>
      </w:r>
    </w:p>
    <w:p w14:paraId="2D976CE1" w14:textId="151FC58D" w:rsidR="00B42DB7" w:rsidRPr="00341B41" w:rsidRDefault="00B42DB7" w:rsidP="00B42DB7">
      <w:pPr>
        <w:ind w:firstLine="720"/>
        <w:rPr>
          <w:rFonts w:cs="Times New Roman"/>
        </w:rPr>
      </w:pPr>
      <w:r w:rsidRPr="00341B41">
        <w:rPr>
          <w:rFonts w:cs="Times New Roman"/>
        </w:rPr>
        <w:t xml:space="preserve">In a study of disguise in tennis using 5 occlusion points, expert player’s anticipation performance was disrupted by disguise in trials -40ms before racket-ball contact, but not in trials -80ms before racket-ball contact. This may suggest that earlier cues are harder to disguise than later ones. Despite this disruption, expert players maintained superior performance over novices in all conditions </w:t>
      </w:r>
      <w:r w:rsidRPr="00341B41">
        <w:rPr>
          <w:rFonts w:cs="Times New Roman"/>
        </w:rPr>
        <w:fldChar w:fldCharType="begin" w:fldLock="1"/>
      </w:r>
      <w:r w:rsidR="0019756D" w:rsidRPr="00341B41">
        <w:rPr>
          <w:rFonts w:cs="Times New Roman"/>
        </w:rPr>
        <w:instrText>ADDIN CSL_CITATION { "citationItems" : [ { "id" : "ITEM-1", "itemData" : { "DOI" : "10.1080/10413200902785811", "ISSN" : "1041-3200", "author" : [ { "dropping-particle" : "", "family" : "Rowe", "given" : "Richard", "non-dropping-particle" : "", "parse-names" : false, "suffix" : "" }, { "dropping-particle" : "", "family" : "Horswill", "given" : "Mark S.", "non-dropping-particle" : "", "parse-names" : false, "suffix" : "" }, { "dropping-particle" : "", "family" : "Kronvall-Parkinson", "given" : "Mette", "non-dropping-particle" : "", "parse-names" : false, "suffix" : "" }, { "dropping-particle" : "", "family" : "Poulter", "given" : "Damian R.", "non-dropping-particle" : "", "parse-names" : false, "suffix" : "" }, { "dropping-particle" : "", "family" : "McKenna", "given" : "Frank P.", "non-dropping-particle" : "", "parse-names" : false, "suffix" : "" } ], "container-title" : "Journal of Applied Sport Psychology", "id" : "ITEM-1", "issue" : "2", "issued" : { "date-parts" : [ [ "2009" ] ] }, "page" : "178-185", "title" : "The Effect of Disguise on Novice and Expert Tennis Players\u2019 Anticipation Ability", "type" : "article-journal", "volume" : "21" }, "uris" : [ "http://www.mendeley.com/documents/?uuid=abe5db58-f10e-46ff-919e-c1dd0e743ba3" ] } ], "mendeley" : { "formattedCitation" : "(Rowe, Horswill, Kronvall-Parkinson, Poulter, &amp; McKenna, 2009)", "plainTextFormattedCitation" : "(Rowe, Horswill, Kronvall-Parkinson, Poulter, &amp; McKenna, 2009)", "previouslyFormattedCitation" : "(Rowe, Horswill, Kronvall-Parkinson, Poulter, &amp; McKenna, 2009)"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(Rowe, Horswill, Kronvall-Parkinson, Poulter, &amp; McKenna, 2009)</w:t>
      </w:r>
      <w:r w:rsidRPr="00341B41">
        <w:rPr>
          <w:rFonts w:cs="Times New Roman"/>
        </w:rPr>
        <w:fldChar w:fldCharType="end"/>
      </w:r>
      <w:r w:rsidRPr="00341B41">
        <w:rPr>
          <w:rFonts w:cs="Times New Roman"/>
        </w:rPr>
        <w:t xml:space="preserve">. </w:t>
      </w:r>
    </w:p>
    <w:p w14:paraId="5D195D89" w14:textId="7C6A2472" w:rsidR="00B42DB7" w:rsidRPr="00341B41" w:rsidRDefault="00B42DB7" w:rsidP="00B42DB7">
      <w:pPr>
        <w:ind w:firstLine="720"/>
      </w:pPr>
      <w:r w:rsidRPr="00341B41">
        <w:rPr>
          <w:rFonts w:cs="Times New Roman"/>
        </w:rPr>
        <w:t xml:space="preserve">A of deliberate deception in rugby found that only </w:t>
      </w:r>
      <w:r w:rsidR="00C41443" w:rsidRPr="00341B41">
        <w:rPr>
          <w:rFonts w:cs="Times New Roman"/>
        </w:rPr>
        <w:t>in novices was</w:t>
      </w:r>
      <w:r w:rsidRPr="00341B41">
        <w:rPr>
          <w:rFonts w:cs="Times New Roman"/>
        </w:rPr>
        <w:t xml:space="preserve"> performance was diminished during </w:t>
      </w:r>
      <w:r w:rsidR="00C41443" w:rsidRPr="00341B41">
        <w:rPr>
          <w:rFonts w:cs="Times New Roman"/>
        </w:rPr>
        <w:t xml:space="preserve">deceptive trials. Experts </w:t>
      </w:r>
      <w:r w:rsidRPr="00341B41">
        <w:rPr>
          <w:rFonts w:cs="Times New Roman"/>
        </w:rPr>
        <w:t xml:space="preserve">showed similar anticipation performance in both deception and non-deception trials </w:t>
      </w:r>
      <w:r w:rsidRPr="00341B41">
        <w:rPr>
          <w:rFonts w:cs="Times New Roman"/>
        </w:rPr>
        <w:fldChar w:fldCharType="begin" w:fldLock="1"/>
      </w:r>
      <w:r w:rsidR="0019756D" w:rsidRPr="00341B41">
        <w:rPr>
          <w:rFonts w:cs="Times New Roman"/>
        </w:rPr>
        <w:instrText>ADDIN CSL_CITATION { "citationItems" : [ { "id" : "ITEM-1", "itemData" : { "DOI" : "10.1016/j.actpsy.2006.02.002", "ISSN" : "0001-6918", "PMID" : "16546104", "abstract" : "The ability to detect deceptive movement was examined in skilled and novice rugby players. Participants (14 per group) attempted to predict direction change from video of expert and recreational rugby players changing direction with and without deceptive movement. Confidence associated with judgments was recorded on each trial to seek evidence regarding use of inferential (heuristic-based) and direct-perceptual (invariant-based) judgments. Novices were found to be susceptible to deceptive movement whereas skilled participants were not; however, both skilled and novice participants were more confident on trials containing deceptive movement. The data suggest that the skill-level difference in sensitivity to advance visual information extends to deceptive information. The implications of this finding, and the importance of considering the underlying process of anticipation skill, are discussed.", "author" : [ { "dropping-particle" : "", "family" : "Jackson", "given" : "Robin C", "non-dropping-particle" : "", "parse-names" : false, "suffix" : "" }, { "dropping-particle" : "", "family" : "Warren", "given" : "Simon", "non-dropping-particle" : "", "parse-names" : false, "suffix" : "" }, { "dropping-particle" : "", "family" : "Abernethy", "given" : "Bruce", "non-dropping-particle" : "", "parse-names" : false, "suffix" : "" } ], "container-title" : "Acta Psychologica", "id" : "ITEM-1", "issue" : "3", "issued" : { "date-parts" : [ [ "2006", "11" ] ] }, "page" : "355-71", "title" : "Anticipation skill and susceptibility to deceptive movement.", "type" : "article-journal", "volume" : "123" }, "uris" : [ "http://www.mendeley.com/documents/?uuid=1e6eb47d-73e7-4b5b-9ad4-9172468a8de2" ] } ], "mendeley" : { "formattedCitation" : "(Jackson et al., 2006)", "plainTextFormattedCitation" : "(Jackson et al., 2006)", "previouslyFormattedCitation" : "(Jackson et al., 2006)"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(Jackson et al., 2006)</w:t>
      </w:r>
      <w:r w:rsidRPr="00341B41">
        <w:rPr>
          <w:rFonts w:cs="Times New Roman"/>
        </w:rPr>
        <w:fldChar w:fldCharType="end"/>
      </w:r>
      <w:r w:rsidRPr="00341B41">
        <w:rPr>
          <w:rFonts w:cs="Times New Roman"/>
        </w:rPr>
        <w:t xml:space="preserve">. </w:t>
      </w:r>
      <w:proofErr w:type="gramStart"/>
      <w:r w:rsidRPr="00341B41">
        <w:rPr>
          <w:rFonts w:cs="Times New Roman"/>
        </w:rPr>
        <w:t>These lack of differences</w:t>
      </w:r>
      <w:proofErr w:type="gramEnd"/>
      <w:r w:rsidRPr="00341B41">
        <w:rPr>
          <w:rFonts w:cs="Times New Roman"/>
        </w:rPr>
        <w:t xml:space="preserve"> were explained based on an expert player’s ‘global’ perceptual strategy, which has within it a degree of flexibility. Being able to use multiple cues means that if one potential source displays a deliberately deceptive move, other cues can be focused upon instead.</w:t>
      </w:r>
      <w:r w:rsidRPr="00341B41">
        <w:t xml:space="preserve"> </w:t>
      </w:r>
    </w:p>
    <w:p w14:paraId="64774EF3" w14:textId="0F279FC8" w:rsidR="00B42DB7" w:rsidRPr="00341B41" w:rsidRDefault="00B42DB7" w:rsidP="00B42DB7">
      <w:pPr>
        <w:ind w:firstLine="720"/>
      </w:pPr>
      <w:r w:rsidRPr="00341B41">
        <w:t xml:space="preserve">A large body of evidence exists that shows the comprehension of kinematic cues present in an opposing player is critical in expert action anticipation. This has been shown in designs such as temporal and spatial occlusion, where information available to participants is restricted. Furthermore, evidence shows that the disguise of cues can disrupt </w:t>
      </w:r>
      <w:r w:rsidRPr="00341B41">
        <w:lastRenderedPageBreak/>
        <w:t>anticipation perfo</w:t>
      </w:r>
      <w:r w:rsidR="00093870" w:rsidRPr="00341B41">
        <w:t>rmance This provides</w:t>
      </w:r>
      <w:r w:rsidRPr="00341B41">
        <w:t xml:space="preserve"> further evidence that expert players readily use kinematic cue information. Finally, expert players are still able to anticipate successfully based on pure biological motion information, suggesting again that kinematic cues are crucial in action anticipation.</w:t>
      </w:r>
    </w:p>
    <w:p w14:paraId="22B5D7E5" w14:textId="615EDD41" w:rsidR="00B42DB7" w:rsidRPr="00341B41" w:rsidRDefault="00B42DB7" w:rsidP="00B42DB7">
      <w:pPr>
        <w:pStyle w:val="Heading3"/>
      </w:pPr>
      <w:bookmarkStart w:id="18" w:name="_Toc486260834"/>
      <w:r w:rsidRPr="00341B41">
        <w:t>1.4.3.</w:t>
      </w:r>
      <w:r w:rsidRPr="00341B41">
        <w:tab/>
        <w:t>Use of probabilities and expectations</w:t>
      </w:r>
      <w:bookmarkEnd w:id="18"/>
    </w:p>
    <w:p w14:paraId="74EF6644" w14:textId="2416D308" w:rsidR="00B42DB7" w:rsidRPr="00341B41" w:rsidRDefault="00B42DB7" w:rsidP="00B42DB7">
      <w:r w:rsidRPr="00341B41">
        <w:t xml:space="preserve">Throughout the career of an athlete, they will likely face similar match-play situations hundreds or thousands of times. There is evidence that expert athletes are able to call upon this wealth of experience and anticipate the outcome of a scenario based upon their understanding of the relative probabilities of different possible outcomes occurring. This ideas fits with theories that the brain predicts upcoming events based on both the statistical distribution of likely event probabilities combined with incoming sensory information </w:t>
      </w:r>
      <w:r w:rsidRPr="00341B41">
        <w:fldChar w:fldCharType="begin" w:fldLock="1"/>
      </w:r>
      <w:r w:rsidR="00FF77FE" w:rsidRPr="00341B41">
        <w:instrText>ADDIN CSL_CITATION { "citationItems" : [ { "id" : "ITEM-1", "itemData" : { "DOI" : "10.3389/fnhum.2012.00291", "ISSN" : "1662-5161", "PMID" : "23125827", "abstract" : "Sensorimotor control is thought to rely on predictive internal models in order to cope efficiently with uncertain environments. Recently, it has been shown that humans not only learn different internal models for different tasks, but that they also extract common structure between tasks. This raises the question of how the motor system selects between different structures or models, when each model can be associated with a range of different task-specific parameters. Here we design a sensorimotor task that requires subjects to compensate visuomotor shifts in a three-dimensional virtual reality setup, where one of the dimensions can be mapped to a model variable and the other dimension to the parameter variable. By introducing probe trials that are neutral in the parameter dimension, we can directly test for model selection. We found that model selection procedures based on Bayesian statistics provided a better explanation for subjects' choice behavior than simple non-probabilistic heuristics. Our experimental design lends itself to the general study of model selection in a sensorimotor context as it allows to separately query model and parameter variables from subjects.", "author" : [ { "dropping-particle" : "", "family" : "Genewein", "given" : "Tim", "non-dropping-particle" : "", "parse-names" : false, "suffix" : "" }, { "dropping-particle" : "", "family" : "Braun", "given" : "Daniel a.", "non-dropping-particle" : "", "parse-names" : false, "suffix" : "" } ], "container-title" : "Frontiers in Human Neuroscience", "id" : "ITEM-1", "issue" : "October", "issued" : { "date-parts" : [ [ "2012" ] ] }, "page" : "1-16", "title" : "A sensorimotor paradigm for Bayesian model selection", "type" : "article-journal", "volume" : "6" }, "uris" : [ "http://www.mendeley.com/documents/?uuid=cd006aa6-f53a-4ca6-b80a-cf3b85fd9731" ] }, { "id" : "ITEM-2", "itemData" : { "DOI" : "10.1371/journal.pcbi.1004369", "ISBN" : "1553734X", "ISSN" : "15537358", "PMID" : "26305797", "abstract" : "Previous studies have shown that sensorimotor processing can often be described by Bayesian learning, in particular the integration of prior and feedback information depending on its degree of reliability. Here we test the hypothesis that the integration process itself can be tuned to the statistical structure of the environment. We exposed human participants to a reaching task in a three-dimensional virtual reality environment where we could displace the visual feedback of their hand position in a two dimensional plane. When introducing statistical structure between the two dimensions of the displacement, we found that over the course of several days participants adapted their feedback integration process in order to exploit this structure for performance improvement. In control experiments we found that this adaptation process critically depended on performance feedback and could not be induced by verbal instructions. Our results suggest that structural learning is an important meta-learning component of Bayesian sensorimotor integration.", "author" : [ { "dropping-particle" : "", "family" : "Genewein", "given" : "Tim", "non-dropping-particle" : "", "parse-names" : false, "suffix" : "" }, { "dropping-particle" : "", "family" : "Hez", "given" : "Eduard", "non-dropping-particle" : "", "parse-names" : false, "suffix" : "" }, { "dropping-particle" : "", "family" : "Razzaghpanah", "given" : "Zeynab", "non-dropping-particle" : "", "parse-names" : false, "suffix" : "" }, { "dropping-particle" : "", "family" : "Braun", "given" : "Daniel A.", "non-dropping-particle" : "", "parse-names" : false, "suffix" : "" } ], "container-title" : "PLoS Computational Biology", "id" : "ITEM-2", "issue" : "8", "issued" : { "date-parts" : [ [ "2015" ] ] }, "page" : "e1004369", "title" : "Structure Learning in Bayesian Sensorimotor Integration", "type" : "article-journal", "volume" : "11" }, "uris" : [ "http://www.mendeley.com/documents/?uuid=c4ee5bd6-9624-4fea-96c1-5a91a0e2d2cd" ] }, { "id" : "ITEM-3", "itemData" : { "DOI" : "10.1038/nature02169", "ISBN" : "0028-0836", "ISSN" : "0028-0836", "PMID" : "14724638", "abstract" : "When we learn a new motor skill, such as playing an approaching tennis ball, both our sensors and the task possess variability. Our sensors provide imperfect information about the ball\u2019s velocity, so we can only estimate it. Combining information from multiple modalities can reduce the error in this estimate1\u20134. On a longer time scale, not all velocities are a priori equally probable, and over the course of a match there will be a probability distribution of velocities. According to bayesian theory5,6, an optimal estimate results from combining information about the distribution of velocities\u2014the prior\u2014with evidence from sensory feedback. As uncertainty increases, when playing in fog or at dusk, the system should increasingly rely on prior knowledge. To use a bayesian strategy, the brain would need to represent the prior distribution and the level of uncertainty in the sensory feedback. Here we control the statistical variations of a new sensorimotor task and manipulate the uncertainty of the sensory feedback. We show that subjects internally represent both the statistical distribution of the task and their sensory uncertainty, combining them in a manner consistent with a performance-optimizing bayesian process4,5. The central nervous system therefore employs probabilistic models during sensorimotor learning.", "author" : [ { "dropping-particle" : "", "family" : "K\u00f6rding", "given" : "K.P.", "non-dropping-particle" : "", "parse-names" : false, "suffix" : "" }, { "dropping-particle" : "", "family" : "Wolpert", "given" : "D.M.", "non-dropping-particle" : "", "parse-names" : false, "suffix" : "" } ], "container-title" : "Nature", "id" : "ITEM-3", "issue" : "6971", "issued" : { "date-parts" : [ [ "2004" ] ] }, "page" : "244\u2013247", "title" : "Bayesian integration in sensorimotor learning", "type" : "article-journal", "volume" : "427" }, "uris" : [ "http://www.mendeley.com/documents/?uuid=91484da9-fab7-43e3-b51d-25436bac841f" ] } ], "mendeley" : { "formattedCitation" : "(Genewein &amp; Braun, 2012; Genewein, Hez, Razzaghpanah, &amp; Braun, 2015; K\u00f6rding &amp; Wolpert, 2004)", "plainTextFormattedCitation" : "(Genewein &amp; Braun, 2012; Genewein, Hez, Razzaghpanah, &amp; Braun, 2015; K\u00f6rding &amp; Wolpert, 2004)", "previouslyFormattedCitation" : "(Genewein &amp; Braun, 2012; Genewein, Hez, Razzaghpanah, &amp; Braun, 2015; K\u00f6rding &amp; Wolpert, 2004)" }, "properties" : { "noteIndex" : 0 }, "schema" : "https://github.com/citation-style-language/schema/raw/master/csl-citation.json" }</w:instrText>
      </w:r>
      <w:r w:rsidRPr="00341B41">
        <w:fldChar w:fldCharType="separate"/>
      </w:r>
      <w:r w:rsidR="0098293B" w:rsidRPr="00341B41">
        <w:rPr>
          <w:noProof/>
        </w:rPr>
        <w:t>(Genewein &amp; Braun, 2012; Genewein, Hez, Razzaghpanah, &amp; Braun, 2015; Körding &amp; Wolpert, 2004)</w:t>
      </w:r>
      <w:r w:rsidRPr="00341B41">
        <w:fldChar w:fldCharType="end"/>
      </w:r>
      <w:r w:rsidRPr="00341B41">
        <w:t xml:space="preserve">. </w:t>
      </w:r>
    </w:p>
    <w:p w14:paraId="148AA810" w14:textId="2D4001B4" w:rsidR="00B42DB7" w:rsidRPr="00341B41" w:rsidRDefault="00B42DB7" w:rsidP="00B42DB7">
      <w:pPr>
        <w:ind w:firstLine="720"/>
      </w:pPr>
      <w:r w:rsidRPr="00341B41">
        <w:t xml:space="preserve">In a study of football players, participants were shown film sequences of various match plays. At the end of each trial the final frame of the film was frozen, and participants were asked to rank in order of likelihood a number of possible outcomes </w:t>
      </w:r>
      <w:r w:rsidRPr="00341B41">
        <w:fldChar w:fldCharType="begin" w:fldLock="1"/>
      </w:r>
      <w:r w:rsidR="0019756D" w:rsidRPr="00341B41">
        <w:instrText>ADDIN CSL_CITATION { "citationItems" : [ { "id" : "ITEM-1", "itemData" : { "author" : [ { "dropping-particle" : "", "family" : "Ward", "given" : "Paul", "non-dropping-particle" : "", "parse-names" : false, "suffix" : "" }, { "dropping-particle" : "", "family" : "Williams", "given" : "Andrew Mark", "non-dropping-particle" : "", "parse-names" : false, "suffix" : "" } ], "container-title" : "Journal of Sport and Exercise Psychology", "id" : "ITEM-1", "issued" : { "date-parts" : [ [ "2003" ] ] }, "page" : "93-111", "title" : "Perceptual and Cognitive Skill Development in Soccer : The Multidimensional Nature of Expert Performance", "type" : "article-journal", "volume" : "25" }, "uris" : [ "http://www.mendeley.com/documents/?uuid=b8bc340b-698c-4819-8b4e-c4b70cb8f986" ] } ], "mendeley" : { "formattedCitation" : "(Ward &amp; Williams, 2003)", "plainTextFormattedCitation" : "(Ward &amp; Williams, 2003)", "previouslyFormattedCitation" : "(Ward &amp; Williams, 2003)" }, "properties" : { "noteIndex" : 0 }, "schema" : "https://github.com/citation-style-language/schema/raw/master/csl-citation.json" }</w:instrText>
      </w:r>
      <w:r w:rsidRPr="00341B41">
        <w:fldChar w:fldCharType="separate"/>
      </w:r>
      <w:r w:rsidR="0098293B" w:rsidRPr="00341B41">
        <w:rPr>
          <w:noProof/>
        </w:rPr>
        <w:t>(Ward &amp; Williams, 2003)</w:t>
      </w:r>
      <w:r w:rsidRPr="00341B41">
        <w:fldChar w:fldCharType="end"/>
      </w:r>
      <w:r w:rsidRPr="00341B41">
        <w:t xml:space="preserve">. Expert players were better at judging the correct option, as determined by a panel of expert coaches. </w:t>
      </w:r>
      <w:r w:rsidRPr="00341B41">
        <w:rPr>
          <w:rFonts w:cs="Times New Roman"/>
        </w:rPr>
        <w:t xml:space="preserve">In a similar study in cricket, participants were shown either a random selection of bowls or an entire over (i.e. six consecutive deliveries) with each bowl in correct, consecutive order. Anticipation accuracy was higher in expert batsmen in the condition with the additional contextual cues (when the who over was seen in correct order), compared to the random viewing condition </w:t>
      </w:r>
      <w:r w:rsidRPr="00341B41">
        <w:rPr>
          <w:rFonts w:cs="Times New Roman"/>
        </w:rPr>
        <w:fldChar w:fldCharType="begin" w:fldLock="1"/>
      </w:r>
      <w:r w:rsidR="0019756D" w:rsidRPr="00341B41">
        <w:rPr>
          <w:rFonts w:cs="Times New Roman"/>
        </w:rPr>
        <w:instrText>ADDIN CSL_CITATION { "citationItems" : [ { "id" : "ITEM-1", "itemData" : { "DOI" : "10.1111/j.2044-8295.2010.02013.x", "ISSN" : "0007-1269", "PMID" : "21752003", "abstract" : "We manipulated contextual information in order to examine the perceptual-cognitive processes that support anticipation using a simulated cricket-batting task. Skilled (N= 10) and less skilled (N= 10) cricket batters responded to video simulations of opponents bowling a cricket ball under high and low contextual information conditions. Skilled batters were more accurate, demonstrated more effective search behaviours, and provided more detailed verbal reports of thinking. Moreover, when they viewed their opponent multiple times (high context), they reduced their mean fixation time. All batters improved performance and altered thought processes when in the high context, compared to when they responded to their opponent without previously seeing them bowl (low context). Findings illustrate how context influences performance and the search for relevant information when engaging in a dynamic, time-constrained task.", "author" : [ { "dropping-particle" : "", "family" : "McRobert", "given" : "Allistair P", "non-dropping-particle" : "", "parse-names" : false, "suffix" : "" }, { "dropping-particle" : "", "family" : "Ward", "given" : "Paul", "non-dropping-particle" : "", "parse-names" : false, "suffix" : "" }, { "dropping-particle" : "", "family" : "Eccles", "given" : "David W", "non-dropping-particle" : "", "parse-names" : false, "suffix" : "" }, { "dropping-particle" : "", "family" : "Williams", "given" : "Andrew Mark", "non-dropping-particle" : "", "parse-names" : false, "suffix" : "" } ], "container-title" : "British Journal of Psychology", "id" : "ITEM-1", "issue" : "3", "issued" : { "date-parts" : [ [ "2011", "8" ] ] }, "page" : "519-34", "title" : "The effect of manipulating context-specific information on perceptual-cognitive processes during a simulated anticipation task.", "type" : "article-journal", "volume" : "102" }, "uris" : [ "http://www.mendeley.com/documents/?uuid=6e3d7ac3-1253-466f-8549-14076d1cfb70" ] } ], "mendeley" : { "formattedCitation" : "(McRobert, Ward, Eccles, &amp; Williams, 2011)", "plainTextFormattedCitation" : "(McRobert, Ward, Eccles, &amp; Williams, 2011)", "previouslyFormattedCitation" : "(McRobert, Ward, Eccles, &amp; Williams, 2011)"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(McRobert, Ward, Eccles, &amp; Williams, 2011)</w:t>
      </w:r>
      <w:r w:rsidRPr="00341B41">
        <w:rPr>
          <w:rFonts w:cs="Times New Roman"/>
        </w:rPr>
        <w:fldChar w:fldCharType="end"/>
      </w:r>
      <w:r w:rsidRPr="00341B41">
        <w:rPr>
          <w:rFonts w:cs="Times New Roman"/>
        </w:rPr>
        <w:t xml:space="preserve">. The expert players were able to develop better expectations of the type of delivery a </w:t>
      </w:r>
      <w:r w:rsidRPr="00341B41">
        <w:rPr>
          <w:rFonts w:cs="Times New Roman"/>
        </w:rPr>
        <w:lastRenderedPageBreak/>
        <w:t xml:space="preserve">bowler is likely to perform when contextual information about prior bowls is taken into consideration. The importance of contextual information in expert anticipation has also been demonstrated in baseball </w:t>
      </w:r>
      <w:r w:rsidRPr="00341B41">
        <w:rPr>
          <w:rFonts w:cs="Times New Roman"/>
        </w:rPr>
        <w:fldChar w:fldCharType="begin" w:fldLock="1"/>
      </w:r>
      <w:r w:rsidR="0019756D" w:rsidRPr="00341B41">
        <w:rPr>
          <w:rFonts w:cs="Times New Roman"/>
        </w:rPr>
        <w:instrText>ADDIN CSL_CITATION { "citationItems" : [ { "id" : "ITEM-1", "itemData" : { "ISBN" : "0895-2779 (Print)\\r0895-2779 (Linking)", "ISSN" : "0895-2779", "PMID" : "19164840", "abstract" : "Our understanding of the role of tactical knowledge in baseball batting preparation is scarce, thereby limiting training guidelines. We examined the verbal reports of baseball players and nonplayers when told to view different edited video sequences of a half-inning of baseball competition under different task conditions: to prepare to bat (problem solve); recall as much information as possible (intentional recall); or prepare to bat, with an unexpected recall (incidental recall). Separate mixed-model ANOVAs (Expertise x Instruction conditions) on verbal report measures indicated that nonplayers used general strategies for recalling baseball events and lacked the tactical skills to use such information for their upcoming times at bat. In contrast, players used baseball-specific strategies to encode and retrieve pertinent game events from long-term memory (LTM) to develop tactics for their upcoming times at bat and to recall as much information as possible. Recommendations for training tactical skills are presented as some players exhibited deficiencies in the LTM structures that mediate batting decisions.", "author" : [ { "dropping-particle" : "", "family" : "McPherson", "given" : "Sue", "non-dropping-particle" : "", "parse-names" : false, "suffix" : "" }, { "dropping-particle" : "", "family" : "MacMahon", "given" : "Clare", "non-dropping-particle" : "", "parse-names" : false, "suffix" : "" } ], "container-title" : "Journal of Sport and Exercise Psychology", "id" : "ITEM-1", "issue" : "6", "issued" : { "date-parts" : [ [ "2008" ] ] }, "page" : "755-778", "title" : "How baseball players prepare to bat: tactical knowledge as a mediator of expert performance in baseball.", "type" : "article-journal", "volume" : "30" }, "uris" : [ "http://www.mendeley.com/documents/?uuid=65075860-f3c6-4f97-a3b1-2106a89e67bb" ] } ], "mendeley" : { "formattedCitation" : "(McPherson &amp; MacMahon, 2008)", "plainTextFormattedCitation" : "(McPherson &amp; MacMahon, 2008)", "previouslyFormattedCitation" : "(McPherson &amp; MacMahon, 2008)"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(McPherson &amp; MacMahon, 2008)</w:t>
      </w:r>
      <w:r w:rsidRPr="00341B41">
        <w:rPr>
          <w:rFonts w:cs="Times New Roman"/>
        </w:rPr>
        <w:fldChar w:fldCharType="end"/>
      </w:r>
      <w:r w:rsidRPr="00341B41">
        <w:rPr>
          <w:rFonts w:cs="Times New Roman"/>
        </w:rPr>
        <w:t xml:space="preserve"> and tennis </w:t>
      </w:r>
      <w:r w:rsidRPr="00341B41">
        <w:rPr>
          <w:rFonts w:cs="Times New Roman"/>
        </w:rPr>
        <w:fldChar w:fldCharType="begin" w:fldLock="1"/>
      </w:r>
      <w:r w:rsidR="0019756D" w:rsidRPr="00341B41">
        <w:rPr>
          <w:rFonts w:cs="Times New Roman"/>
        </w:rPr>
        <w:instrText>ADDIN CSL_CITATION { "citationItems" : [ { "id" : "ITEM-1", "itemData" : { "DOI" : "10.1002/acp.1100", "ISBN" : "0888-4080", "ISSN" : "08884080", "abstract" : "This study aimed to demonstrate that one of the main sources of information that tennis players use to anticipate their opponents' strokes is prior knowledge of the upcoming events likely to develop when the player has the opportunity to impose his or her playing intent. Seventeen experienced male players were faced with simulated on-court situations with three different delivery conditions such that their tactical initiative was high, moderate or weak (reflecting the possibilities of controlling rallies). Each situation finished with a passing shot from the opponent that the participant had to intercept with a volley stroke in the absence of visual information (vision occluded before the opponent's stroke). Analysis of directional responses showed that the participants were more accurate if they were in firm control of the rallies (high level of tactical initiative). Forecasts were also found to be more accurate for down-the-line backhand shots. These findings increase our understanding of anticipation in tennis. Copyright  2005 John Wiley &amp; Sons, Ltd.", "author" : [ { "dropping-particle" : "", "family" : "Crognier", "given" : "Lionel", "non-dropping-particle" : "", "parse-names" : false, "suffix" : "" }, { "dropping-particle" : "", "family" : "F\u00e9ry", "given" : "Yves Andr\u00e9", "non-dropping-particle" : "", "parse-names" : false, "suffix" : "" } ], "container-title" : "Applied Cognitive Psychology", "id" : "ITEM-1", "issue" : "5", "issued" : { "date-parts" : [ [ "2005" ] ] }, "page" : "637-649", "title" : "Effect of tactical initiative on predicting passing shots in tennis", "type" : "article-journal", "volume" : "19" }, "uris" : [ "http://www.mendeley.com/documents/?uuid=e6a0147f-0b16-46c7-96f9-8a599c14dccb" ] } ], "mendeley" : { "formattedCitation" : "(Crognier &amp; F\u00e9ry, 2005)", "plainTextFormattedCitation" : "(Crognier &amp; F\u00e9ry, 2005)", "previouslyFormattedCitation" : "(Crognier &amp; F\u00e9ry, 2005)"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(Crognier &amp; Féry, 2005)</w:t>
      </w:r>
      <w:r w:rsidRPr="00341B41">
        <w:rPr>
          <w:rFonts w:cs="Times New Roman"/>
        </w:rPr>
        <w:fldChar w:fldCharType="end"/>
      </w:r>
      <w:r w:rsidRPr="00341B41">
        <w:rPr>
          <w:rFonts w:cs="Times New Roman"/>
        </w:rPr>
        <w:t>.</w:t>
      </w:r>
      <w:r w:rsidRPr="00341B41">
        <w:t xml:space="preserve"> </w:t>
      </w:r>
    </w:p>
    <w:p w14:paraId="63BC3FD0" w14:textId="0CA594BF" w:rsidR="00B42DB7" w:rsidRPr="00341B41" w:rsidRDefault="00B42DB7" w:rsidP="00B42DB7">
      <w:pPr>
        <w:ind w:firstLine="720"/>
      </w:pPr>
      <w:r w:rsidRPr="00341B41">
        <w:rPr>
          <w:rFonts w:cs="Times New Roman"/>
        </w:rPr>
        <w:t>It is also likely that an athlete will face the same opponent(</w:t>
      </w:r>
      <w:proofErr w:type="spellStart"/>
      <w:r w:rsidRPr="00341B41">
        <w:rPr>
          <w:rFonts w:cs="Times New Roman"/>
        </w:rPr>
        <w:t>s</w:t>
      </w:r>
      <w:proofErr w:type="spellEnd"/>
      <w:r w:rsidRPr="00341B41">
        <w:rPr>
          <w:rFonts w:cs="Times New Roman"/>
        </w:rPr>
        <w:t xml:space="preserve">) many times throughout their career, and as such will develop knowledge about specific preferences that opponents may have. For instance, in the 2006 FIFA World Cup quarter final between Germany and Argentina, German goalkeeper Jens Lehmann prepared for the penalty shoot-out by reading notes regarding the preferred shot direction by each member of the Argentinian squad </w:t>
      </w:r>
      <w:r w:rsidRPr="00341B41">
        <w:rPr>
          <w:rFonts w:cs="Times New Roman"/>
        </w:rPr>
        <w:fldChar w:fldCharType="begin" w:fldLock="1"/>
      </w:r>
      <w:r w:rsidR="0019756D" w:rsidRPr="00341B41">
        <w:rPr>
          <w:rFonts w:cs="Times New Roman"/>
        </w:rPr>
        <w:instrText>ADDIN CSL_CITATION { "citationItems" : [ { "id" : "ITEM-1", "itemData" : { "container-title" : "BBC Sport", "id" : "ITEM-1", "issued" : { "date-parts" : [ [ "2006" ] ] }, "title" : "Lehmann had penalty taker notes", "type" : "webpage" }, "uris" : [ "http://www.mendeley.com/documents/?uuid=2461ecb8-180b-4760-a091-a683db650c50" ] } ], "mendeley" : { "formattedCitation" : "(\u201cLehmann had penalty taker notes,\u201d 2006)", "manualFormatting" : "(BBC Sport, 2006)", "plainTextFormattedCitation" : "(\u201cLehmann had penalty taker notes,\u201d 2006)", "previouslyFormattedCitation" : "(\u201cLehmann had penalty taker notes,\u201d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(BBC Sport, 2006)</w:t>
      </w:r>
      <w:r w:rsidRPr="00341B41">
        <w:rPr>
          <w:rFonts w:cs="Times New Roman"/>
        </w:rPr>
        <w:fldChar w:fldCharType="end"/>
      </w:r>
      <w:r w:rsidRPr="00341B41">
        <w:rPr>
          <w:rFonts w:cs="Times New Roman"/>
        </w:rPr>
        <w:t>. This was an attempt to build expectations about the likely shot direction based on each individual player’s shot preference.</w:t>
      </w:r>
      <w:r w:rsidRPr="00341B41">
        <w:t xml:space="preserve"> </w:t>
      </w:r>
    </w:p>
    <w:p w14:paraId="35282D4E" w14:textId="39137C18" w:rsidR="00B42DB7" w:rsidRPr="00341B41" w:rsidRDefault="00B42DB7" w:rsidP="00B42DB7">
      <w:pPr>
        <w:ind w:firstLine="720"/>
      </w:pPr>
      <w:r w:rsidRPr="00341B41">
        <w:rPr>
          <w:rFonts w:cs="Times New Roman"/>
        </w:rPr>
        <w:t xml:space="preserve">In a study investigating this in handball, </w:t>
      </w:r>
      <w:r w:rsidRPr="00341B41">
        <w:t xml:space="preserve">two groups of skilled goalkeepers anticipated penalty shot direction performed by an opponent before and after a training period designed to provide situational probability information regarding the player’s shot direction preference </w:t>
      </w:r>
      <w:r w:rsidRPr="00341B41">
        <w:fldChar w:fldCharType="begin" w:fldLock="1"/>
      </w:r>
      <w:r w:rsidR="0019756D" w:rsidRPr="00341B41">
        <w:instrText>ADDIN CSL_CITATION { "citationItems" : [ { "id" : "ITEM-1", "itemData" : { "DOI" : "10.1016/j.actpsy.2014.07.004", "ISBN" : "0001-6918", "ISSN" : "00016918", "PMID" : "25089880", "abstract" : "Skilled performers of time-constrained motor actions acquire information about the action preferences of their opponents in an effort to better anticipate the outcome of that opponent's actions. However, there is reason to doubt that knowledge of an opponent's action preferences would unequivocally influence anticipatory responses in a positive way. It is possible that overt information about an opponent's actions could distract skilled performers from using the advance kinematic information they would usually rely on to anticipate actions, particularly when the opponent performs an 'unexpected' action that is not in accordance with his or her previous behaviour. The aim of this study was to examine how the ability to anticipate the outcome of an opponent's actions can be influenced by exposure to the action preferences of that opponent. Two groups of skilled handball goalkeepers anticipated the direction of penalty throws performed by opponents before and after a training intervention that provided situational probability information in the form of action preferences (AP). During the training phase participants in an AP-training group anticipated the action outcomes of two throwers who had a strong preference to throw in one particular direction, whilst participants in a NP-training group viewed players who threw equally to all directions. Exposure to opponents who did have an action preference during the training phase resulted in improved anticipatory performance if the opponent continued to bias their throws towards their preferred direction, but decreased performance if the opponent did not. These findings highlight that skilled observers use information about action preferences to enhance their anticipatory ability, but that doing so can be disadvantageous when the outcomes are no longer consistent with their generated expectations. ?? 2014 Elsevier B.V.", "author" : [ { "dropping-particle" : "", "family" : "Mann", "given" : "David L.", "non-dropping-particle" : "", "parse-names" : false, "suffix" : "" }, { "dropping-particle" : "", "family" : "Schaefers", "given" : "Teuntje", "non-dropping-particle" : "", "parse-names" : false, "suffix" : "" }, { "dropping-particle" : "", "family" : "Ca\u00f1al-Bruland", "given" : "Rouwen", "non-dropping-particle" : "", "parse-names" : false, "suffix" : "" } ], "container-title" : "Acta Psychologica", "id" : "ITEM-1", "issued" : { "date-parts" : [ [ "2014" ] ] }, "page" : "1-9", "publisher" : "Elsevier B.V.", "title" : "Action preferences and the anticipation of action outcomes", "type" : "article-journal", "volume" : "152" }, "uris" : [ "http://www.mendeley.com/documents/?uuid=e65021fe-e904-46c9-906a-ee54d5fbfd91" ] } ], "mendeley" : { "formattedCitation" : "(D. L. Mann, Schaefers, &amp; Ca\u00f1al-Bruland, 2014)", "manualFormatting" : "(Mann, Schaefers, &amp; Ca\u00f1al-Bruland, 2014)", "plainTextFormattedCitation" : "(D. L. Mann, Schaefers, &amp; Ca\u00f1al-Bruland, 2014)", "previouslyFormattedCitation" : "(D. L. Mann, Schaefers, &amp; Ca\u00f1al-Bruland, 2014)" }, "properties" : { "noteIndex" : 0 }, "schema" : "https://github.com/citation-style-language/schema/raw/master/csl-citation.json" }</w:instrText>
      </w:r>
      <w:r w:rsidRPr="00341B41">
        <w:fldChar w:fldCharType="separate"/>
      </w:r>
      <w:r w:rsidRPr="00341B41">
        <w:rPr>
          <w:noProof/>
        </w:rPr>
        <w:t>(Mann, Schaefers, &amp; Cañal-Bruland, 2014)</w:t>
      </w:r>
      <w:r w:rsidRPr="00341B41">
        <w:fldChar w:fldCharType="end"/>
      </w:r>
      <w:r w:rsidRPr="00341B41">
        <w:t>. One group received training on players that had a direction preference, whilst the other group received training on players that did not have a direction preference. They found that the group who received training regarding direction preference did show an improvement in anticipation ability, however showed poorer performance on trials where the player did the opposite of their generally preferred action. This suggests that using prior expectation can be beneficial, but relying on this knowledge can actually be detrimental to anticipation accuracy.</w:t>
      </w:r>
    </w:p>
    <w:p w14:paraId="5520B254" w14:textId="063B36A0" w:rsidR="003C158C" w:rsidRPr="00341B41" w:rsidRDefault="003C158C" w:rsidP="003C158C">
      <w:pPr>
        <w:pStyle w:val="Heading3"/>
      </w:pPr>
      <w:bookmarkStart w:id="19" w:name="_Toc486260835"/>
      <w:r w:rsidRPr="00341B41">
        <w:lastRenderedPageBreak/>
        <w:t>1.4.4.</w:t>
      </w:r>
      <w:r w:rsidRPr="00341B41">
        <w:tab/>
        <w:t>Interaction between mechanisms during anticipation</w:t>
      </w:r>
      <w:bookmarkEnd w:id="19"/>
    </w:p>
    <w:p w14:paraId="1A84D13B" w14:textId="5D3AEC26" w:rsidR="003C158C" w:rsidRPr="00341B41" w:rsidRDefault="003C158C" w:rsidP="003C158C">
      <w:pPr>
        <w:rPr>
          <w:rFonts w:cs="Times New Roman"/>
        </w:rPr>
      </w:pPr>
      <w:r w:rsidRPr="00341B41">
        <w:t xml:space="preserve">Research has typically examined mechanisms underlying expert anticipation performance in an isolated context, and little research has examined how different mechanisms of anticipation skill interact with each other. One of the first studies to look at this showed football players and novices offensive football play sequences from the perspective of a defender </w:t>
      </w:r>
      <w:r w:rsidRPr="00341B41">
        <w:fldChar w:fldCharType="begin" w:fldLock="1"/>
      </w:r>
      <w:r w:rsidR="0019756D" w:rsidRPr="00341B41">
        <w:instrText>ADDIN CSL_CITATION { "citationItems" : [ { "id" : "ITEM-1", "itemData" : { "author" : [ { "dropping-particle" : "", "family" : "Roca", "given" : "A", "non-dropping-particle" : "", "parse-names" : false, "suffix" : "" }, { "dropping-particle" : "", "family" : "Ford", "given" : "Paul R", "non-dropping-particle" : "", "parse-names" : false, "suffix" : "" }, { "dropping-particle" : "", "family" : "McRobert", "given" : "Allistair P", "non-dropping-particle" : "", "parse-names" : false, "suffix" : "" }, { "dropping-particle" : "", "family" : "Williams", "given" : "Andrew Mark", "non-dropping-particle" : "", "parse-names" : false, "suffix" : "" } ], "container-title" : "Journal of Sport and Exercise Psychology", "id" : "ITEM-1", "issue" : "2", "issued" : { "date-parts" : [ [ "2013" ] ] }, "page" : "144-155", "title" : "Perceptual-cognitive skills and their interaction as a function of task constraints in soccer", "type" : "article-journal", "volume" : "35" }, "uris" : [ "http://www.mendeley.com/documents/?uuid=32556aab-2fbf-4ca5-8cbf-d4ca648e6567" ] } ], "mendeley" : { "formattedCitation" : "(Roca, Ford, McRobert, &amp; Williams, 2013)", "plainTextFormattedCitation" : "(Roca, Ford, McRobert, &amp; Williams, 2013)", "previouslyFormattedCitation" : "(Roca, Ford, McRobert, &amp; Williams, 2013)" }, "properties" : { "noteIndex" : 0 }, "schema" : "https://github.com/citation-style-language/schema/raw/master/csl-citation.json" }</w:instrText>
      </w:r>
      <w:r w:rsidRPr="00341B41">
        <w:fldChar w:fldCharType="separate"/>
      </w:r>
      <w:r w:rsidR="0098293B" w:rsidRPr="00341B41">
        <w:rPr>
          <w:noProof/>
        </w:rPr>
        <w:t>(Roca, Ford, McRobert, &amp; Williams, 2013)</w:t>
      </w:r>
      <w:r w:rsidRPr="00341B41">
        <w:fldChar w:fldCharType="end"/>
      </w:r>
      <w:r w:rsidRPr="00341B41">
        <w:t xml:space="preserve">. </w:t>
      </w:r>
      <w:r w:rsidRPr="00341B41">
        <w:rPr>
          <w:rFonts w:cs="Times New Roman"/>
        </w:rPr>
        <w:t xml:space="preserve">The sequences either started with the ball being located in the opposition’s half of the pitch (i.e., far trials), or in the participant’s half of the pitch (i.e., near trials). The sequences were occluded at a key moment in the scene, and participants were required to anticipate the opponent’s actions and choose the best strategic decision that the opposing player could make. </w:t>
      </w:r>
    </w:p>
    <w:p w14:paraId="29B5F00E" w14:textId="121897CD" w:rsidR="003C158C" w:rsidRPr="00341B41" w:rsidRDefault="003C158C" w:rsidP="003C158C">
      <w:pPr>
        <w:ind w:firstLine="720"/>
        <w:rPr>
          <w:rFonts w:cs="Times New Roman"/>
        </w:rPr>
      </w:pPr>
      <w:r w:rsidRPr="00341B41">
        <w:rPr>
          <w:rFonts w:cs="Times New Roman"/>
        </w:rPr>
        <w:t xml:space="preserve">By coding verbal responses from participants, the type of anticipatory mechanism used in each trial was inferred. They found that in both conditions, references to kinematic cues were most common, however significantly more references were made to kinematic information in the opponent’s movements in near trials compared to far trials. References to situational probabilities were also higher in near trials compared to far trials. In far trials, they found that the usage of pattern recognition was more common, compared to the near condition </w:t>
      </w:r>
      <w:r w:rsidRPr="00341B41">
        <w:rPr>
          <w:rFonts w:cs="Times New Roman"/>
        </w:rPr>
        <w:fldChar w:fldCharType="begin" w:fldLock="1"/>
      </w:r>
      <w:r w:rsidR="0019756D" w:rsidRPr="00341B41">
        <w:rPr>
          <w:rFonts w:cs="Times New Roman"/>
        </w:rPr>
        <w:instrText>ADDIN CSL_CITATION { "citationItems" : [ { "id" : "ITEM-1", "itemData" : { "author" : [ { "dropping-particle" : "", "family" : "Roca", "given" : "A", "non-dropping-particle" : "", "parse-names" : false, "suffix" : "" }, { "dropping-particle" : "", "family" : "Ford", "given" : "Paul R", "non-dropping-particle" : "", "parse-names" : false, "suffix" : "" }, { "dropping-particle" : "", "family" : "McRobert", "given" : "Allistair P", "non-dropping-particle" : "", "parse-names" : false, "suffix" : "" }, { "dropping-particle" : "", "family" : "Williams", "given" : "Andrew Mark", "non-dropping-particle" : "", "parse-names" : false, "suffix" : "" } ], "container-title" : "Journal of Sport and Exercise Psychology", "id" : "ITEM-1", "issue" : "2", "issued" : { "date-parts" : [ [ "2013" ] ] }, "page" : "144-155", "title" : "Perceptual-cognitive skills and their interaction as a function of task constraints in soccer", "type" : "article-journal", "volume" : "35" }, "uris" : [ "http://www.mendeley.com/documents/?uuid=32556aab-2fbf-4ca5-8cbf-d4ca648e6567" ] } ], "mendeley" : { "formattedCitation" : "(Roca et al., 2013)", "plainTextFormattedCitation" : "(Roca et al., 2013)", "previouslyFormattedCitation" : "(Roca et al., 2013)"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(Roca et al., 2013)</w:t>
      </w:r>
      <w:r w:rsidRPr="00341B41">
        <w:rPr>
          <w:rFonts w:cs="Times New Roman"/>
        </w:rPr>
        <w:fldChar w:fldCharType="end"/>
      </w:r>
      <w:r w:rsidRPr="00341B41">
        <w:rPr>
          <w:rFonts w:cs="Times New Roman"/>
        </w:rPr>
        <w:t xml:space="preserve">. A second follow-up study replicated these results </w:t>
      </w:r>
      <w:r w:rsidRPr="00341B41">
        <w:rPr>
          <w:rFonts w:cs="Times New Roman"/>
        </w:rPr>
        <w:fldChar w:fldCharType="begin" w:fldLock="1"/>
      </w:r>
      <w:r w:rsidR="001870DE" w:rsidRPr="00341B41">
        <w:rPr>
          <w:rFonts w:cs="Times New Roman"/>
        </w:rPr>
        <w:instrText>ADDIN CSL_CITATION { "citationItems" : [ { "id" : "ITEM-1", "itemData" : { "author" : [ { "dropping-particle" : "", "family" : "North", "given" : "Jamie S", "non-dropping-particle" : "", "parse-names" : false, "suffix" : "" }, { "dropping-particle" : "", "family" : "Hope", "given" : "E", "non-dropping-particle" : "", "parse-names" : false, "suffix" : "" }, { "dropping-particle" : "", "family" : "Williams", "given" : "Andrew Mark", "non-dropping-particle" : "", "parse-names" : false, "suffix" : "" } ], "container-title" : "Human Movement Science", "id" : "ITEM-1", "issued" : { "date-parts" : [ [ "2016" ] ] }, "page" : "170-177", "title" : "The relative importance of different perceptual-cognitive skills during anticipation", "type" : "article-journal", "volume" : "49" }, "uris" : [ "http://www.mendeley.com/documents/?uuid=cf55f967-22db-42ba-87ce-f134399ef2ab" ] } ], "mendeley" : { "formattedCitation" : "(J. S. North, Hope, &amp; Williams, 2016)", "manualFormatting" : "(North, Hope, &amp; Williams, 2016)", "plainTextFormattedCitation" : "(J. S. North, Hope, &amp; Williams, 2016)", "previouslyFormattedCitation" : "(J. S. North, Hope, &amp; Williams, 2016)" }, "properties" : { "noteIndex" : 0 }, "schema" : "https://github.com/citation-style-language/schema/raw/master/csl-citation.json" }</w:instrText>
      </w:r>
      <w:r w:rsidRPr="00341B41">
        <w:rPr>
          <w:rFonts w:cs="Times New Roman"/>
        </w:rPr>
        <w:fldChar w:fldCharType="separate"/>
      </w:r>
      <w:r w:rsidRPr="00341B41">
        <w:rPr>
          <w:rFonts w:cs="Times New Roman"/>
          <w:noProof/>
        </w:rPr>
        <w:t>(North, Hope, &amp; Williams, 2016)</w:t>
      </w:r>
      <w:r w:rsidRPr="00341B41">
        <w:rPr>
          <w:rFonts w:cs="Times New Roman"/>
        </w:rPr>
        <w:fldChar w:fldCharType="end"/>
      </w:r>
      <w:r w:rsidRPr="00341B41">
        <w:rPr>
          <w:rFonts w:cs="Times New Roman"/>
        </w:rPr>
        <w:t xml:space="preserve">. </w:t>
      </w:r>
    </w:p>
    <w:p w14:paraId="501CB1A5" w14:textId="43C724F3" w:rsidR="00B42DB7" w:rsidRPr="00341B41" w:rsidRDefault="003C158C" w:rsidP="003C158C">
      <w:pPr>
        <w:ind w:firstLine="720"/>
        <w:rPr>
          <w:rFonts w:cs="Times New Roman"/>
        </w:rPr>
      </w:pPr>
      <w:r w:rsidRPr="00341B41">
        <w:t xml:space="preserve">These studies show that expert players will rely on different strategies to anticipate in different situations. When the opposing team </w:t>
      </w:r>
      <w:r w:rsidRPr="00341B41">
        <w:rPr>
          <w:rFonts w:cs="Times New Roman"/>
        </w:rPr>
        <w:t xml:space="preserve">are a long way off, a defending player will use the relative positions of the attacking team to anticipate how play shall advance. However, when the opposing team are closer to the defender, the player will switch </w:t>
      </w:r>
      <w:r w:rsidRPr="00341B41">
        <w:rPr>
          <w:rFonts w:cs="Times New Roman"/>
        </w:rPr>
        <w:lastRenderedPageBreak/>
        <w:t>strategy and refer more to the player’s body kinematics to anticipate the attacker’s next action.</w:t>
      </w:r>
    </w:p>
    <w:p w14:paraId="49E14C47" w14:textId="7ABD87B3" w:rsidR="003C158C" w:rsidRPr="00341B41" w:rsidRDefault="003C158C" w:rsidP="003C158C">
      <w:pPr>
        <w:pStyle w:val="Heading3"/>
      </w:pPr>
      <w:bookmarkStart w:id="20" w:name="_Toc486260836"/>
      <w:r w:rsidRPr="00341B41">
        <w:t>1.4.5.</w:t>
      </w:r>
      <w:r w:rsidRPr="00341B41">
        <w:tab/>
        <w:t>External constraints on anticipation accuracy</w:t>
      </w:r>
      <w:bookmarkEnd w:id="20"/>
    </w:p>
    <w:p w14:paraId="6133C4A3" w14:textId="6504423C" w:rsidR="003C158C" w:rsidRPr="00341B41" w:rsidRDefault="003C158C" w:rsidP="003C158C">
      <w:r w:rsidRPr="00341B41">
        <w:t xml:space="preserve">It is possible that external constraints such as anxiety and fatigue could affect anticipation skill. For example, being anxious has been shown to have a negative effect on a wide range of perceptual-motor skills </w:t>
      </w:r>
      <w:r w:rsidRPr="00341B41">
        <w:fldChar w:fldCharType="begin" w:fldLock="1"/>
      </w:r>
      <w:r w:rsidR="0019756D" w:rsidRPr="00341B41">
        <w:instrText>ADDIN CSL_CITATION { "citationItems" : [ { "id" : "ITEM-1", "itemData" : { "DOI" : "10.1007/s00426-011-0384-x", "ISSN" : "0340-0727", "author" : [ { "dropping-particle" : "", "family" : "Nieuwenhuys", "given" : "Arne", "non-dropping-particle" : "", "parse-names" : false, "suffix" : "" }, { "dropping-particle" : "", "family" : "Oudejans", "given" : "Ra\u00f4ul R. D.", "non-dropping-particle" : "", "parse-names" : false, "suffix" : "" } ], "container-title" : "Psychological Research", "id" : "ITEM-1", "issue" : "6", "issued" : { "date-parts" : [ [ "2012" ] ] }, "page" : "747-759", "title" : "Anxiety and perceptual-motor performance: toward an integrated model of concepts, mechanisms, and processes", "type" : "article-journal", "volume" : "76" }, "uris" : [ "http://www.mendeley.com/documents/?uuid=bdd20724-e4ae-4b98-b050-e834da5681bd" ] } ], "mendeley" : { "formattedCitation" : "(Nieuwenhuys &amp; Oudejans, 2012)", "plainTextFormattedCitation" : "(Nieuwenhuys &amp; Oudejans, 2012)", "previouslyFormattedCitation" : "(Nieuwenhuys &amp; Oudejans, 2012)" }, "properties" : { "noteIndex" : 0 }, "schema" : "https://github.com/citation-style-language/schema/raw/master/csl-citation.json" }</w:instrText>
      </w:r>
      <w:r w:rsidRPr="00341B41">
        <w:fldChar w:fldCharType="separate"/>
      </w:r>
      <w:r w:rsidR="0098293B" w:rsidRPr="00341B41">
        <w:rPr>
          <w:noProof/>
        </w:rPr>
        <w:t>(Nieuwenhuys &amp; Oudejans, 2012)</w:t>
      </w:r>
      <w:r w:rsidRPr="00341B41">
        <w:fldChar w:fldCharType="end"/>
      </w:r>
      <w:r w:rsidRPr="00341B41">
        <w:t xml:space="preserve">, such as perception of task-relevant information </w:t>
      </w:r>
      <w:r w:rsidRPr="00341B41">
        <w:fldChar w:fldCharType="begin" w:fldLock="1"/>
      </w:r>
      <w:r w:rsidR="0019756D" w:rsidRPr="00341B41">
        <w:instrText>ADDIN CSL_CITATION { "citationItems" : [ { "id" : "ITEM-1", "itemData" : { "DOI" : "10.1080/02640410701446919", "ISBN" : "0264041070", "ISSN" : "0264-0414", "author" : [ { "dropping-particle" : "", "family" : "Behan", "given" : "Michael", "non-dropping-particle" : "", "parse-names" : false, "suffix" : "" }, { "dropping-particle" : "", "family" : "Wilson", "given" : "Mark", "non-dropping-particle" : "", "parse-names" : false, "suffix" : "" } ], "container-title" : "Journal of Sports Sciences", "id" : "ITEM-1", "issue" : "2", "issued" : { "date-parts" : [ [ "2008" ] ] }, "page" : "207-215", "title" : "State anxiety and visual attention: The role of the quiet eye period in aiming to a far target", "type" : "article-journal", "volume" : "26" }, "uris" : [ "http://www.mendeley.com/documents/?uuid=7ad601c8-7b18-4acb-878c-2496a6b57c17" ] } ], "mendeley" : { "formattedCitation" : "(Behan &amp; Wilson, 2008)", "plainTextFormattedCitation" : "(Behan &amp; Wilson, 2008)", "previouslyFormattedCitation" : "(Behan &amp; Wilson, 2008)" }, "properties" : { "noteIndex" : 0 }, "schema" : "https://github.com/citation-style-language/schema/raw/master/csl-citation.json" }</w:instrText>
      </w:r>
      <w:r w:rsidRPr="00341B41">
        <w:fldChar w:fldCharType="separate"/>
      </w:r>
      <w:r w:rsidR="0098293B" w:rsidRPr="00341B41">
        <w:rPr>
          <w:noProof/>
        </w:rPr>
        <w:t>(Behan &amp; Wilson, 2008)</w:t>
      </w:r>
      <w:r w:rsidRPr="00341B41">
        <w:fldChar w:fldCharType="end"/>
      </w:r>
      <w:r w:rsidRPr="00341B41">
        <w:t xml:space="preserve">, selection of appropriate actions </w:t>
      </w:r>
      <w:r w:rsidRPr="00341B41">
        <w:fldChar w:fldCharType="begin" w:fldLock="1"/>
      </w:r>
      <w:r w:rsidR="0019756D" w:rsidRPr="00341B41">
        <w:instrText>ADDIN CSL_CITATION { "citationItems" : [ { "id" : "ITEM-1", "itemData" : { "DOI" : "10.1207/s15326969eco1803", "ISSN" : "1040-7413", "author" : [ { "dropping-particle" : "", "family" : "Pijpers", "given" : "J.R", "non-dropping-particle" : "", "parse-names" : false, "suffix" : "" }, { "dropping-particle" : "", "family" : "Oudejans", "given" : "Ra\u00f4ul R. D.", "non-dropping-particle" : "", "parse-names" : false, "suffix" : "" }, { "dropping-particle" : "", "family" : "Bakker", "given" : "Frank C", "non-dropping-particle" : "", "parse-names" : false, "suffix" : "" }, { "dropping-particle" : "", "family" : "Beek", "given" : "Peter J", "non-dropping-particle" : "", "parse-names" : false, "suffix" : "" } ], "container-title" : "Ecological Psychology", "id" : "ITEM-1", "issue" : "3", "issued" : { "date-parts" : [ [ "2006" ] ] }, "page" : "131-161", "title" : "The role of anxiety in perceiving and realizing affordances", "type" : "article-journal", "volume" : "18" }, "uris" : [ "http://www.mendeley.com/documents/?uuid=ccaa44e6-9fec-4923-8109-4c78627bf851" ] } ], "mendeley" : { "formattedCitation" : "(Pijpers, Oudejans, Bakker, &amp; Beek, 2006)", "plainTextFormattedCitation" : "(Pijpers, Oudejans, Bakker, &amp; Beek, 2006)", "previouslyFormattedCitation" : "(Pijpers, Oudejans, Bakker, &amp; Beek, 2006)" }, "properties" : { "noteIndex" : 0 }, "schema" : "https://github.com/citation-style-language/schema/raw/master/csl-citation.json" }</w:instrText>
      </w:r>
      <w:r w:rsidRPr="00341B41">
        <w:fldChar w:fldCharType="separate"/>
      </w:r>
      <w:r w:rsidR="0098293B" w:rsidRPr="00341B41">
        <w:rPr>
          <w:noProof/>
        </w:rPr>
        <w:t>(Pijpers, Oudejans, Bakker, &amp; Beek, 2006)</w:t>
      </w:r>
      <w:r w:rsidRPr="00341B41">
        <w:fldChar w:fldCharType="end"/>
      </w:r>
      <w:r w:rsidRPr="00341B41">
        <w:t xml:space="preserve">, and movement execution </w:t>
      </w:r>
      <w:r w:rsidRPr="00341B41">
        <w:fldChar w:fldCharType="begin" w:fldLock="1"/>
      </w:r>
      <w:r w:rsidR="0019756D" w:rsidRPr="00341B41">
        <w:instrText>ADDIN CSL_CITATION { "citationItems" : [ { "id" : "ITEM-1", "itemData" : { "DOI" : "10.1016/j.janxdis.2009.07.009", "ISSN" : "08876185", "author" : [ { "dropping-particle" : "", "family" : "Coombes", "given" : "Stephen A.", "non-dropping-particle" : "", "parse-names" : false, "suffix" : "" }, { "dropping-particle" : "", "family" : "Higgins", "given" : "Torrie", "non-dropping-particle" : "", "parse-names" : false, "suffix" : "" }, { "dropping-particle" : "", "family" : "Gamble", "given" : "Kelly M.", "non-dropping-particle" : "", "parse-names" : false, "suffix" : "" }, { "dropping-particle" : "", "family" : "Cauraugh", "given" : "James H.", "non-dropping-particle" : "", "parse-names" : false, "suffix" : "" }, { "dropping-particle" : "", "family" : "Janelle", "given" : "Christopher M.", "non-dropping-particle" : "", "parse-names" : false, "suffix" : "" } ], "container-title" : "Journal of Anxiety Disorders", "id" : "ITEM-1", "issue" : "8", "issued" : { "date-parts" : [ [ "2009" ] ] }, "page" : "1072-1079", "title" : "Attentional control theory: Anxiety, emotion, and motor planning", "type" : "article-journal", "volume" : "23" }, "uris" : [ "http://www.mendeley.com/documents/?uuid=99ffee8e-26b2-4dc4-bb59-ee0eeb35c66d" ] } ], "mendeley" : { "formattedCitation" : "(Coombes, Higgins, Gamble, Cauraugh, &amp; Janelle, 2009)", "plainTextFormattedCitation" : "(Coombes, Higgins, Gamble, Cauraugh, &amp; Janelle, 2009)", "previouslyFormattedCitation" : "(Coombes, Higgins, Gamble, Cauraugh, &amp; Janelle, 2009)" }, "properties" : { "noteIndex" : 0 }, "schema" : "https://github.com/citation-style-language/schema/raw/master/csl-citation.json" }</w:instrText>
      </w:r>
      <w:r w:rsidRPr="00341B41">
        <w:fldChar w:fldCharType="separate"/>
      </w:r>
      <w:r w:rsidR="0098293B" w:rsidRPr="00341B41">
        <w:rPr>
          <w:noProof/>
        </w:rPr>
        <w:t>(Coombes, Higgins, Gamble, Cauraugh, &amp; Janelle, 2009)</w:t>
      </w:r>
      <w:r w:rsidRPr="00341B41">
        <w:fldChar w:fldCharType="end"/>
      </w:r>
      <w:r w:rsidRPr="00341B41">
        <w:t xml:space="preserve">. In a sports setting, when anxious, expert athletes have been found to show a reduced visual search rate and narrowed focus of attention </w:t>
      </w:r>
      <w:r w:rsidRPr="00341B41">
        <w:fldChar w:fldCharType="begin" w:fldLock="1"/>
      </w:r>
      <w:r w:rsidR="0019756D" w:rsidRPr="00341B41">
        <w:instrText>ADDIN CSL_CITATION { "citationItems" : [ { "id" : "ITEM-1", "itemData" : { "author" : [ { "dropping-particle" : "", "family" : "Williams", "given" : "Andrew Mark", "non-dropping-particle" : "", "parse-names" : false, "suffix" : "" }, { "dropping-particle" : "", "family" : "Elliot", "given" : "David", "non-dropping-particle" : "", "parse-names" : false, "suffix" : "" } ], "container-title" : "Journal of Sport and Exercise Psychology", "id" : "ITEM-1", "issue" : "4", "issued" : { "date-parts" : [ [ "1999" ] ] }, "page" : "362-375", "title" : "Anxiety, expertise, and visual search strategy in karate", "type" : "article-journal", "volume" : "21" }, "uris" : [ "http://www.mendeley.com/documents/?uuid=64af2230-e4ba-40b3-9b9f-e2a180873f65" ] } ], "mendeley" : { "formattedCitation" : "(Williams &amp; Elliot, 1999)", "manualFormatting" : "(Williams &amp; Elliot, 1999)", "plainTextFormattedCitation" : "(Williams &amp; Elliot, 1999)", "previouslyFormattedCitation" : "(Williams &amp; Elliot, 1999)" }, "properties" : { "noteIndex" : 0 }, "schema" : "https://github.com/citation-style-language/schema/raw/master/csl-citation.json" }</w:instrText>
      </w:r>
      <w:r w:rsidRPr="00341B41">
        <w:fldChar w:fldCharType="separate"/>
      </w:r>
      <w:r w:rsidRPr="00341B41">
        <w:rPr>
          <w:noProof/>
        </w:rPr>
        <w:t>(Williams &amp; Elliot, 1999)</w:t>
      </w:r>
      <w:r w:rsidRPr="00341B41">
        <w:fldChar w:fldCharType="end"/>
      </w:r>
      <w:r w:rsidRPr="00341B41">
        <w:t>. Similar effects on perceptual systems have been found in athletes when they are</w:t>
      </w:r>
      <w:r w:rsidR="00C05EAF" w:rsidRPr="00341B41">
        <w:t xml:space="preserve"> fatigued</w:t>
      </w:r>
      <w:r w:rsidRPr="00341B41">
        <w:t xml:space="preserve"> </w:t>
      </w:r>
      <w:r w:rsidRPr="00341B41">
        <w:fldChar w:fldCharType="begin" w:fldLock="1"/>
      </w:r>
      <w:r w:rsidR="0019756D" w:rsidRPr="00341B41">
        <w:instrText>ADDIN CSL_CITATION { "citationItems" : [ { "id" : "ITEM-1", "itemData" : { "DOI" : "10.1080/02640414.2012.675083", "ISSN" : "0264-0414", "author" : [ { "dropping-particle" : "", "family" : "Moore", "given" : "Robert D", "non-dropping-particle" : "", "parse-names" : false, "suffix" : "" }, { "dropping-particle" : "", "family" : "Romine", "given" : "Mathew W", "non-dropping-particle" : "", "parse-names" : false, "suffix" : "" }, { "dropping-particle" : "", "family" : "O'connor", "given" : "Patrick J", "non-dropping-particle" : "", "parse-names" : false, "suffix" : "" }, { "dropping-particle" : "", "family" : "Tomporowski", "given" : "Phillip D", "non-dropping-particle" : "", "parse-names" : false, "suffix" : "" } ], "container-title" : "Journal of Sports Sciences", "id" : "ITEM-1", "issue" : "9", "issued" : { "date-parts" : [ [ "2012", "5", "1" ] ] }, "note" : "doi: 10.1080/02640414.2012.675083", "page" : "841-850", "publisher" : "Routledge", "title" : "The influence of exercise-induced fatigue on cognitive function", "type" : "article-journal", "volume" : "30" }, "uris" : [ "http://www.mendeley.com/documents/?uuid=e31b0e97-7e5b-4b39-9344-913153019a1a" ] }, { "id" : "ITEM-2", "itemData" : { "DOI" : "10.3200/JMBR.39.5.381-394", "ISBN" : "0022-2895", "ISSN" : "0022-2895", "PMID" : "17827115", "abstract" : "The authors provide evidence that choking under pressure is associated with changes in visual attention. Ten elite biathlon shooters were tested under separate low-pressure (LP) and high-pressure (HP) conditions after exercising on a cycle ergometer at individually prescribed power output (PO) levels of 55%, 70%, 85%, and 100% of their maximum oxygen uptake. The authors determined difference scores by subtracting each athlete's score in the LP condition from his or her score in the HP condition for heart rate (d-HR), rate of perceived exertion (d-RPE), cognitive anxiety (d-CA), and cognitive worry (d-CW), and final fixation on the target or quiet eye gaze (d-QE). Using regression analysis, the authors determined predictors of accuracy for each HP PO level. At PO 55%, the authors found 3 predictors (d-HR, d-RPE, d-QE) that accounted for .62 of the adjusted R2 variance. Accuracy was higher when d-QE was lower and d-RPE and d-HR were higher than the values found in the LP condition. At PO 100%, however, an increase in d-QE and d-RPE accounted for .58 of the adjusted R2 variance. Accuracy was dependent on an increase in external focus (positive d-QE) independently of heart rate. At the highest PO level, directing visual attention externally to critical task information appeared to insulate the athletes from choking under HP.", "author" : [ { "dropping-particle" : "", "family" : "Vickers", "given" : "Joan N", "non-dropping-particle" : "", "parse-names" : false, "suffix" : "" }, { "dropping-particle" : "", "family" : "Williams", "given" : "Andrew Mark", "non-dropping-particle" : "", "parse-names" : false, "suffix" : "" } ], "container-title" : "Journal of Motor Behaviour", "id" : "ITEM-2", "issue" : "5", "issued" : { "date-parts" : [ [ "2007" ] ] }, "page" : "381-394", "title" : "Performing under pressure: the effects of physiological arousal, cognitive anxiety, and gaze control in biathlon.", "type" : "article-journal", "volume" : "39" }, "uris" : [ "http://www.mendeley.com/documents/?uuid=dc341dd8-c371-422b-baf4-f568af9fb3a8" ] } ], "mendeley" : { "formattedCitation" : "(R. D. Moore, Romine, O\u2019connor, &amp; Tomporowski, 2012; Vickers &amp; Williams, 2007)", "manualFormatting" : "(Moore, Romine, O\u2019Connor, &amp; Tomporowski, 2012; Vickers &amp; Williams, 2007)", "plainTextFormattedCitation" : "(R. D. Moore, Romine, O\u2019connor, &amp; Tomporowski, 2012; Vickers &amp; Williams, 2007)", "previouslyFormattedCitation" : "(R. D. Moore, Romine, O\u2019connor, &amp; Tomporowski, 2012; Vickers &amp; Williams, 2007)" }, "properties" : { "noteIndex" : 0 }, "schema" : "https://github.com/citation-style-language/schema/raw/master/csl-citation.json" }</w:instrText>
      </w:r>
      <w:r w:rsidRPr="00341B41">
        <w:fldChar w:fldCharType="separate"/>
      </w:r>
      <w:r w:rsidRPr="00341B41">
        <w:rPr>
          <w:noProof/>
        </w:rPr>
        <w:t>(Moore, Romine, O’Connor, &amp; Tomporowski, 2012; Vickers &amp; Williams, 2007)</w:t>
      </w:r>
      <w:r w:rsidRPr="00341B41">
        <w:fldChar w:fldCharType="end"/>
      </w:r>
      <w:r w:rsidRPr="00341B41">
        <w:t xml:space="preserve">. </w:t>
      </w:r>
    </w:p>
    <w:p w14:paraId="63381D00" w14:textId="1A0B8279" w:rsidR="003C158C" w:rsidRPr="00341B41" w:rsidRDefault="003C158C" w:rsidP="003C158C">
      <w:pPr>
        <w:ind w:firstLine="720"/>
        <w:rPr>
          <w:rFonts w:cs="Times New Roman"/>
        </w:rPr>
      </w:pPr>
      <w:r w:rsidRPr="00341B41">
        <w:t xml:space="preserve">Given that perceptual-cognitive mechanisms are greatly influenced by these factors that are believed to be involved in anticipation, it might be expected that such factors would affect athlete’s ability to anticipate. </w:t>
      </w:r>
      <w:r w:rsidRPr="00341B41">
        <w:rPr>
          <w:rFonts w:cs="Times New Roman"/>
        </w:rPr>
        <w:t>For instance, a reduced visual search rate would likely lead to a poorer ability to identify relevant anticipatory cues.</w:t>
      </w:r>
    </w:p>
    <w:p w14:paraId="46992CF4" w14:textId="2B9696F3" w:rsidR="003C158C" w:rsidRPr="00341B41" w:rsidRDefault="003C158C" w:rsidP="003C158C">
      <w:pPr>
        <w:pStyle w:val="Heading3"/>
      </w:pPr>
      <w:bookmarkStart w:id="21" w:name="_Toc486260837"/>
      <w:r w:rsidRPr="00341B41">
        <w:t>1.4.6.</w:t>
      </w:r>
      <w:r w:rsidRPr="00341B41">
        <w:tab/>
        <w:t>Transfer of anticipation skill between domains</w:t>
      </w:r>
      <w:bookmarkEnd w:id="21"/>
    </w:p>
    <w:p w14:paraId="4FF53F6F" w14:textId="77777777" w:rsidR="003C158C" w:rsidRPr="00341B41" w:rsidRDefault="003C158C" w:rsidP="003C158C">
      <w:pPr>
        <w:rPr>
          <w:rFonts w:cs="Times New Roman"/>
        </w:rPr>
      </w:pPr>
      <w:r w:rsidRPr="00341B41">
        <w:t xml:space="preserve">Given that expert anticipation skill develops from intense domain-specific training, some recent research has looked at how domain-specific anticipation skill is, by investigating whether anticipation ability can transfer across domains. For example, it has been shown that athletes are able to successfully anticipate based off pure biological motion </w:t>
      </w:r>
      <w:r w:rsidRPr="00341B41">
        <w:lastRenderedPageBreak/>
        <w:t xml:space="preserve">information, via point-light display studies. </w:t>
      </w:r>
      <w:r w:rsidRPr="00341B41">
        <w:rPr>
          <w:rFonts w:cs="Times New Roman"/>
        </w:rPr>
        <w:t xml:space="preserve">Testing whether an expert who can anticipate an opponent in one sport can also anticipate an opponent in another sport is examining the degree to which transfer is dependent on either the commonality between domains or instead dependent on underlying fundamental principles. </w:t>
      </w:r>
    </w:p>
    <w:p w14:paraId="7D5E740A" w14:textId="2D2C8913" w:rsidR="003C158C" w:rsidRPr="00341B41" w:rsidRDefault="003C158C" w:rsidP="003C158C">
      <w:pPr>
        <w:ind w:firstLine="720"/>
        <w:rPr>
          <w:rFonts w:cs="Times New Roman"/>
        </w:rPr>
      </w:pPr>
      <w:r w:rsidRPr="00341B41">
        <w:rPr>
          <w:rFonts w:cs="Times New Roman"/>
        </w:rPr>
        <w:t xml:space="preserve">Expert, intermediate, and novice baseball batters were tested on a temporal occlusion task anticipating baseball pitching type, and then also on batting type in cricket </w:t>
      </w:r>
      <w:r w:rsidRPr="00341B41">
        <w:rPr>
          <w:rFonts w:cs="Times New Roman"/>
        </w:rPr>
        <w:fldChar w:fldCharType="begin" w:fldLock="1"/>
      </w:r>
      <w:r w:rsidR="0019756D" w:rsidRPr="00341B41">
        <w:rPr>
          <w:rFonts w:cs="Times New Roman"/>
        </w:rPr>
        <w:instrText>ADDIN CSL_CITATION { "citationItems" : [ { "id" : "ITEM-1", "itemData" : { "DOI" : "10.1080/17470218.2013.798003", "ISSN" : "1747-0226", "PMID" : "23700967", "abstract" : "The experiment reported in this paper examined the capability of expert and near-expert baseball batters and novices to transfer anticipatory skill to a cricket batting prediction task. A video-simulation temporal occlusion paradigm was used to first assess the anticipatory skill of expertise groups in a baseball batting prediction task (learning sport) and, second, to assess the capability of expertise groups to transfer anticipation skill to a cricket batting prediction task (transfer sport). Results showed that expert and near-expert baseball batters were superior to novices at anticipating pitch type based upon pre-ball-flight advance information. Only expert baseball batters were capable of transferring their anticipatory skill to predict delivery type based upon advance information in the bowler's action, whilst near-experts and novices relied upon ball-flight information. The findings extend understanding of transfer of learning in the motor domain and some theoretical/empirical concepts of transfer.", "author" : [ { "dropping-particle" : "", "family" : "Moore", "given" : "Christopher G", "non-dropping-particle" : "", "parse-names" : false, "suffix" : "" }, { "dropping-particle" : "", "family" : "M\u00fcller", "given" : "Sean", "non-dropping-particle" : "", "parse-names" : false, "suffix" : "" } ], "container-title" : "Quarterly Journal of Experimental Psychology", "id" : "ITEM-1", "issue" : "1", "issued" : { "date-parts" : [ [ "2014", "1" ] ] }, "note" : "From Duplicate 2 ( \n\n\nTransfer of expert visual anticipation to a similar domain.\n\n\n- G Moore, Christopher; M\u00fcller, Sean )\n\n", "page" : "186-96", "title" : "Transfer of expert visual anticipation to a similar domain.", "type" : "article-journal", "volume" : "67" }, "uris" : [ "http://www.mendeley.com/documents/?uuid=534d84d1-6e43-4854-a7a2-c21ac8e19cc3" ] } ], "mendeley" : { "formattedCitation" : "(C. G. Moore &amp; M\u00fcller, 2014)", "manualFormatting" : "(Moore &amp; M\u00fcller, 2014)", "plainTextFormattedCitation" : "(C. G. Moore &amp; M\u00fcller, 2014)", "previouslyFormattedCitation" : "(C. G. Moore &amp; M\u00fcller, 2014)" }, "properties" : { "noteIndex" : 0 }, "schema" : "https://github.com/citation-style-language/schema/raw/master/csl-citation.json" }</w:instrText>
      </w:r>
      <w:r w:rsidRPr="00341B41">
        <w:rPr>
          <w:rFonts w:cs="Times New Roman"/>
        </w:rPr>
        <w:fldChar w:fldCharType="separate"/>
      </w:r>
      <w:r w:rsidRPr="00341B41">
        <w:rPr>
          <w:rFonts w:cs="Times New Roman"/>
          <w:noProof/>
        </w:rPr>
        <w:t>(Moore &amp; Müller, 2014)</w:t>
      </w:r>
      <w:r w:rsidRPr="00341B41">
        <w:rPr>
          <w:rFonts w:cs="Times New Roman"/>
        </w:rPr>
        <w:fldChar w:fldCharType="end"/>
      </w:r>
      <w:r w:rsidRPr="00341B41">
        <w:rPr>
          <w:rFonts w:cs="Times New Roman"/>
        </w:rPr>
        <w:t xml:space="preserve">. They showed that whilst both expert and intermediate level baseball players were more accurate than novices on the baseball task, the expert group were also more accurate than the other two groups on the cricket task (though accuracy rate was lower than on the baseball task). Another study found similar results by showing expert and intermediate karate players could better anticipate taekwondo actions than novices, and also that karate experts could also anticipate actions from an Australian rules football player above chance level </w:t>
      </w:r>
      <w:r w:rsidRPr="00341B41">
        <w:rPr>
          <w:rFonts w:cs="Times New Roman"/>
        </w:rPr>
        <w:fldChar w:fldCharType="begin" w:fldLock="1"/>
      </w:r>
      <w:r w:rsidR="0019756D" w:rsidRPr="00341B41">
        <w:rPr>
          <w:rFonts w:cs="Times New Roman"/>
        </w:rPr>
        <w:instrText>ADDIN CSL_CITATION { "citationItems" : [ { "id" : "ITEM-1", "itemData" : { "DOI" : "10.1080/17470218.2013.807856", "ISSN" : "1747-0226", "PMID" : "24456409", "abstract" : "It is unclear whether perceptual-motor skill transfer is based upon similarity between the learning and transfer domains per identical elements theory, or facilitated by an understanding of underlying principles in accordance with general principle theory. Here, the predictions of identical elements theory, general principle theory, and aspects of a recently proposed model for the transfer of perceptual-motor skill with respect to expertise in the learning and transfer domains are examined. The capabilities of expert karate athletes, near-expert karate athletes, and novices to anticipate and respond to stimulus skills derived from taekwondo and Australian football were investigated in ecologically valid contexts using an in situ temporal occlusion paradigm and complex whole-body perceptual-motor skills. Results indicated that the karate experts and near-experts are as capable of using visual information to anticipate and guide motor skill responses as domain experts and near-experts in the taekwondo transfer domain, but only karate experts could perform like domain experts in the Australian football transfer domain. Findings suggest that transfer of anticipation skill is based upon expertise and an understanding of principles but may be supplemented by similarities that exist between the stimulus and response elements of the learning and transfer domains.", "author" : [ { "dropping-particle" : "", "family" : "Rosalie", "given" : "Simon M", "non-dropping-particle" : "", "parse-names" : false, "suffix" : "" }, { "dropping-particle" : "", "family" : "M\u00fcller", "given" : "Sean", "non-dropping-particle" : "", "parse-names" : false, "suffix" : "" } ], "container-title" : "Quarterly Journal of Experimental Psychology", "id" : "ITEM-1", "issue" : "2", "issued" : { "date-parts" : [ [ "2014", "2" ] ] }, "page" : "319-34", "title" : "Expertise facilitates the transfer of anticipation skill across domains.", "type" : "article-journal", "volume" : "67" }, "uris" : [ "http://www.mendeley.com/documents/?uuid=82e720fb-ad09-425e-bbbd-18d414055a29" ] } ], "mendeley" : { "formattedCitation" : "(Rosalie &amp; M\u00fcller, 2014)", "plainTextFormattedCitation" : "(Rosalie &amp; M\u00fcller, 2014)", "previouslyFormattedCitation" : "(Rosalie &amp; M\u00fcller, 2014)"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(Rosalie &amp; Müller, 2014)</w:t>
      </w:r>
      <w:r w:rsidRPr="00341B41">
        <w:rPr>
          <w:rFonts w:cs="Times New Roman"/>
        </w:rPr>
        <w:fldChar w:fldCharType="end"/>
      </w:r>
      <w:r w:rsidRPr="00341B41">
        <w:rPr>
          <w:rFonts w:cs="Times New Roman"/>
        </w:rPr>
        <w:t xml:space="preserve">. This has been further shown through work looking at expert performance at perceiving non-sport specific biological motion </w:t>
      </w:r>
      <w:r w:rsidRPr="00341B41">
        <w:rPr>
          <w:rFonts w:cs="Times New Roman"/>
        </w:rPr>
        <w:fldChar w:fldCharType="begin" w:fldLock="1"/>
      </w:r>
      <w:r w:rsidR="0019756D" w:rsidRPr="00341B41">
        <w:rPr>
          <w:rFonts w:cs="Times New Roman"/>
        </w:rPr>
        <w:instrText>ADDIN CSL_CITATION { "citationItems" : [ { "id" : "ITEM-1", "itemData" : { "DOI" : "10.3389/fpsyg.2015.01343", "ISSN" : "1664-1078", "PMID" : "26388828", "abstract" : "Recent studies have shown that athletes' domain specific perceptual-cognitive expertise can transfer to everyday tasks. Here we assessed the perceptual-cognitive expertise of athletes and non-athletes using sport specific and non-sport specific biological motion perception (BMP) tasks. Using a virtual environment, university-level soccer players and university students' non-athletes were asked to perceive the direction of a point-light walker and to predict the trajectory of a masked-ball during a point-light soccer kick. Angles of presentation were varied for orientation (upright, inverted) and distance (2 m, 4 m, 16 m). Accuracy and reaction time were measured to assess observers' performance. The results highlighted athletes' superior ability compared to non-athletes to accurately predict the trajectory of a masked soccer ball presented at 2 m (reaction time), 4 m (accuracy and reaction time), and 16 m (accuracy) of distance. More interestingly, experts also displayed greater performance compared to non-athletes throughout the more fundamental and general point-light walker direction task presented at 2 m (reaction time), 4 m (accuracy and reaction time), and 16 m (reaction time) of distance. In addition, athletes showed a better performance throughout inverted conditions in the walker (reaction time) and soccer kick (accuracy and reaction time) tasks. This implies that during human BMP, athletes demonstrate an advantage for recognizing body kinematics that goes beyond sport specific actions.", "author" : [ { "dropping-particle" : "", "family" : "Romeas", "given" : "Thomas", "non-dropping-particle" : "", "parse-names" : false, "suffix" : "" }, { "dropping-particle" : "", "family" : "Faubert", "given" : "Jocelyn", "non-dropping-particle" : "", "parse-names" : false, "suffix" : "" } ], "container-title" : "Frontiers in Psychology", "id" : "ITEM-1", "issue" : "SEPTEMBER 2015", "issued" : { "date-parts" : [ [ "2015" ] ] }, "page" : "1343", "title" : "Soccer athletes are superior to non-athletes at perceiving soccer-specific and non-sport specific human biological motion.", "type" : "article-journal", "volume" : "6" }, "uris" : [ "http://www.mendeley.com/documents/?uuid=e10b094e-ed4d-4fc9-90d3-f54aacd9f92e" ] } ], "mendeley" : { "formattedCitation" : "(Romeas &amp; Faubert, 2015)", "plainTextFormattedCitation" : "(Romeas &amp; Faubert, 2015)", "previouslyFormattedCitation" : "(Romeas &amp; Faubert, 2015)" }, "properties" : { "noteIndex" : 0 }, "schema" : "https://github.com/citation-style-language/schema/raw/master/csl-citation.json" }</w:instrText>
      </w:r>
      <w:r w:rsidRPr="00341B41">
        <w:rPr>
          <w:rFonts w:cs="Times New Roman"/>
        </w:rPr>
        <w:fldChar w:fldCharType="separate"/>
      </w:r>
      <w:r w:rsidR="0098293B" w:rsidRPr="00341B41">
        <w:rPr>
          <w:rFonts w:cs="Times New Roman"/>
          <w:noProof/>
        </w:rPr>
        <w:t>(Romeas &amp; Faubert, 2015)</w:t>
      </w:r>
      <w:r w:rsidRPr="00341B41">
        <w:rPr>
          <w:rFonts w:cs="Times New Roman"/>
        </w:rPr>
        <w:fldChar w:fldCharType="end"/>
      </w:r>
      <w:r w:rsidRPr="00341B41">
        <w:rPr>
          <w:rFonts w:cs="Times New Roman"/>
        </w:rPr>
        <w:t xml:space="preserve">. This study presented point-light displays of a soccer kick, with participants required to indicate ball direction, and also point-light displays of walking figures, with the task being required to indicate walking direction. They found not only were the experts faster and more accurate in the domain-specific task, but experts were also superior at perceiving the direction in the domain-general task. The results of these studies seem to suggest that experts do acquire some general understanding of kinematic relationships through their extensive training, or are able to identify elements of domain-specific actions in which they possess expertise within more general actions, and </w:t>
      </w:r>
      <w:r w:rsidRPr="00341B41">
        <w:rPr>
          <w:rFonts w:cs="Times New Roman"/>
        </w:rPr>
        <w:lastRenderedPageBreak/>
        <w:t>can use that knowledge and apply it to help understand kinematic information from a different domain.</w:t>
      </w:r>
    </w:p>
    <w:p w14:paraId="2EA70FE5" w14:textId="13E94ED2" w:rsidR="003C158C" w:rsidRPr="00341B41" w:rsidRDefault="00D15041" w:rsidP="00D15041">
      <w:pPr>
        <w:pStyle w:val="Heading2"/>
      </w:pPr>
      <w:bookmarkStart w:id="22" w:name="_Toc486260838"/>
      <w:r w:rsidRPr="00341B41">
        <w:t>1.5.</w:t>
      </w:r>
      <w:r w:rsidRPr="00341B41">
        <w:tab/>
        <w:t>Interim summary</w:t>
      </w:r>
      <w:bookmarkEnd w:id="22"/>
    </w:p>
    <w:p w14:paraId="599A382F" w14:textId="6AB134A6" w:rsidR="00D15041" w:rsidRPr="00341B41" w:rsidRDefault="00D15041" w:rsidP="00D15041">
      <w:r w:rsidRPr="00341B41">
        <w:t xml:space="preserve">Anticipation is a key skill in expert performance in sports. This section has reviewed the literature on the perceptual and cognitive mechanisms that underlie expert anticipation skill. Through a situational awareness framework, anticipation ability can be broken down into three stages. First, the observer must identify the relevant anticipatory cues present in the environment. Eye tracking studies have shown experts to have a more efficient visual search strategy than novices, typically showing fewer fixations of longer duration </w:t>
      </w:r>
      <w:r w:rsidRPr="00341B41">
        <w:fldChar w:fldCharType="begin" w:fldLock="1"/>
      </w:r>
      <w:r w:rsidR="0019756D" w:rsidRPr="00341B41">
        <w:instrText>ADDIN CSL_CITATION { "citationItems" : [ { "id" : "ITEM-1", "itemData" : { "author" : [ { "dropping-particle" : "", "family" : "Mann", "given" : "Derek T Y", "non-dropping-particle" : "", "parse-names" : false, "suffix" : "" }, { "dropping-particle" : "", "family" : "Williams", "given" : "Andrew Mark", "non-dropping-particle" : "", "parse-names" : false, "suffix" : "" }, { "dropping-particle" : "", "family" : "Ward", "given" : "Paul", "non-dropping-particle" : "", "parse-names" : false, "suffix" : "" }, { "dropping-particle" : "", "family" : "Janelle", "given" : "Christopher M", "non-dropping-particle" : "", "parse-names" : false, "suffix" : "" } ], "container-title" : "Journal of Sport and Exercise Psychology", "id" : "ITEM-1", "issued" : { "date-parts" : [ [ "2007" ] ] }, "page" : "457-478", "title" : "Perceptual-Cognitive Expertise in Sport: A Meta-Analysis", "type" : "article-journal", "volume" : "29" }, "uris" : [ "http://www.mendeley.com/documents/?uuid=784faa4e-a339-48ba-9b9c-856d3fd62279" ] } ], "mendeley" : { "formattedCitation" : "(D. T. Y. Mann et al., 2007)", "manualFormatting" : "(Mann et al., 2007)", "plainTextFormattedCitation" : "(D. T. Y. Mann et al., 2007)", "previouslyFormattedCitation" : "(D. T. Y. Mann et al., 2007)" }, "properties" : { "noteIndex" : 0 }, "schema" : "https://github.com/citation-style-language/schema/raw/master/csl-citation.json" }</w:instrText>
      </w:r>
      <w:r w:rsidRPr="00341B41">
        <w:fldChar w:fldCharType="separate"/>
      </w:r>
      <w:r w:rsidRPr="00341B41">
        <w:rPr>
          <w:noProof/>
        </w:rPr>
        <w:t>(Mann et al., 2007)</w:t>
      </w:r>
      <w:r w:rsidRPr="00341B41">
        <w:fldChar w:fldCharType="end"/>
      </w:r>
      <w:r w:rsidRPr="00341B41">
        <w:t xml:space="preserve">. </w:t>
      </w:r>
    </w:p>
    <w:p w14:paraId="63731251" w14:textId="76EBD8C8" w:rsidR="00D15041" w:rsidRPr="00341B41" w:rsidRDefault="00D15041" w:rsidP="00D15041">
      <w:pPr>
        <w:ind w:firstLine="720"/>
      </w:pPr>
      <w:r w:rsidRPr="00341B41">
        <w:t xml:space="preserve">Having identified the relevant environmental cues, the next stage in a successful anticipation is the comprehension of the relationship between all the cues previously identified, and the information conveyed in these relationships.  First, expert players are able to use an opponent’s kinematics to anticipate the outcome of a given action. This is achieved by a comprehension of the information contained in the relative motion between specific kinematic cues </w:t>
      </w:r>
      <w:r w:rsidRPr="00341B41">
        <w:fldChar w:fldCharType="begin" w:fldLock="1"/>
      </w:r>
      <w:r w:rsidR="0019756D" w:rsidRPr="00341B41">
        <w:instrText>ADDIN CSL_CITATION { "citationItems" : [ { "id" : "ITEM-1", "itemData" : { "DOI" : "10.1068/p2872", "ISBN" : "0301-0066", "ISSN" : "03010066", "PMID" : "11296504", "abstract" : "Two experiments were conducted on the nature of expert perception in the sport of squash. In the first experiment, ten expert and fifteen novice players attempted to predict the direction and force of squash strokes from either a film display (occluded at variable time periods before and after the opposing player had struck the ball) or a matched point-light display (containing only the basic kinematic features of the opponent's movement pattern). Experts out-performed the novices under both display conditions, and the same basic time windows that characterised expert and novice pick-up of information in the film task also persisted in the point-light task. This suggests that the experts' perceptual advantage is directly related to their superior pick-up of essential kinematic information. In the second experiment, the vision of six expert and six less skilled players was occluded by remotely triggered liquid-crystal spectacles at quasi-random intervals during simulated match play. Players were required to complete their current stroke even when the display was occluded and their prediction performance was assessed with respect to whether they moved to the correct half of the court to match the direction and depth of the opponent's stroke. Consistent with experiment 1, experts were found to be superior in their advance pick-up of both directional and depth information when the display was occluded during the opponent's hitting action. However, experts also remained better than chance, and clearly superior to less skilled players, in their prediction performance under conditions where occlusion occurred before any significant pre-contact preparatory movement by the opposing player was visible. This additional source of expert superiority is attributable to their superior attunement to the information contained in the situational probabilities and sequential dependences within their opponent's pattern of play.", "author" : [ { "dropping-particle" : "", "family" : "Abernethy", "given" : "Bruce", "non-dropping-particle" : "", "parse-names" : false, "suffix" : "" }, { "dropping-particle" : "", "family" : "Gill", "given" : "Danny P.", "non-dropping-particle" : "", "parse-names" : false, "suffix" : "" }, { "dropping-particle" : "", "family" : "Parks", "given" : "Sheri L.", "non-dropping-particle" : "", "parse-names" : false, "suffix" : "" }, { "dropping-particle" : "", "family" : "Packer", "given" : "Stephen T.", "non-dropping-particle" : "", "parse-names" : false, "suffix" : "" } ], "container-title" : "Perception", "id" : "ITEM-1", "issue" : "2", "issued" : { "date-parts" : [ [ "2001" ] ] }, "page" : "233-252", "title" : "Expertise and the perception of kinematic and situational probability information", "type" : "article-journal", "volume" : "30" }, "uris" : [ "http://www.mendeley.com/documents/?uuid=0ca36330-02f6-455a-94f6-00fec06ceb81" ] } ], "mendeley" : { "formattedCitation" : "(Abernethy et al., 2001)", "plainTextFormattedCitation" : "(Abernethy et al., 2001)", "previouslyFormattedCitation" : "(Abernethy et al., 2001)" }, "properties" : { "noteIndex" : 0 }, "schema" : "https://github.com/citation-style-language/schema/raw/master/csl-citation.json" }</w:instrText>
      </w:r>
      <w:r w:rsidRPr="00341B41">
        <w:fldChar w:fldCharType="separate"/>
      </w:r>
      <w:r w:rsidR="0098293B" w:rsidRPr="00341B41">
        <w:rPr>
          <w:noProof/>
        </w:rPr>
        <w:t>(Abernethy et al., 2001)</w:t>
      </w:r>
      <w:r w:rsidRPr="00341B41">
        <w:fldChar w:fldCharType="end"/>
      </w:r>
      <w:r w:rsidRPr="00341B41">
        <w:t xml:space="preserve">. Recent research on transfer effects has shown that this ability is a somewhat domain general ability, suggesting that experts develop a general understanding of fundamental relationships between kinematics and action outcomes from their domain specific training and experience </w:t>
      </w:r>
      <w:r w:rsidRPr="00341B41">
        <w:fldChar w:fldCharType="begin" w:fldLock="1"/>
      </w:r>
      <w:r w:rsidR="0019756D" w:rsidRPr="00341B41">
        <w:instrText>ADDIN CSL_CITATION { "citationItems" : [ { "id" : "ITEM-1", "itemData" : { "DOI" : "10.3389/fpsyg.2015.01343", "ISSN" : "1664-1078", "PMID" : "26388828", "abstract" : "Recent studies have shown that athletes' domain specific perceptual-cognitive expertise can transfer to everyday tasks. Here we assessed the perceptual-cognitive expertise of athletes and non-athletes using sport specific and non-sport specific biological motion perception (BMP) tasks. Using a virtual environment, university-level soccer players and university students' non-athletes were asked to perceive the direction of a point-light walker and to predict the trajectory of a masked-ball during a point-light soccer kick. Angles of presentation were varied for orientation (upright, inverted) and distance (2 m, 4 m, 16 m). Accuracy and reaction time were measured to assess observers' performance. The results highlighted athletes' superior ability compared to non-athletes to accurately predict the trajectory of a masked soccer ball presented at 2 m (reaction time), 4 m (accuracy and reaction time), and 16 m (accuracy) of distance. More interestingly, experts also displayed greater performance compared to non-athletes throughout the more fundamental and general point-light walker direction task presented at 2 m (reaction time), 4 m (accuracy and reaction time), and 16 m (reaction time) of distance. In addition, athletes showed a better performance throughout inverted conditions in the walker (reaction time) and soccer kick (accuracy and reaction time) tasks. This implies that during human BMP, athletes demonstrate an advantage for recognizing body kinematics that goes beyond sport specific actions.", "author" : [ { "dropping-particle" : "", "family" : "Romeas", "given" : "Thomas", "non-dropping-particle" : "", "parse-names" : false, "suffix" : "" }, { "dropping-particle" : "", "family" : "Faubert", "given" : "Jocelyn", "non-dropping-particle" : "", "parse-names" : false, "suffix" : "" } ], "container-title" : "Frontiers in Psychology", "id" : "ITEM-1", "issue" : "SEPTEMBER 2015", "issued" : { "date-parts" : [ [ "2015" ] ] }, "page" : "1343", "title" : "Soccer athletes are superior to non-athletes at perceiving soccer-specific and non-sport specific human biological motion.", "type" : "article-journal", "volume" : "6" }, "uris" : [ "http://www.mendeley.com/documents/?uuid=e10b094e-ed4d-4fc9-90d3-f54aacd9f92e" ] } ], "mendeley" : { "formattedCitation" : "(Romeas &amp; Faubert, 2015)", "plainTextFormattedCitation" : "(Romeas &amp; Faubert, 2015)", "previouslyFormattedCitation" : "(Romeas &amp; Faubert, 2015)" }, "properties" : { "noteIndex" : 0 }, "schema" : "https://github.com/citation-style-language/schema/raw/master/csl-citation.json" }</w:instrText>
      </w:r>
      <w:r w:rsidRPr="00341B41">
        <w:fldChar w:fldCharType="separate"/>
      </w:r>
      <w:r w:rsidR="0098293B" w:rsidRPr="00341B41">
        <w:rPr>
          <w:noProof/>
        </w:rPr>
        <w:t>(Romeas &amp; Faubert, 2015)</w:t>
      </w:r>
      <w:r w:rsidRPr="00341B41">
        <w:fldChar w:fldCharType="end"/>
      </w:r>
      <w:r w:rsidRPr="00341B41">
        <w:t xml:space="preserve">. </w:t>
      </w:r>
    </w:p>
    <w:p w14:paraId="7B932E93" w14:textId="5FB3F1D8" w:rsidR="00D15041" w:rsidRPr="00341B41" w:rsidRDefault="00D15041" w:rsidP="00D15041">
      <w:pPr>
        <w:ind w:firstLine="720"/>
      </w:pPr>
      <w:r w:rsidRPr="00341B41">
        <w:t xml:space="preserve">As well as using these mechanisms, expert players can also rely on situational probabilities and contextual information to help predict possible outcomes </w:t>
      </w:r>
      <w:r w:rsidRPr="00341B41">
        <w:fldChar w:fldCharType="begin" w:fldLock="1"/>
      </w:r>
      <w:r w:rsidR="0019756D" w:rsidRPr="00341B41">
        <w:instrText>ADDIN CSL_CITATION { "citationItems" : [ { "id" : "ITEM-1", "itemData" : { "DOI" : "10.1111/j.2044-8295.2010.02013.x", "ISSN" : "0007-1269", "PMID" : "21752003", "abstract" : "We manipulated contextual information in order to examine the perceptual-cognitive processes that support anticipation using a simulated cricket-batting task. Skilled (N= 10) and less skilled (N= 10) cricket batters responded to video simulations of opponents bowling a cricket ball under high and low contextual information conditions. Skilled batters were more accurate, demonstrated more effective search behaviours, and provided more detailed verbal reports of thinking. Moreover, when they viewed their opponent multiple times (high context), they reduced their mean fixation time. All batters improved performance and altered thought processes when in the high context, compared to when they responded to their opponent without previously seeing them bowl (low context). Findings illustrate how context influences performance and the search for relevant information when engaging in a dynamic, time-constrained task.", "author" : [ { "dropping-particle" : "", "family" : "McRobert", "given" : "Allistair P", "non-dropping-particle" : "", "parse-names" : false, "suffix" : "" }, { "dropping-particle" : "", "family" : "Ward", "given" : "Paul", "non-dropping-particle" : "", "parse-names" : false, "suffix" : "" }, { "dropping-particle" : "", "family" : "Eccles", "given" : "David W", "non-dropping-particle" : "", "parse-names" : false, "suffix" : "" }, { "dropping-particle" : "", "family" : "Williams", "given" : "Andrew Mark", "non-dropping-particle" : "", "parse-names" : false, "suffix" : "" } ], "container-title" : "British Journal of Psychology", "id" : "ITEM-1", "issue" : "3", "issued" : { "date-parts" : [ [ "2011", "8" ] ] }, "page" : "519-34", "title" : "The effect of manipulating context-specific information on perceptual-cognitive processes during a simulated anticipation task.", "type" : "article-journal", "volume" : "102" }, "uris" : [ "http://www.mendeley.com/documents/?uuid=6e3d7ac3-1253-466f-8549-14076d1cfb70" ] } ], "mendeley" : { "formattedCitation" : "(McRobert et al., 2011)", "plainTextFormattedCitation" : "(McRobert et al., 2011)", "previouslyFormattedCitation" : "(McRobert et al., 2011)" }, "properties" : { "noteIndex" : 0 }, "schema" : "https://github.com/citation-style-language/schema/raw/master/csl-citation.json" }</w:instrText>
      </w:r>
      <w:r w:rsidRPr="00341B41">
        <w:fldChar w:fldCharType="separate"/>
      </w:r>
      <w:r w:rsidR="0098293B" w:rsidRPr="00341B41">
        <w:rPr>
          <w:noProof/>
        </w:rPr>
        <w:t xml:space="preserve">(McRobert et </w:t>
      </w:r>
      <w:r w:rsidR="0098293B" w:rsidRPr="00341B41">
        <w:rPr>
          <w:noProof/>
        </w:rPr>
        <w:lastRenderedPageBreak/>
        <w:t>al., 2011)</w:t>
      </w:r>
      <w:r w:rsidRPr="00341B41">
        <w:fldChar w:fldCharType="end"/>
      </w:r>
      <w:r w:rsidRPr="00341B41">
        <w:t>. Through these strategies, an expert player is able to comprehend all the cues present in the environment, allowing them to make an accurate anticipatory judgement about how the environment will change in the future, or what the outcome of a perceived action will be.</w:t>
      </w:r>
    </w:p>
    <w:p w14:paraId="788195D8" w14:textId="2743FE9D" w:rsidR="00D15041" w:rsidRPr="00341B41" w:rsidRDefault="00D15041" w:rsidP="00D15041">
      <w:pPr>
        <w:pStyle w:val="Heading2"/>
      </w:pPr>
      <w:bookmarkStart w:id="23" w:name="_Toc486260839"/>
      <w:r w:rsidRPr="00341B41">
        <w:t>1.6.</w:t>
      </w:r>
      <w:r w:rsidRPr="00341B41">
        <w:tab/>
        <w:t>Action understanding in the brain</w:t>
      </w:r>
      <w:bookmarkEnd w:id="23"/>
    </w:p>
    <w:p w14:paraId="644C01C9" w14:textId="7F57956A" w:rsidR="005C2EE5" w:rsidRPr="00341B41" w:rsidRDefault="00252B08" w:rsidP="005C2EE5">
      <w:r w:rsidRPr="00341B41">
        <w:t xml:space="preserve">Through years of deliberate practice and intense training, the brain of an expert athlete is likely to undergo a number of changes as a result of the intense training required to become an expert. It has already been shown that expert athletes show differences in terms of brain activations and connectivity during laboratory tasks compared to novices </w:t>
      </w:r>
      <w:r w:rsidRPr="00341B41">
        <w:fldChar w:fldCharType="begin" w:fldLock="1"/>
      </w:r>
      <w:r w:rsidR="0019756D" w:rsidRPr="00341B41">
        <w:instrText>ADDIN CSL_CITATION { "citationItems" : [ { "id" : "ITEM-1", "itemData" : { "DOI" : "10.1371/journal.pone.0077764", "ISSN" : "1932-6203", "PMID" : "24204955", "abstract" : "The present study was designed to investigate the brain functional architecture that subserves visuo-spatial and motor processing in highly skilled individuals. By using functional magnetic resonance imaging (fMRI), we measured brain activity while eleven Formula racing-car drivers and eleven 'na\u00efve' volunteers performed a motor reaction and a visuo-spatial task. Tasks were set at a relatively low level of difficulty such to ensure a similar performance in the two groups and thus avoid any potential confounding effects on brain activity due to discrepancies in task execution. The brain functional organization was analyzed in terms of regional brain response, inter-regional interactions and blood oxygen level dependent (BOLD) signal variability. While performance levels were equal in the two groups, as compared to na\u00efve drivers, professional drivers showed a smaller volume recruitment of task-related regions, stronger connections among task-related areas, and an increased information integration as reflected by a higher signal temporal variability. In conclusion, our results demonstrate that, as compared to na\u00efve subjects, the brain functional architecture sustaining visuo-motor processing in professional racing-car drivers, trained to perform at the highest levels under extremely demanding conditions, undergoes both 'quantitative' and 'qualitative' modifications that are evident even when the brain is engaged in relatively simple, non-demanding tasks. These results provide novel evidence in favor of an increased 'neural efficiency' in the brain of highly skilled individuals.", "author" : [ { "dropping-particle" : "", "family" : "Bernardi", "given" : "Giulio", "non-dropping-particle" : "", "parse-names" : false, "suffix" : "" }, { "dropping-particle" : "", "family" : "Ricciardi", "given" : "Emiliano", "non-dropping-particle" : "", "parse-names" : false, "suffix" : "" }, { "dropping-particle" : "", "family" : "Sani", "given" : "Lorenzo", "non-dropping-particle" : "", "parse-names" : false, "suffix" : "" }, { "dropping-particle" : "", "family" : "Gaglianese", "given" : "Anna", "non-dropping-particle" : "", "parse-names" : false, "suffix" : "" }, { "dropping-particle" : "", "family" : "Papasogli", "given" : "Alessandra", "non-dropping-particle" : "", "parse-names" : false, "suffix" : "" }, { "dropping-particle" : "", "family" : "Ceccarelli", "given" : "Riccardo", "non-dropping-particle" : "", "parse-names" : false, "suffix" : "" }, { "dropping-particle" : "", "family" : "Franzoni", "given" : "Ferdinando", "non-dropping-particle" : "", "parse-names" : false, "suffix" : "" }, { "dropping-particle" : "", "family" : "Galetta", "given" : "Fabio", "non-dropping-particle" : "", "parse-names" : false, "suffix" : "" }, { "dropping-particle" : "", "family" : "Santoro", "given" : "Gino", "non-dropping-particle" : "", "parse-names" : false, "suffix" : "" }, { "dropping-particle" : "", "family" : "Goebel", "given" : "Rainer", "non-dropping-particle" : "", "parse-names" : false, "suffix" : "" }, { "dropping-particle" : "", "family" : "Pietrini", "given" : "Pietro", "non-dropping-particle" : "", "parse-names" : false, "suffix" : "" } ], "container-title" : "PLoS ONE", "id" : "ITEM-1", "issue" : "10", "issued" : { "date-parts" : [ [ "2013", "1" ] ] }, "page" : "1-11", "title" : "How skill expertise shapes the brain functional architecture: an FMRI study of visuo-spatial and motor processing in professional racing-car and na\u00efve drivers.", "type" : "article-journal", "volume" : "8" }, "uris" : [ "http://www.mendeley.com/documents/?uuid=ad515a88-8de0-4071-8c03-c882bae02dd3" ] }, { "id" : "ITEM-2", "itemData" : { "DOI" : "10.1016/j.bbr.2012.01.019", "ISSN" : "1872-7549", "PMID" : "22266924", "abstract" : "It is well known that elite athletes have higher performance in perception, planning, and execution in sports activities relative to novices. It remains controversial, however, whether any differences in basic cognitive functions between experts and novices exist. Furthermore, few studies have directly used functional magnetic resonance imaging (fMRI) to investigate neural activation and deactivation differences between experts and novices while performing visuospatial working memory (WM) tasks. Therefore, the purpose of this study was to examine possible differences in neural activation and deactivation associated with working memory components in processing visuospatial information between archery experts and novices. To this end, we employed a judgment of line orientation (JLO) task, which has a strong WM component. With regard to brain activation, archery experts displayed higher activation in cortical areas associated with visuospatial attention and working memory, including the middle frontal cortex, supplemental motor area, and dorsolateral prefrontal cortex than that of the novices during the performance of the JLO task. With regard to brain deactivation, archery experts exhibited stronger task-related deactivation in cortical areas, such as the paracentral cortex/precuneus and the anterior and posterior cingulate cortex related to the default network, than that of the novices. These results suggest that the archery experts have a strategy that demands greater use of neural correlates associated with visuospatial working memory and attention in addition to greater use of DMN in visuospatial working memory task not directly tied to their domain of expertise.", "author" : [ { "dropping-particle" : "", "family" : "Seo", "given" : "Jeehye", "non-dropping-particle" : "", "parse-names" : false, "suffix" : "" }, { "dropping-particle" : "", "family" : "Kim", "given" : "Yang-Tae", "non-dropping-particle" : "", "parse-names" : false, "suffix" : "" }, { "dropping-particle" : "", "family" : "Song", "given" : "Hui-Jin", "non-dropping-particle" : "", "parse-names" : false, "suffix" : "" }, { "dropping-particle" : "", "family" : "Lee", "given" : "Hui Joong", "non-dropping-particle" : "", "parse-names" : false, "suffix" : "" }, { "dropping-particle" : "", "family" : "Lee", "given" : "Jongmin", "non-dropping-particle" : "", "parse-names" : false, "suffix" : "" }, { "dropping-particle" : "", "family" : "Jung", "given" : "Tae-Du", "non-dropping-particle" : "", "parse-names" : false, "suffix" : "" }, { "dropping-particle" : "", "family" : "Lee", "given" : "Gunyoung", "non-dropping-particle" : "", "parse-names" : false, "suffix" : "" }, { "dropping-particle" : "", "family" : "Kwon", "given" : "Eunjin", "non-dropping-particle" : "", "parse-names" : false, "suffix" : "" }, { "dropping-particle" : "", "family" : "Kim", "given" : "Jin Gu", "non-dropping-particle" : "", "parse-names" : false, "suffix" : "" }, { "dropping-particle" : "", "family" : "Chang", "given" : "Yongmin", "non-dropping-particle" : "", "parse-names" : false, "suffix" : "" } ], "container-title" : "Behavioural Brain Research", "id" : "ITEM-2", "issue" : "1", "issued" : { "date-parts" : [ [ "2012", "4", "1" ] ] }, "page" : "185-93", "publisher" : "Elsevier B.V.", "title" : "Stronger activation and deactivation in archery experts for differential cognitive strategy in visuospatial working memory processing.", "type" : "article-journal", "volume" : "229" }, "uris" : [ "http://www.mendeley.com/documents/?uuid=78e73c43-e61b-46fb-be9b-8d4c9cab87e5" ] } ], "mendeley" : { "formattedCitation" : "(Bernardi et al., 2013; Seo et al., 2012)", "plainTextFormattedCitation" : "(Bernardi et al., 2013; Seo et al., 2012)", "previouslyFormattedCitation" : "(Bernardi et al., 2013; Seo et al., 2012)" }, "properties" : { "noteIndex" : 0 }, "schema" : "https://github.com/citation-style-language/schema/raw/master/csl-citation.json" }</w:instrText>
      </w:r>
      <w:r w:rsidRPr="00341B41">
        <w:fldChar w:fldCharType="separate"/>
      </w:r>
      <w:r w:rsidR="0098293B" w:rsidRPr="00341B41">
        <w:rPr>
          <w:noProof/>
        </w:rPr>
        <w:t>(Bernardi et al., 2013; Seo et al., 2012)</w:t>
      </w:r>
      <w:r w:rsidRPr="00341B41">
        <w:fldChar w:fldCharType="end"/>
      </w:r>
      <w:r w:rsidRPr="00341B41">
        <w:t xml:space="preserve">. Furthermore, evidence from experts in a variety of different sports have found differences in terms of brain structure, when compared to novices. These differences have largely been found in terms of differences in grey matter volume in cerebellum </w:t>
      </w:r>
      <w:r w:rsidRPr="00341B41">
        <w:fldChar w:fldCharType="begin" w:fldLock="1"/>
      </w:r>
      <w:r w:rsidR="000849A7" w:rsidRPr="00341B41">
        <w:instrText>ADDIN CSL_CITATION { "citationItems" : [ { "id" : "ITEM-1", "itemData" : { "DOI" : "10.1007/s12311-009-0100-1", "ISSN" : "14734222", "PMID" : "19259755", "abstract" : "The cerebellum is involved in the learning and retention of motor skills. Using animal and human models, a number of studies have shown that long-term motor skill training induces structural and functional plasticity in the cerebellum. The aim of this study was to investigate whether macroscopic alteration in the volume of cerebellum occurs in basketball players who had learned complex motor skills and practiced them intensively for a long time. Three-dimensional magnetic resonance imaging volumetry was performed in basketball players (n = 19) and healthy controls (n = 20), and the volumes of cerebellum and vermian lobules were compared between two groups. Although there was no macroscopic plasticity detected in the cerebellum as a whole, detailed parcellation of cerebellum revealed morphological enlargement in the vermian lobules VI-VII (declive, folium, and tuber) of basketball players (P &lt; 0.0166), which might then be interpreted as evidence for plasticity. This finding suggests that the extensive practice and performance of sports-related motor skills activate structural plasticity of vermian lobules in human cerebellum and suggests that vermian VI-VII plays an important role in motor learning.", "author" : [ { "dropping-particle" : "", "family" : "Park", "given" : "In Sung", "non-dropping-particle" : "", "parse-names" : false, "suffix" : "" }, { "dropping-particle" : "", "family" : "Lee", "given" : "Kea Joo", "non-dropping-particle" : "", "parse-names" : false, "suffix" : "" }, { "dropping-particle" : "", "family" : "Han", "given" : "Jong Woo", "non-dropping-particle" : "", "parse-names" : false, "suffix" : "" }, { "dropping-particle" : "", "family" : "Lee", "given" : "Nam Joon", "non-dropping-particle" : "", "parse-names" : false, "suffix" : "" }, { "dropping-particle" : "", "family" : "Lee", "given" : "Won Teak", "non-dropping-particle" : "", "parse-names" : false, "suffix" : "" }, { "dropping-particle" : "", "family" : "Park", "given" : "Kyung Ah", "non-dropping-particle" : "", "parse-names" : false, "suffix" : "" }, { "dropping-particle" : "", "family" : "Rhyu", "given" : "Im Joo", "non-dropping-particle" : "", "parse-names" : false, "suffix" : "" } ], "container-title" : "Cerebellum", "id" : "ITEM-1", "issue" : "3", "issued" : { "date-parts" : [ [ "2009" ] ] }, "page" : "334-339", "title" : "Experience-dependent plasticity of cerebellar vermis in basketball players", "type" : "article-journal", "volume" : "8" }, "uris" : [ "http://www.mendeley.com/documents/?uuid=c552fca8-1663-41e6-b95b-ef5598ba2d2a" ] }, { "id" : "ITEM-2", "itemData" : { "DOI" : "10.1007/s12311-012-0366-6", "ISBN" : "1231101203666", "ISSN" : "14734222", "PMID" : "22351379", "abstract" : "The cerebellum is associated with balance control and coordination, which might be important for gliding on smooth ice at high speeds. A number of case studies have shown that cerebellar damage induces impaired balance and coordination. As a positive model, therefore, we investigated whether plastic changes in the volumes of cerebellar subregions occur in short-track speed skating players who must have extraordinary abilities of balance and coordination, using three-dimensional magnetic resonance imaging volumetry. The manual tracing was performed and the volumes of cerebellar hemisphere and vermian lobules were compared between short-track speed skating players (n=16) and matched healthy controls (n=18). We found larger right cerebellar hemisphere volume and vermian lobules VI-VII (declive, folium, and tuber) in short-track speed skating players in comparison with the matched controls. The finding suggests that the specialized abilities of balance and coordination are associated with structural plasticity of the right hemisphere of cerebellum and vermian VI-VII and these regions play an essential role in balance and coordination.", "author" : [ { "dropping-particle" : "", "family" : "Park", "given" : "In Sung", "non-dropping-particle" : "", "parse-names" : false, "suffix" : "" }, { "dropping-particle" : "", "family" : "Lee", "given" : "Nam Joon", "non-dropping-particle" : "", "parse-names" : false, "suffix" : "" }, { "dropping-particle" : "", "family" : "Kim", "given" : "Tae Young", "non-dropping-particle" : "", "parse-names" : false, "suffix" : "" }, { "dropping-particle" : "", "family" : "Park", "given" : "Jin Hoon", "non-dropping-particle" : "", "parse-names" : false, "suffix" : "" }, { "dropping-particle" : "", "family" : "Won", "given" : "Yu Mi", "non-dropping-particle" : "", "parse-names" : false, "suffix" : "" }, { "dropping-particle" : "", "family" : "Jung", "given" : "Yong Ju", "non-dropping-particle" : "", "parse-names" : false, "suffix" : "" }, { "dropping-particle" : "", "family" : "Yoon", "given" : "Jin Hwan", "non-dropping-particle" : "", "parse-names" : false, "suffix" : "" }, { "dropping-particle" : "", "family" : "Rhyu", "given" : "Im Joo", "non-dropping-particle" : "", "parse-names" : false, "suffix" : "" } ], "container-title" : "Cerebellum", "id" : "ITEM-2", "issue" : "4", "issued" : { "date-parts" : [ [ "2012" ] ] }, "page" : "925-930", "title" : "Volumetric analysis of cerebellum in short-track speed skating players", "type" : "article-journal", "volume" : "11" }, "uris" : [ "http://www.mendeley.com/documents/?uuid=99086b2d-d49b-477f-8dfa-8142e9f0e6eb" ] } ], "mendeley" : { "formattedCitation" : "(I. S. Park et al., 2009, 2012)", "manualFormatting" : "(Park et al., 2009, 2012)", "plainTextFormattedCitation" : "(I. S. Park et al., 2009, 2012)", "previouslyFormattedCitation" : "(I. S. Park et al., 2009, 2012)" }, "properties" : { "noteIndex" : 0 }, "schema" : "https://github.com/citation-style-language/schema/raw/master/csl-citation.json" }</w:instrText>
      </w:r>
      <w:r w:rsidRPr="00341B41">
        <w:fldChar w:fldCharType="separate"/>
      </w:r>
      <w:r w:rsidRPr="00341B41">
        <w:rPr>
          <w:noProof/>
        </w:rPr>
        <w:t>(Park et al., 2009, 2012)</w:t>
      </w:r>
      <w:r w:rsidRPr="00341B41">
        <w:fldChar w:fldCharType="end"/>
      </w:r>
      <w:r w:rsidRPr="00341B41">
        <w:t xml:space="preserve">, and increased integrity of white matter connections in both the cerebellum and motor cortex </w:t>
      </w:r>
      <w:r w:rsidRPr="00341B41">
        <w:fldChar w:fldCharType="begin" w:fldLock="1"/>
      </w:r>
      <w:r w:rsidR="00384056" w:rsidRPr="00341B41">
        <w:instrText>ADDIN CSL_CITATION { "citationItems" : [ { "id" : "ITEM-1", "itemData" : { "DOI" : "10.1093/cercor/bhs219", "ISBN" : "1460-2199 (Electronic)\\r1047-3211 (Linking)", "ISSN" : "10473211", "PMID" : "22892425", "abstract" : "Recent investigations into the neural basis of elite sporting performance have focused on whether cortical activity might characterize individual differences in ability. However, very little is understood about how changes in brain structure might contribute to individual differences in expert motor control. We compared the behavior and brain structure of healthy controls with a group of karate black belts, an expert group who are able to perform rapid, complex movements that require years of training. Using 3D motion tracking, we investigated whether the ability to control ballistic arm movements was associated with differences in white matter microstructure. We found that karate experts are better able than novices to coordinate the timing of inter-segmental joint velocities. Diffusion tensor imaging revealed significant differences between the groups in the microstructure of white matter in the superior cerebellar peduncles (SCPs) and primary motor cortex-brain regions that are critical to the voluntary control of movement. Motor coordination, the amount of experience, and the age at which training began were all associated with individual differences in white matter integrity in the cerebellum within the karate groups. These findings suggest a role for the white matter pathways of the SCPs in motor expertise.", "author" : [ { "dropping-particle" : "", "family" : "Roberts", "given" : "R. E.", "non-dropping-particle" : "", "parse-names" : false, "suffix" : "" }, { "dropping-particle" : "", "family" : "Bain", "given" : "P. G.", "non-dropping-particle" : "", "parse-names" : false, "suffix" : "" }, { "dropping-particle" : "", "family" : "Day", "given" : "B. L.", "non-dropping-particle" : "", "parse-names" : false, "suffix" : "" }, { "dropping-particle" : "", "family" : "Husain", "given" : "M.", "non-dropping-particle" : "", "parse-names" : false, "suffix" : "" } ], "container-title" : "Cerebral Cortex", "id" : "ITEM-1", "issue" : "10", "issued" : { "date-parts" : [ [ "2013", "10" ] ] }, "page" : "2282-2292", "title" : "Individual differences in expert motor coordination associated with white matter microstructure in the cerebellum", "type" : "article-journal", "volume" : "23" }, "uris" : [ "http://www.mendeley.com/documents/?uuid=aff3f95c-02f1-4a74-ae94-49ec260cce34" ] } ], "mendeley" : { "formattedCitation" : "(Roberts, Bain, Day, &amp; Husain, 2013)", "plainTextFormattedCitation" : "(Roberts, Bain, Day, &amp; Husain, 2013)", "previouslyFormattedCitation" : "(Roberts, Bain, Day, &amp; Husain, 2013)" }, "properties" : { "noteIndex" : 0 }, "schema" : "https://github.com/citation-style-language/schema/raw/master/csl-citation.json" }</w:instrText>
      </w:r>
      <w:r w:rsidRPr="00341B41">
        <w:fldChar w:fldCharType="separate"/>
      </w:r>
      <w:r w:rsidR="0098293B" w:rsidRPr="00341B41">
        <w:rPr>
          <w:noProof/>
        </w:rPr>
        <w:t>(Roberts, Bain, Day, &amp; Husain, 2013)</w:t>
      </w:r>
      <w:r w:rsidRPr="00341B41">
        <w:fldChar w:fldCharType="end"/>
      </w:r>
      <w:r w:rsidRPr="00341B41">
        <w:t xml:space="preserve">. Structural differences in other motor areas such as the premotor cortex (PMC), and supplementary motor area (SMA) have also been reported </w:t>
      </w:r>
      <w:r w:rsidRPr="00341B41">
        <w:fldChar w:fldCharType="begin" w:fldLock="1"/>
      </w:r>
      <w:r w:rsidR="0019756D" w:rsidRPr="00341B41">
        <w:instrText>ADDIN CSL_CITATION { "citationItems" : [ { "id" : "ITEM-1", "itemData" : { "DOI" : "10.1002/hbm.20928", "ISBN" : "1097-0193 (Electronic)\\n1065-9471 (Linking)", "ISSN" : "10659471", "PMID" : "20024944", "abstract" : "Evidence suggests that motor, sensory, and cognitive training modulates brain structures involved in a specific practice. Functional neuroimaging revealed key brain structures involved in dancing such as the putamen and the premotor cortex. Intensive ballet dance training was expected to modulate the structures of the sensorimotor network, for example, the putamen, premotor cortex, supplementary motor area (SMA), and the corticospinal tracts. We investigated gray (GM) and white matter (WM) volumes, fractional anisotropy (FA), and mean diffusivity (MD) using magnetic resonance-based morphometry and diffusion tensor imaging in 10 professional female ballet dancers compared with 10 nondancers. In dancers compared with nondancers, decreased GM volumes were observed in the left premotor cortex, SMA, putamen, and superior frontal gyrus, and decreased WM volumes in both corticospinal tracts, both internal capsules, corpus callosum, and left anterior cingulum. FA was lower in the WM underlying the dancers' left and right premotor cortex. There were no significant differences in MD between the groups. Age of dance commencement was negatively correlated with GM and WM volume in the right premotor cortex and internal capsule, respectively, and positively correlated with WM volume in the left precentral gyrus and corpus callosum. Results were not influenced by the significantly lower body mass index of the dancers. The present findings complement the results of functional imaging studies in experts that revealed reduced neural activity in skilled compared with nonskilled subjects. Reductions in brain activity are accompanied by local decreases in GM and WM volumes and decreased FA.", "author" : [ { "dropping-particle" : "", "family" : "H\u00e4nggi", "given" : "J\u00fcrgen", "non-dropping-particle" : "", "parse-names" : false, "suffix" : "" }, { "dropping-particle" : "", "family" : "Koeneke", "given" : "Susan", "non-dropping-particle" : "", "parse-names" : false, "suffix" : "" }, { "dropping-particle" : "", "family" : "Bezzola", "given" : "Ladina", "non-dropping-particle" : "", "parse-names" : false, "suffix" : "" }, { "dropping-particle" : "", "family" : "J\u00e4ncke", "given" : "Lutz", "non-dropping-particle" : "", "parse-names" : false, "suffix" : "" } ], "container-title" : "Human Brain Mapping", "id" : "ITEM-1", "issue" : "8", "issued" : { "date-parts" : [ [ "2010" ] ] }, "page" : "1196-1206", "title" : "Structural neuroplasticity in the sensorimotor network of professional female ballet dancers", "type" : "article-journal", "volume" : "31" }, "uris" : [ "http://www.mendeley.com/documents/?uuid=a581b26c-0d31-4d14-833a-f18867f9ba86" ] } ], "mendeley" : { "formattedCitation" : "(H\u00e4nggi, Koeneke, Bezzola, &amp; J\u00e4ncke, 2010)", "plainTextFormattedCitation" : "(H\u00e4nggi, Koeneke, Bezzola, &amp; J\u00e4ncke, 2010)", "previouslyFormattedCitation" : "(H\u00e4nggi, Koeneke, Bezzola, &amp; J\u00e4ncke, 2010)" }, "properties" : { "noteIndex" : 0 }, "schema" : "https://github.com/citation-style-language/schema/raw/master/csl-citation.json" }</w:instrText>
      </w:r>
      <w:r w:rsidRPr="00341B41">
        <w:fldChar w:fldCharType="separate"/>
      </w:r>
      <w:r w:rsidR="0098293B" w:rsidRPr="00341B41">
        <w:rPr>
          <w:noProof/>
        </w:rPr>
        <w:t>(Hänggi, Koeneke, Bezzola, &amp; Jäncke, 2010)</w:t>
      </w:r>
      <w:r w:rsidRPr="00341B41">
        <w:fldChar w:fldCharType="end"/>
      </w:r>
      <w:r w:rsidRPr="00341B41">
        <w:t xml:space="preserve">. It has been suggested these differences are due the extensive practice and performance of specific motor skills that are required by expert athletes </w:t>
      </w:r>
      <w:r w:rsidRPr="00341B41">
        <w:fldChar w:fldCharType="begin" w:fldLock="1"/>
      </w:r>
      <w:r w:rsidR="000849A7" w:rsidRPr="00341B41">
        <w:instrText>ADDIN CSL_CITATION { "citationItems" : [ { "id" : "ITEM-1", "itemData" : { "DOI" : "10.1007/s12311-009-0100-1", "ISSN" : "14734222", "PMID" : "19259755", "abstract" : "The cerebellum is involved in the learning and retention of motor skills. Using animal and human models, a number of studies have shown that long-term motor skill training induces structural and functional plasticity in the cerebellum. The aim of this study was to investigate whether macroscopic alteration in the volume of cerebellum occurs in basketball players who had learned complex motor skills and practiced them intensively for a long time. Three-dimensional magnetic resonance imaging volumetry was performed in basketball players (n = 19) and healthy controls (n = 20), and the volumes of cerebellum and vermian lobules were compared between two groups. Although there was no macroscopic plasticity detected in the cerebellum as a whole, detailed parcellation of cerebellum revealed morphological enlargement in the vermian lobules VI-VII (declive, folium, and tuber) of basketball players (P &lt; 0.0166), which might then be interpreted as evidence for plasticity. This finding suggests that the extensive practice and performance of sports-related motor skills activate structural plasticity of vermian lobules in human cerebellum and suggests that vermian VI-VII plays an important role in motor learning.", "author" : [ { "dropping-particle" : "", "family" : "Park", "given" : "In Sung", "non-dropping-particle" : "", "parse-names" : false, "suffix" : "" }, { "dropping-particle" : "", "family" : "Lee", "given" : "Kea Joo", "non-dropping-particle" : "", "parse-names" : false, "suffix" : "" }, { "dropping-particle" : "", "family" : "Han", "given" : "Jong Woo", "non-dropping-particle" : "", "parse-names" : false, "suffix" : "" }, { "dropping-particle" : "", "family" : "Lee", "given" : "Nam Joon", "non-dropping-particle" : "", "parse-names" : false, "suffix" : "" }, { "dropping-particle" : "", "family" : "Lee", "given" : "Won Teak", "non-dropping-particle" : "", "parse-names" : false, "suffix" : "" }, { "dropping-particle" : "", "family" : "Park", "given" : "Kyung Ah", "non-dropping-particle" : "", "parse-names" : false, "suffix" : "" }, { "dropping-particle" : "", "family" : "Rhyu", "given" : "Im Joo", "non-dropping-particle" : "", "parse-names" : false, "suffix" : "" } ], "container-title" : "Cerebellum", "id" : "ITEM-1", "issue" : "3", "issued" : { "date-parts" : [ [ "2009" ] ] }, "page" : "334-339", "title" : "Experience-dependent plasticity of cerebellar vermis in basketball players", "type" : "article-journal", "volume" : "8" }, "uris" : [ "http://www.mendeley.com/documents/?uuid=c552fca8-1663-41e6-b95b-ef5598ba2d2a" ] } ], "mendeley" : { "formattedCitation" : "(I. S. Park et al., 2009)", "manualFormatting" : "(Park et al., 2009)", "plainTextFormattedCitation" : "(I. S. Park et al., 2009)", "previouslyFormattedCitation" : "(I. S. Park et al., 2009)" }, "properties" : { "noteIndex" : 0 }, "schema" : "https://github.com/citation-style-language/schema/raw/master/csl-citation.json" }</w:instrText>
      </w:r>
      <w:r w:rsidRPr="00341B41">
        <w:fldChar w:fldCharType="separate"/>
      </w:r>
      <w:r w:rsidRPr="00341B41">
        <w:rPr>
          <w:noProof/>
        </w:rPr>
        <w:t>(Park et al., 2009)</w:t>
      </w:r>
      <w:r w:rsidRPr="00341B41">
        <w:fldChar w:fldCharType="end"/>
      </w:r>
      <w:r w:rsidRPr="00341B41">
        <w:t xml:space="preserve">. It should be noted however that because studies were cross sectional, it is not possible to say whether these structural differences reflect innate characteristics in athletes, or whether changes occur specifically as a result of a rigorous training regime. </w:t>
      </w:r>
    </w:p>
    <w:p w14:paraId="0108C077" w14:textId="547F6483" w:rsidR="00607EDB" w:rsidRPr="00341B41" w:rsidRDefault="00252B08" w:rsidP="002978C8">
      <w:pPr>
        <w:ind w:firstLine="720"/>
      </w:pPr>
      <w:r w:rsidRPr="00341B41">
        <w:lastRenderedPageBreak/>
        <w:t xml:space="preserve">There do appear to be both structural and functional differences in the brains of athletes compared to those of non-athletes. As such, differences in brain function should underpin the differences in behavioural performance in anticipation tasks discussed in </w:t>
      </w:r>
      <w:r w:rsidR="002D48A5" w:rsidRPr="00341B41">
        <w:t>section 1.4</w:t>
      </w:r>
      <w:r w:rsidRPr="00341B41">
        <w:t>. The following sections shall overview potential neural mechanisms that may facilitate expert action anticipation. Then the current literature on the neural basis of expert anticipation in sports shall be discussed.</w:t>
      </w:r>
    </w:p>
    <w:p w14:paraId="12A64AC4" w14:textId="1A45F93C" w:rsidR="00216828" w:rsidRPr="00341B41" w:rsidRDefault="003F1AB1" w:rsidP="003F1AB1">
      <w:pPr>
        <w:pStyle w:val="Heading3"/>
      </w:pPr>
      <w:bookmarkStart w:id="24" w:name="_Toc486260840"/>
      <w:r w:rsidRPr="00341B41">
        <w:t>1.6.1.</w:t>
      </w:r>
      <w:r w:rsidRPr="00341B41">
        <w:tab/>
      </w:r>
      <w:r w:rsidR="00CB16E8" w:rsidRPr="00341B41">
        <w:t>The action observation network</w:t>
      </w:r>
      <w:bookmarkEnd w:id="24"/>
    </w:p>
    <w:p w14:paraId="6B6D0B84" w14:textId="77777777" w:rsidR="005E5F5C" w:rsidRPr="00341B41" w:rsidRDefault="005E5F5C" w:rsidP="005E5F5C">
      <w:r w:rsidRPr="00341B41">
        <w:t xml:space="preserve">In humans, the action observation network (AON) is a network of brain structures that activates to the observation of biological motion </w:t>
      </w:r>
      <w:r w:rsidRPr="00341B41">
        <w:fldChar w:fldCharType="begin" w:fldLock="1"/>
      </w:r>
      <w:r w:rsidRPr="00341B41">
        <w:instrText>ADDIN CSL_CITATION { "citationItems" : [ { "id" : "ITEM-1", "itemData" : { "DOI" : "10.1016/j.neuroimage.2009.12.112", "ISSN" : "1095-9572", "PMID" : "20056149", "abstract" : "Over the last decade, many neuroimaging studies have assessed the human brain networks underlying action observation and imitation using a variety of tasks and paradigms. Nevertheless, questions concerning which areas consistently contribute to these networks irrespective of the particular experimental design and how such processing may be lateralized remain unresolved. The current study aimed at identifying cortical areas consistently involved in action observation and imitation by combining activation likelihood estimation (ALE) meta-analysis with probabilistic cytoarchitectonic maps. Meta-analysis of 139 functional magnetic resonance and positron emission tomography experiments revealed a bilateral network for both action observation and imitation. Additional subanalyses for different effectors within each network revealed highly comparable activation patterns to the overall analyses on observation and imitation, respectively, indicating an independence of these findings from potential confounds. Conjunction analysis of action observation and imitation meta-analyses revealed a bilateral network within frontal premotor, parietal, and temporo-occipital cortex. The most consistently rostral inferior parietal area was PFt, providing evidence for a possible homology of this region to macaque area PF. The observation and imitation networks differed particularly with respect to the involvement of Broca's area: whereas both networks involved a caudo-dorsal part of BA 44, activation during observation was most consistent in a more rostro-dorsal location, i.e., dorsal BA 45, while activation during imitation was most consistent in a more ventro-caudal aspect, i.e., caudal BA 44. The present meta-analysis thus summarizes and amends previous descriptions of the human brain networks related to action observation and imitation.", "author" : [ { "dropping-particle" : "", "family" : "Caspers", "given" : "Svenja", "non-dropping-particle" : "", "parse-names" : false, "suffix" : "" }, { "dropping-particle" : "", "family" : "Zilles", "given" : "Karl", "non-dropping-particle" : "", "parse-names" : false, "suffix" : "" }, { "dropping-particle" : "", "family" : "Laird", "given" : "Angela R", "non-dropping-particle" : "", "parse-names" : false, "suffix" : "" }, { "dropping-particle" : "", "family" : "Eickhoff", "given" : "Simon B", "non-dropping-particle" : "", "parse-names" : false, "suffix" : "" } ], "container-title" : "NeuroImage", "id" : "ITEM-1", "issue" : "3", "issued" : { "date-parts" : [ [ "2010", "4", "15" ] ] }, "page" : "1148-67", "title" : "ALE meta-analysis of action observation and imitation in the human brain.", "type" : "article-journal", "volume" : "50" }, "uris" : [ "http://www.mendeley.com/documents/?uuid=a925a6c5-a957-4cdb-8778-cd652c495eaf" ] } ], "mendeley" : { "formattedCitation" : "(Caspers, Zilles, Laird, &amp; Eickhoff, 2010)", "plainTextFormattedCitation" : "(Caspers, Zilles, Laird, &amp; Eickhoff, 2010)", "previouslyFormattedCitation" : "(Caspers, Zilles, Laird, &amp; Eickhoff, 2010)" }, "properties" : { "noteIndex" : 0 }, "schema" : "https://github.com/citation-style-language/schema/raw/master/csl-citation.json" }</w:instrText>
      </w:r>
      <w:r w:rsidRPr="00341B41">
        <w:fldChar w:fldCharType="separate"/>
      </w:r>
      <w:r w:rsidRPr="00341B41">
        <w:rPr>
          <w:noProof/>
        </w:rPr>
        <w:t>(Caspers, Zilles, Laird, &amp; Eickhoff, 2010)</w:t>
      </w:r>
      <w:r w:rsidRPr="00341B41">
        <w:fldChar w:fldCharType="end"/>
      </w:r>
      <w:r w:rsidRPr="00341B41">
        <w:t xml:space="preserve">. The functional roles of the AON are to facilitate the processing of biological motion, the development of motor representations, and understanding intention from observed actions </w:t>
      </w:r>
      <w:r w:rsidRPr="00341B41">
        <w:fldChar w:fldCharType="begin" w:fldLock="1"/>
      </w:r>
      <w:r w:rsidRPr="00341B41">
        <w:instrText>ADDIN CSL_CITATION { "citationItems" : [ { "id" : "ITEM-1", "itemData" : { "DOI" : "10.1016/j.neuroimage.2011.05.044", "ISBN" : "1095-9572 (Electronic) 1053-8119 (Linking)", "ISSN" : "10538119", "PMID" : "21640836", "abstract" : "Interacting with others in the environment requires that we perceive and recognize their movements and actions. Neuroimaging and neuropsychological studies have indicated that a number of brain regions, particularly the superior temporal sulcus, are involved in a number of processes essential for action recognition, including the processing of biological motion and processing the intentions of actions. We review the behavioral and neuroimaging evidence suggesting that while some aspects of action recognition might be rapid and effective, they are not necessarily automatic. Attention is particularly important when visual information about actions is degraded or ambiguous, or if competing information is present. We present evidence indicating that neural responses associated with the processing of biological motion are strongly modulated by attention. In addition, behavioral and neuroimaging evidence shows that drawing inferences from the actions of others is attentionally demanding. The role of attention in action observation has implications for everyday social interactions and workplace applications that depend on observing, understanding and interpreting actions. \u00a9 2011.", "author" : [ { "dropping-particle" : "", "family" : "Thompson", "given" : "James", "non-dropping-particle" : "", "parse-names" : false, "suffix" : "" }, { "dropping-particle" : "", "family" : "Parasuraman", "given" : "Raja", "non-dropping-particle" : "", "parse-names" : false, "suffix" : "" } ], "container-title" : "NeuroImage", "id" : "ITEM-1", "issue" : "1", "issued" : { "date-parts" : [ [ "2012" ] ] }, "page" : "4-13", "title" : "Attention, biological motion, and action recognition", "type" : "article-journal", "volume" : "59" }, "uris" : [ "http://www.mendeley.com/documents/?uuid=2b41ea65-8127-4c6b-82a8-bb42b5d12460" ] } ], "mendeley" : { "formattedCitation" : "(Thompson &amp; Parasuraman, 2012)", "plainTextFormattedCitation" : "(Thompson &amp; Parasuraman, 2012)", "previouslyFormattedCitation" : "(Thompson &amp; Parasuraman, 2012)" }, "properties" : { "noteIndex" : 0 }, "schema" : "https://github.com/citation-style-language/schema/raw/master/csl-citation.json" }</w:instrText>
      </w:r>
      <w:r w:rsidRPr="00341B41">
        <w:fldChar w:fldCharType="separate"/>
      </w:r>
      <w:r w:rsidRPr="00341B41">
        <w:rPr>
          <w:noProof/>
        </w:rPr>
        <w:t>(Thompson &amp; Parasuraman, 2012)</w:t>
      </w:r>
      <w:r w:rsidRPr="00341B41">
        <w:fldChar w:fldCharType="end"/>
      </w:r>
      <w:r w:rsidRPr="00341B41">
        <w:t xml:space="preserve">. The early processing of biological motion, and the development of motor representations, are believed to occur in posterior regions of the AON such as the </w:t>
      </w:r>
      <w:proofErr w:type="spellStart"/>
      <w:r w:rsidRPr="00341B41">
        <w:t>extrastriate</w:t>
      </w:r>
      <w:proofErr w:type="spellEnd"/>
      <w:r w:rsidRPr="00341B41">
        <w:t xml:space="preserve"> body area (EBA) and the superior temporal sulcus (STS) respectively </w:t>
      </w:r>
      <w:r w:rsidRPr="00341B41">
        <w:fldChar w:fldCharType="begin" w:fldLock="1"/>
      </w:r>
      <w:r w:rsidRPr="00341B41">
        <w:instrText>ADDIN CSL_CITATION { "citationItems" : [ { "id" : "ITEM-1", "itemData" : { "ISSN" : "0896-6273", "PMID" : "12354405", "abstract" : "Theories of vision posit that form and motion are represented by neural mechanisms segregated into functionally and anatomically distinct pathways. Using point-light animations of biological motion, we examine the extent to which form and motion pathways are mutually involved in perceiving figures depicted by the spatio-temporal integration of local motion components. Previous work discloses that viewing biological motion selectively activates a region on the posterior superior temporal sulcus (STSp). Here we report that the occipital and fusiform face areas (OFA and FFA) also contain neural signals capable of differentiating biological from nonbiological motion. EBA and LOC, although involved in perception of human form, do not contain neural signals selective for biological motion. Our results suggest that a network of distributed neural areas in the form and motion pathways underlie the perception of biological motion.", "author" : [ { "dropping-particle" : "", "family" : "Grossman", "given" : "Emily D", "non-dropping-particle" : "", "parse-names" : false, "suffix" : "" }, { "dropping-particle" : "", "family" : "Blake", "given" : "Randolph", "non-dropping-particle" : "", "parse-names" : false, "suffix" : "" } ], "container-title" : "Neuron", "id" : "ITEM-1", "issue" : "6", "issued" : { "date-parts" : [ [ "2002", "9", "12" ] ] }, "page" : "1167-75", "title" : "Brain Areas Active during Visual Perception of Biological Motion.", "type" : "article-journal", "volume" : "35" }, "uris" : [ "http://www.mendeley.com/documents/?uuid=00ef2872-e506-4d61-af6b-e5bfd7af1e17" ] }, { "id" : "ITEM-2", "itemData" : { "DOI" : "10.3389/neuro.09.015.2010", "ISBN" : "1662-5161 (Electronic)\\r1662-5161 (Linking)", "ISSN" : "1662-5161", "PMID" : "20431723", "abstract" : "Neuroimaging studies of biological motion perception have found a network of coordinated brain areas, the hub of which appears to be the human posterior superior temporal sulcus (STSp). Understanding the functional role of the STSp requires characterizing the response tuning of neuronal populations underlying the BOLD response. Thus far our understanding of these response properties comes from single-unit studies of the monkey anterior STS, which has individual neurons tuned to body actions, with a small population invariant to changes in viewpoint, position and size of the action being viewed. To measure for homologous functional properties on the human STS, we used fMR-adaptation to investigate action, position and size invariance. Observers viewed pairs of point-light animations depicting human actions that were either identical, differed in the action depicted, locally scrambled, or differed in the viewing perspective, the position or the size. While extrastriate hMT+ had neural signals indicative of viewpoint specificity, the human STS adapted for all of these changes, as compared to viewing two different actions. Similar findings were observed in more posterior brain areas also implicated in action recognition. Our findings are evidence for viewpoint invariance in the human STS and related brain areas, with the implication that actions are abstracted into object-centered representations during visual analysis.", "author" : [ { "dropping-particle" : "", "family" : "Grossman", "given" : "Emily D", "non-dropping-particle" : "", "parse-names" : false, "suffix" : "" }, { "dropping-particle" : "", "family" : "Jardine", "given" : "Nicole L", "non-dropping-particle" : "", "parse-names" : false, "suffix" : "" }, { "dropping-particle" : "", "family" : "Pyles", "given" : "John a", "non-dropping-particle" : "", "parse-names" : false, "suffix" : "" } ], "container-title" : "Frontiers in Human Neuroscience", "id" : "ITEM-2", "issue" : "March", "issued" : { "date-parts" : [ [ "2010" ] ] }, "page" : "15", "title" : "fMR-Adaptation Reveals Invariant Coding of Biological Motion on the Human STS.", "type" : "article-journal", "volume" : "4" }, "uris" : [ "http://www.mendeley.com/documents/?uuid=9ccf81cd-b0f4-48dd-be9b-e8967a686022" ] }, { "id" : "ITEM-3", "itemData" : { "DOI" : "10.1523/JNEUROSCI.4870-08.2009", "ISSN" : "1529-2401", "PMID" : "19494153", "abstract" : "In a series of human functional magnetic resonance imaging experiments, we systematically manipulated point-light stimuli to identify the contributions of the various areas implicated in biological motion processing (for review, see Giese and Poggio, 2003). The first experiment consisted of a 2 x 2 factorial design with global shape and kinematics as factors. In two additional experiments, we investigated the contributions of local opponent motion, the complexity of the portrayed movement and a one-back task to the activation pattern. Experiment 1 revealed a clear separation between shape and motion processing, resulting in two branches of activation. A ventral region, extending from the lateral occipital sulcus to the posterior inferior temporal gyrus, showed a main effect of shape and its extension into the fusiform gyrus also an interaction. The dorsal region, including the posterior inferior temporal sulcus and the posterior superior temporal sulcus (pSTS), showed a main effect of kinematics together with an interaction. Region of interest analysis identified these interaction sites as the extrastriate and fusiform body areas (EBA and FBA). The local opponent motion cue yielded only little activation, limited to the ventral region (experiment 3). Our results suggest that the EBA and the FBA correspond to the initial stages in visual action analysis, in which the performed action is linked to the body of the actor. Moreover, experiment 2 indicates that the body areas are activated automatically even in the absence of a task, whereas other cortical areas like pSTS or frontal regions depend on the complexity of movements or task instructions for their activation.", "author" : [ { "dropping-particle" : "", "family" : "Jastorff", "given" : "Jan", "non-dropping-particle" : "", "parse-names" : false, "suffix" : "" }, { "dropping-particle" : "", "family" : "Orban", "given" : "Guy a", "non-dropping-particle" : "", "parse-names" : false, "suffix" : "" } ], "container-title" : "The Journal of Neuroscience", "id" : "ITEM-3", "issue" : "22", "issued" : { "date-parts" : [ [ "2009" ] ] }, "page" : "7315-7329", "title" : "Human functional magnetic resonance imaging reveals separation and integration of shape and motion cues in biological motion processing.", "type" : "article-journal", "volume" : "29" }, "uris" : [ "http://www.mendeley.com/documents/?uuid=c7bfa026-29be-4fc1-bebe-ea6bb036efc9" ] } ], "mendeley" : { "formattedCitation" : "(Grossman &amp; Blake, 2002; Grossman, Jardine, &amp; Pyles, 2010; Jastorff &amp; Orban, 2009)", "plainTextFormattedCitation" : "(Grossman &amp; Blake, 2002; Grossman, Jardine, &amp; Pyles, 2010; Jastorff &amp; Orban, 2009)", "previouslyFormattedCitation" : "(Grossman &amp; Blake, 2002; Grossman, Jardine, &amp; Pyles, 2010; Jastorff &amp; Orban, 2009)" }, "properties" : { "noteIndex" : 0 }, "schema" : "https://github.com/citation-style-language/schema/raw/master/csl-citation.json" }</w:instrText>
      </w:r>
      <w:r w:rsidRPr="00341B41">
        <w:fldChar w:fldCharType="separate"/>
      </w:r>
      <w:r w:rsidRPr="00341B41">
        <w:rPr>
          <w:noProof/>
        </w:rPr>
        <w:t>(Grossman &amp; Blake, 2002; Grossman, Jardine, &amp; Pyles, 2010; Jastorff &amp; Orban, 2009)</w:t>
      </w:r>
      <w:r w:rsidRPr="00341B41">
        <w:fldChar w:fldCharType="end"/>
      </w:r>
      <w:r w:rsidRPr="00341B41">
        <w:t xml:space="preserve">. For more details see Thompson &amp; </w:t>
      </w:r>
      <w:proofErr w:type="spellStart"/>
      <w:r w:rsidRPr="00341B41">
        <w:t>Parasuraman</w:t>
      </w:r>
      <w:proofErr w:type="spellEnd"/>
      <w:r w:rsidRPr="00341B41">
        <w:t xml:space="preserve"> (2012). </w:t>
      </w:r>
    </w:p>
    <w:p w14:paraId="2117E80F" w14:textId="77777777" w:rsidR="005E5F5C" w:rsidRPr="00341B41" w:rsidRDefault="005E5F5C" w:rsidP="005E5F5C">
      <w:pPr>
        <w:ind w:firstLine="720"/>
      </w:pPr>
      <w:r w:rsidRPr="00341B41">
        <w:t>The regions of the AON involved in action understanding, and therefore likely to be most important in action anticipation, are the fronto-parietal areas of the network, comprising primarily the ventral pre-motor cortex (</w:t>
      </w:r>
      <w:proofErr w:type="spellStart"/>
      <w:r w:rsidRPr="00341B41">
        <w:t>vPMC</w:t>
      </w:r>
      <w:proofErr w:type="spellEnd"/>
      <w:r w:rsidRPr="00341B41">
        <w:t xml:space="preserve">), inferior frontal gyrus (IFG), and the IPL </w:t>
      </w:r>
      <w:r w:rsidRPr="00341B41">
        <w:fldChar w:fldCharType="begin" w:fldLock="1"/>
      </w:r>
      <w:r w:rsidRPr="00341B41">
        <w:instrText>ADDIN CSL_CITATION { "citationItems" : [ { "id" : "ITEM-1", "itemData" : { "DOI" : "10.1016/j.neuroimage.2011.05.044", "ISBN" : "1095-9572 (Electronic) 1053-8119 (Linking)", "ISSN" : "10538119", "PMID" : "21640836", "abstract" : "Interacting with others in the environment requires that we perceive and recognize their movements and actions. Neuroimaging and neuropsychological studies have indicated that a number of brain regions, particularly the superior temporal sulcus, are involved in a number of processes essential for action recognition, including the processing of biological motion and processing the intentions of actions. We review the behavioral and neuroimaging evidence suggesting that while some aspects of action recognition might be rapid and effective, they are not necessarily automatic. Attention is particularly important when visual information about actions is degraded or ambiguous, or if competing information is present. We present evidence indicating that neural responses associated with the processing of biological motion are strongly modulated by attention. In addition, behavioral and neuroimaging evidence shows that drawing inferences from the actions of others is attentionally demanding. The role of attention in action observation has implications for everyday social interactions and workplace applications that depend on observing, understanding and interpreting actions. \u00a9 2011.", "author" : [ { "dropping-particle" : "", "family" : "Thompson", "given" : "James", "non-dropping-particle" : "", "parse-names" : false, "suffix" : "" }, { "dropping-particle" : "", "family" : "Parasuraman", "given" : "Raja", "non-dropping-particle" : "", "parse-names" : false, "suffix" : "" } ], "container-title" : "NeuroImage", "id" : "ITEM-1", "issue" : "1", "issued" : { "date-parts" : [ [ "2012" ] ] }, "page" : "4-13", "title" : "Attention, biological motion, and action recognition", "type" : "article-journal", "volume" : "59" }, "uris" : [ "http://www.mendeley.com/documents/?uuid=2b41ea65-8127-4c6b-82a8-bb42b5d12460" ] } ], "mendeley" : { "formattedCitation" : "(Thompson &amp; Parasuraman, 2012)", "plainTextFormattedCitation" : "(Thompson &amp; Parasuraman, 2012)", "previouslyFormattedCitation" : "(Thompson &amp; Parasuraman, 2012)" }, "properties" : { "noteIndex" : 0 }, "schema" : "https://github.com/citation-style-language/schema/raw/master/csl-citation.json" }</w:instrText>
      </w:r>
      <w:r w:rsidRPr="00341B41">
        <w:fldChar w:fldCharType="separate"/>
      </w:r>
      <w:r w:rsidRPr="00341B41">
        <w:rPr>
          <w:noProof/>
        </w:rPr>
        <w:t>(Thompson &amp; Parasuraman, 2012)</w:t>
      </w:r>
      <w:r w:rsidRPr="00341B41">
        <w:fldChar w:fldCharType="end"/>
      </w:r>
      <w:r w:rsidRPr="00341B41">
        <w:t xml:space="preserve">. The primary functional role of this part of the AON is to use the processed biological motion information to understand the intentions of another individual’s actions. For instance, activations in the IPL are related to understanding the end goal of the action being performed, rather than the specific effectors </w:t>
      </w:r>
      <w:r w:rsidRPr="00341B41">
        <w:lastRenderedPageBreak/>
        <w:t xml:space="preserve">being used to perform the action </w:t>
      </w:r>
      <w:r w:rsidRPr="00341B41">
        <w:fldChar w:fldCharType="begin" w:fldLock="1"/>
      </w:r>
      <w:r w:rsidRPr="00341B41">
        <w:instrText>ADDIN CSL_CITATION { "citationItems" : [ { "id" : "ITEM-1", "itemData" : { "DOI" : "10.1152/jn.00254.2010", "ISBN" : "1522-1598 (Electronic)\\r0022-3077 (Linking)", "ISSN" : "0022-3077", "PMID" : "20445039", "abstract" : "Understanding actions of conspecifics is a fundamental social ability depending largely on the activation of a parieto-frontal network. Using functional MRI (fMRI), we studied how goal-directed movements (i.e., motor acts) performed by others are coded within this network. In the first experiment, we presented volunteers with video clips showing four different motor acts (dragging, dropping, grasping, and pushing) performed with different effectors (foot, hand, and mouth). We found that the coding of observed motor acts differed between premotor and parietal cortex. In the premotor cortex, they clustered according to the effector used, and in the inferior parietal lobule (IPL), they clustered according to the type of the observed motor act, regardless of the effector. Two subsequent experiments in which we directly contrasted these four motor acts indicated that, in IPL, the observed motor acts are coded according to the relationship between agent and object: Movements bringing the object toward the agent (grasping and dragging) activate a site corresponding approximately to the ventral part of the putative human AIP (phAIP), whereas movements moving the object away from the agent (pushing and dropping) are clustered dorsally within this area. These data provide indications that the phAIP region plays a role in categorizing motor acts according to their behavioral significance. In addition, our results suggest that in the case of motor acts typically done with the hand, the representations of such acts in phAIP are used as templates for coding motor acts executed with other effectors.", "author" : [ { "dropping-particle" : "", "family" : "Jastorff", "given" : "Jan", "non-dropping-particle" : "", "parse-names" : false, "suffix" : "" }, { "dropping-particle" : "", "family" : "Begliomini", "given" : "Chiara", "non-dropping-particle" : "", "parse-names" : false, "suffix" : "" }, { "dropping-particle" : "", "family" : "Fabbri-Destro", "given" : "Maddalena", "non-dropping-particle" : "", "parse-names" : false, "suffix" : "" }, { "dropping-particle" : "", "family" : "Rizzolatti", "given" : "Giacomo", "non-dropping-particle" : "", "parse-names" : false, "suffix" : "" }, { "dropping-particle" : "", "family" : "Orban", "given" : "Guy a", "non-dropping-particle" : "", "parse-names" : false, "suffix" : "" } ], "container-title" : "Journal of Neurophysiology", "id" : "ITEM-1", "issue" : "1", "issued" : { "date-parts" : [ [ "2010" ] ] }, "page" : "128-140", "title" : "Coding observed motor acts: different organizational principles in the parietal and premotor cortex of humans.", "type" : "article-journal", "volume" : "104" }, "uris" : [ "http://www.mendeley.com/documents/?uuid=898452ac-c1f3-4255-9a9b-4d82036fb2ec" ] } ], "mendeley" : { "formattedCitation" : "(Jastorff, Begliomini, Fabbri-Destro, Rizzolatti, &amp; Orban, 2010)", "plainTextFormattedCitation" : "(Jastorff, Begliomini, Fabbri-Destro, Rizzolatti, &amp; Orban, 2010)", "previouslyFormattedCitation" : "(Jastorff, Begliomini, Fabbri-Destro, Rizzolatti, &amp; Orban, 2010)" }, "properties" : { "noteIndex" : 0 }, "schema" : "https://github.com/citation-style-language/schema/raw/master/csl-citation.json" }</w:instrText>
      </w:r>
      <w:r w:rsidRPr="00341B41">
        <w:fldChar w:fldCharType="separate"/>
      </w:r>
      <w:r w:rsidRPr="00341B41">
        <w:rPr>
          <w:noProof/>
        </w:rPr>
        <w:t>(Jastorff, Begliomini, Fabbri-Destro, Rizzolatti, &amp; Orban, 2010)</w:t>
      </w:r>
      <w:r w:rsidRPr="00341B41">
        <w:fldChar w:fldCharType="end"/>
      </w:r>
      <w:r w:rsidRPr="00341B41">
        <w:t xml:space="preserve">. In frontal areas, the IFG shows a similar role in coding for the goal of the observed action, whilst the </w:t>
      </w:r>
      <w:proofErr w:type="spellStart"/>
      <w:r w:rsidRPr="00341B41">
        <w:t>vPMC</w:t>
      </w:r>
      <w:proofErr w:type="spellEnd"/>
      <w:r w:rsidRPr="00341B41">
        <w:t xml:space="preserve"> appears to be organised according to the effector being observed </w:t>
      </w:r>
      <w:r w:rsidRPr="00341B41">
        <w:fldChar w:fldCharType="begin" w:fldLock="1"/>
      </w:r>
      <w:r w:rsidRPr="00341B41">
        <w:instrText>ADDIN CSL_CITATION { "citationItems" : [ { "id" : "ITEM-1", "itemData" : { "DOI" : "10.1016/j.neuroimage.2003.12.043", "ISBN" : "1053-8119 (Print)", "ISSN" : "10538119", "PMID" : "15110018", "abstract" : "Activation of premotor and temporoparietal cortex occurs when we observe others movements, particularly relating to objects. Viewing the motion of different body parts without the context of an object has not been systematically evaluated. During a 3T fMRI study, 12 healthy subjects viewed human face, hand, and leg motion, which was not directed at or did not involve an object. Activation was identified relative to static images of the same human face, hand, and leg in both individual subject and group average data. Four clear activation foci emerged: (1) right MT/V5 activated to all forms of viewed motion; (2) right STS activated to face and leg motion; (3) ventral premotor cortex activated to face, hand, and leg motion in the right hemisphere and to leg motion in the left hemisphere; and (4) anterior intraparietal cortex (aIP) was active bilaterally to viewing hand motion and in the right hemisphere leg motion. In addition, in the group data, a somatotopic activation pattern for viewing face, hand, and leg motion occurred in right ventral premotor cortex. Activation patterns in STS and aIP were more complex - typically activation foci to viewing two types of human motion showed some overlap. Activation in individual subjects was similar; however, activation to hand motion also occurred in the STS with a variable location across subjects - explaining the lack of a clear activation focus in the group data. The data indicate that there are selective responses to viewing motion of different body parts in the human brain that are independent of object or tool use. ?? 2004 Elsevier Inc. All rights reserved.", "author" : [ { "dropping-particle" : "", "family" : "Wheaton", "given" : "Kylie J.", "non-dropping-particle" : "", "parse-names" : false, "suffix" : "" }, { "dropping-particle" : "", "family" : "Thompson", "given" : "James C.", "non-dropping-particle" : "", "parse-names" : false, "suffix" : "" }, { "dropping-particle" : "", "family" : "Syngeniotis", "given" : "Ari", "non-dropping-particle" : "", "parse-names" : false, "suffix" : "" }, { "dropping-particle" : "", "family" : "Abbott", "given" : "David F.", "non-dropping-particle" : "", "parse-names" : false, "suffix" : "" }, { "dropping-particle" : "", "family" : "Puce", "given" : "Aina", "non-dropping-particle" : "", "parse-names" : false, "suffix" : "" } ], "container-title" : "NeuroImage", "id" : "ITEM-1", "issue" : "1", "issued" : { "date-parts" : [ [ "2004" ] ] }, "page" : "277-288", "title" : "Viewing the motion of human body parts activates different regions of premotor, temporal, and parietal cortex", "type" : "article-journal", "volume" : "22" }, "uris" : [ "http://www.mendeley.com/documents/?uuid=7b4e53a3-d055-4a5f-b176-e3ec69e41611" ] } ], "mendeley" : { "formattedCitation" : "(Wheaton, Thompson, Syngeniotis, Abbott, &amp; Puce, 2004)", "plainTextFormattedCitation" : "(Wheaton, Thompson, Syngeniotis, Abbott, &amp; Puce, 2004)", "previouslyFormattedCitation" : "(Wheaton, Thompson, Syngeniotis, Abbott, &amp; Puce, 2004)" }, "properties" : { "noteIndex" : 0 }, "schema" : "https://github.com/citation-style-language/schema/raw/master/csl-citation.json" }</w:instrText>
      </w:r>
      <w:r w:rsidRPr="00341B41">
        <w:fldChar w:fldCharType="separate"/>
      </w:r>
      <w:r w:rsidRPr="00341B41">
        <w:rPr>
          <w:noProof/>
        </w:rPr>
        <w:t>(Wheaton, Thompson, Syngeniotis, Abbott, &amp; Puce, 2004)</w:t>
      </w:r>
      <w:r w:rsidRPr="00341B41">
        <w:fldChar w:fldCharType="end"/>
      </w:r>
      <w:r w:rsidRPr="00341B41">
        <w:t xml:space="preserve">. For example, observing mouth, leg, and hand actions activates </w:t>
      </w:r>
      <w:proofErr w:type="spellStart"/>
      <w:r w:rsidRPr="00341B41">
        <w:t>vPMC</w:t>
      </w:r>
      <w:proofErr w:type="spellEnd"/>
      <w:r w:rsidRPr="00341B41">
        <w:t xml:space="preserve"> regions specific for each of those actions. </w:t>
      </w:r>
    </w:p>
    <w:p w14:paraId="253FCC24" w14:textId="2DEDA5C4" w:rsidR="005E5F5C" w:rsidRPr="00341B41" w:rsidRDefault="005E5F5C" w:rsidP="005E5F5C">
      <w:pPr>
        <w:ind w:firstLine="720"/>
      </w:pPr>
      <w:r w:rsidRPr="00341B41">
        <w:t xml:space="preserve">In a meta-analysis of 125 human fMRI studies, degree of overlap in terms of regional activations were compared in studies featuring both an action execution condition, and an action observation condition </w:t>
      </w:r>
      <w:r w:rsidRPr="00341B41">
        <w:fldChar w:fldCharType="begin" w:fldLock="1"/>
      </w:r>
      <w:r w:rsidR="00384056" w:rsidRPr="00341B41">
        <w:instrText>ADDIN CSL_CITATION { "citationItems" : [ { "id" : "ITEM-1", "itemData" : { "DOI" : "10.1016/j.neubiorev.2011.07.004", "ISSN" : "1873-7528", "PMID" : "21782846", "abstract" : "Mirror neurons in macaque area F5 fire when an animal performs an action, such as a mouth or limb movement, and also when the animal passively observes an identical or similar action performed by another individual. Brain-imaging studies in humans conducted over the last 20 years have repeatedly attempted to reveal analogous brain regions with mirror properties in humans, with broad and often speculative claims about their functional significance across a range of cognitive domains, from language to social cognition. Despite such concerted efforts, the likely neural substrates of these mirror regions have remained controversial, and indeed the very existence of a distinct subcategory of human neurons with mirroring properties has been questioned. Here we used activation likelihood estimation (ALE), to provide a quantitative index of the consistency of patterns of fMRI activity measured in human studies of action observation and action execution. From an initial sample of more than 300 published works, data from 125 papers met our strict inclusion and exclusion criteria. The analysis revealed 14 separate clusters in which activation has been consistently attributed to brain regions with mirror properties, encompassing 9 different Brodmann areas. These clusters were located in areas purported to show mirroring properties in the macaque, such as the inferior parietal lobule, inferior frontal gyrus and the adjacent ventral premotor cortex, but surprisingly also in regions such as the primary visual cortex, cerebellum and parts of the limbic system. Our findings suggest a core network of human brain regions that possess mirror properties associated with action observation and execution, with additional areas recruited during tasks that engage non-motor functions, such as auditory, somatosensory and affective components.", "author" : [ { "dropping-particle" : "", "family" : "Molenberghs", "given" : "Pascal", "non-dropping-particle" : "", "parse-names" : false, "suffix" : "" }, { "dropping-particle" : "", "family" : "Cunnington", "given" : "Ross", "non-dropping-particle" : "", "parse-names" : false, "suffix" : "" }, { "dropping-particle" : "", "family" : "Mattingley", "given" : "Jason B", "non-dropping-particle" : "", "parse-names" : false, "suffix" : "" } ], "container-title" : "Neuroscience and Biobehavioural Reviews", "id" : "ITEM-1", "issue" : "1", "issued" : { "date-parts" : [ [ "2012", "1" ] ] }, "page" : "341-9", "title" : "Brain regions with mirror properties: a meta-analysis of 125 human fMRI studies.", "type" : "article-journal", "volume" : "36" }, "uris" : [ "http://www.mendeley.com/documents/?uuid=0e13b34c-ebcd-4804-b463-f3c245b51479" ] } ], "mendeley" : { "formattedCitation" : "(Molenberghs, Cunnington, &amp; Mattingley, 2012)", "plainTextFormattedCitation" : "(Molenberghs, Cunnington, &amp; Mattingley, 2012)", "previouslyFormattedCitation" : "(Molenberghs, Cunnington, &amp; Mattingley, 2012)" }, "properties" : { "noteIndex" : 0 }, "schema" : "https://github.com/citation-style-language/schema/raw/master/csl-citation.json" }</w:instrText>
      </w:r>
      <w:r w:rsidRPr="00341B41">
        <w:fldChar w:fldCharType="separate"/>
      </w:r>
      <w:r w:rsidR="004C1B53" w:rsidRPr="00341B41">
        <w:rPr>
          <w:noProof/>
        </w:rPr>
        <w:t>(Molenberghs, Cunnington, &amp; Mattingley, 2012)</w:t>
      </w:r>
      <w:r w:rsidRPr="00341B41">
        <w:fldChar w:fldCharType="end"/>
      </w:r>
      <w:r w:rsidRPr="00341B41">
        <w:t xml:space="preserve">. It was found that the </w:t>
      </w:r>
      <w:proofErr w:type="spellStart"/>
      <w:r w:rsidRPr="00341B41">
        <w:t>vPMC</w:t>
      </w:r>
      <w:proofErr w:type="spellEnd"/>
      <w:r w:rsidRPr="00341B41">
        <w:t xml:space="preserve">, IFG, and IPL were all consistently activated during both the execution and observation of goal-directed actions, and suggests </w:t>
      </w:r>
      <w:r w:rsidR="0002485E" w:rsidRPr="00341B41">
        <w:t xml:space="preserve">possible overlap between regions involved in action execution and action understanding </w:t>
      </w:r>
      <w:r w:rsidRPr="00341B41">
        <w:fldChar w:fldCharType="begin" w:fldLock="1"/>
      </w:r>
      <w:r w:rsidRPr="00341B41">
        <w:instrText>ADDIN CSL_CITATION { "citationItems" : [ { "id" : "ITEM-1", "itemData" : { "DOI" : "10.1016/j.neubiorev.2011.07.004", "ISSN" : "1873-7528", "PMID" : "21782846", "abstract" : "Mirror neurons in macaque area F5 fire when an animal performs an action, such as a mouth or limb movement, and also when the animal passively observes an identical or similar action performed by another individual. Brain-imaging studies in humans conducted over the last 20 years have repeatedly attempted to reveal analogous brain regions with mirror properties in humans, with broad and often speculative claims about their functional significance across a range of cognitive domains, from language to social cognition. Despite such concerted efforts, the likely neural substrates of these mirror regions have remained controversial, and indeed the very existence of a distinct subcategory of human neurons with mirroring properties has been questioned. Here we used activation likelihood estimation (ALE), to provide a quantitative index of the consistency of patterns of fMRI activity measured in human studies of action observation and action execution. From an initial sample of more than 300 published works, data from 125 papers met our strict inclusion and exclusion criteria. The analysis revealed 14 separate clusters in which activation has been consistently attributed to brain regions with mirror properties, encompassing 9 different Brodmann areas. These clusters were located in areas purported to show mirroring properties in the macaque, such as the inferior parietal lobule, inferior frontal gyrus and the adjacent ventral premotor cortex, but surprisingly also in regions such as the primary visual cortex, cerebellum and parts of the limbic system. Our findings suggest a core network of human brain regions that possess mirror properties associated with action observation and execution, with additional areas recruited during tasks that engage non-motor functions, such as auditory, somatosensory and affective components.", "author" : [ { "dropping-particle" : "", "family" : "Molenberghs", "given" : "Pascal", "non-dropping-particle" : "", "parse-names" : false, "suffix" : "" }, { "dropping-particle" : "", "family" : "Cunnington", "given" : "Ross", "non-dropping-particle" : "", "parse-names" : false, "suffix" : "" }, { "dropping-particle" : "", "family" : "Mattingley", "given" : "Jason B", "non-dropping-particle" : "", "parse-names" : false, "suffix" : "" } ], "container-title" : "Neuroscience and Biobehavioural Reviews", "id" : "ITEM-1", "issue" : "1", "issued" : { "date-parts" : [ [ "2012", "1" ] ] }, "page" : "341-9", "title" : "Brain regions with mirror properties: a meta-analysis of 125 human fMRI studies.", "type" : "article-journal", "volume" : "36" }, "uris" : [ "http://www.mendeley.com/documents/?uuid=0e13b34c-ebcd-4804-b463-f3c245b51479" ] } ], "mendeley" : { "formattedCitation" : "(Molenberghs et al., 2012)", "plainTextFormattedCitation" : "(Molenberghs et al., 2012)", "previouslyFormattedCitation" : "(Molenberghs et al., 2012)" }, "properties" : { "noteIndex" : 0 }, "schema" : "https://github.com/citation-style-language/schema/raw/master/csl-citation.json" }</w:instrText>
      </w:r>
      <w:r w:rsidRPr="00341B41">
        <w:fldChar w:fldCharType="separate"/>
      </w:r>
      <w:r w:rsidRPr="00341B41">
        <w:rPr>
          <w:noProof/>
        </w:rPr>
        <w:t>(Molenberghs et al., 2012)</w:t>
      </w:r>
      <w:r w:rsidRPr="00341B41">
        <w:fldChar w:fldCharType="end"/>
      </w:r>
      <w:r w:rsidRPr="00341B41">
        <w:t xml:space="preserve">. </w:t>
      </w:r>
    </w:p>
    <w:p w14:paraId="5E337ED0" w14:textId="0EE43AE6" w:rsidR="00805FAB" w:rsidRPr="00341B41" w:rsidRDefault="00805FAB" w:rsidP="00805FAB">
      <w:pPr>
        <w:pStyle w:val="Heading3"/>
      </w:pPr>
      <w:bookmarkStart w:id="25" w:name="_Toc486260841"/>
      <w:r w:rsidRPr="00341B41">
        <w:t>1.6.2.</w:t>
      </w:r>
      <w:r w:rsidRPr="00341B41">
        <w:tab/>
        <w:t>Expertise modulation of the action observation network</w:t>
      </w:r>
      <w:bookmarkEnd w:id="25"/>
      <w:r w:rsidRPr="00341B41">
        <w:tab/>
      </w:r>
    </w:p>
    <w:p w14:paraId="35B405D3" w14:textId="4FB9A86E" w:rsidR="00F52B95" w:rsidRPr="00341B41" w:rsidRDefault="00F52B95" w:rsidP="00F52B95">
      <w:r w:rsidRPr="00341B41">
        <w:t xml:space="preserve">In a study investigating expert ballet dancers, expert capoeira dancers, and non-dancers, significant increases in fronto-parietal AON regions were found when the dance groups were observing actions from their own dance style, in comparison to observing actions from the other style, in which they had no motor expertise </w:t>
      </w:r>
      <w:r w:rsidRPr="00341B41">
        <w:fldChar w:fldCharType="begin" w:fldLock="1"/>
      </w:r>
      <w:r w:rsidR="004C1B53" w:rsidRPr="00341B41">
        <w:instrText>ADDIN CSL_CITATION { "citationItems" : [ { "id" : "ITEM-1", "itemData" : { "DOI" : "10.1093/cercor/bhi007", "ISSN" : "1047-3211", "PMID" : "15616133", "abstract" : "When we observe someone performing an action, do our brains simulate making that action? Acquired motor skills offer a unique way to test this question, since people differ widely in the actions they have learned to perform. We used functional magnetic resonance imaging to study differences in brain activity between watching an action that one has learned to do and an action that one has not, in order to assess whether the brain processes of action observation are modulated by the expertise and motor repertoire of the observer. Experts in classical ballet, experts in capoeira and inexpert control subjects viewed videos of ballet or capoeira actions. Comparing the brain activity when dancers watched their own dance style versus the other style therefore reveals the influence of motor expertise on action observation. We found greater bilateral activations in premotor cortex and intraparietal sulcus, right superior parietal lobe and left posterior superior temporal sulcus when expert dancers viewed movements that they had been trained to perform compared to movements they had not. Our results show that this 'mirror system' integrates observed actions of others with an individual's personal motor repertoire, and suggest that the human brain understands actions by motor simulation.", "author" : [ { "dropping-particle" : "", "family" : "Calvo-Merino", "given" : "Beatriz", "non-dropping-particle" : "", "parse-names" : false, "suffix" : "" }, { "dropping-particle" : "", "family" : "Glaser", "given" : "D E", "non-dropping-particle" : "", "parse-names" : false, "suffix" : "" }, { "dropping-particle" : "", "family" : "Gr\u00e8zes", "given" : "J", "non-dropping-particle" : "", "parse-names" : false, "suffix" : "" }, { "dropping-particle" : "", "family" : "Passingham", "given" : "R E", "non-dropping-particle" : "", "parse-names" : false, "suffix" : "" }, { "dropping-particle" : "", "family" : "Haggard", "given" : "P", "non-dropping-particle" : "", "parse-names" : false, "suffix" : "" } ], "container-title" : "Cerebral Cortex", "id" : "ITEM-1", "issue" : "8", "issued" : { "date-parts" : [ [ "2005", "8" ] ] }, "page" : "1243-9", "title" : "Action observation and acquired motor skills: an FMRI study with expert dancers.", "type" : "article-journal", "volume" : "15" }, "uris" : [ "http://www.mendeley.com/documents/?uuid=c868a64b-563b-4937-89b8-2ac549c66f8f" ] } ], "mendeley" : { "formattedCitation" : "(Calvo-Merino, Glaser, Gr\u00e8zes, Passingham, &amp; Haggard, 2005)", "plainTextFormattedCitation" : "(Calvo-Merino, Glaser, Gr\u00e8zes, Passingham, &amp; Haggard, 2005)", "previouslyFormattedCitation" : "(Calvo-Merino, Glaser, Gr\u00e8zes, Passingham, &amp; Haggard, 2005)" }, "properties" : { "noteIndex" : 0 }, "schema" : "https://github.com/citation-style-language/schema/raw/master/csl-citation.json" }</w:instrText>
      </w:r>
      <w:r w:rsidRPr="00341B41">
        <w:fldChar w:fldCharType="separate"/>
      </w:r>
      <w:r w:rsidRPr="00341B41">
        <w:rPr>
          <w:noProof/>
        </w:rPr>
        <w:t>(Calvo-Merino, Glaser, Grèzes, Passingham, &amp; Haggard, 2005)</w:t>
      </w:r>
      <w:r w:rsidRPr="00341B41">
        <w:fldChar w:fldCharType="end"/>
      </w:r>
      <w:r w:rsidRPr="00341B41">
        <w:t xml:space="preserve">. The authors suggested that fronto-parietal AON activations during the observation of the dance style experts were trained in compared to the one they were untrained in reflects a simulation process during action observation, whereby experts simulate the actions that are in their own motor repertoire. They argued that participants would be unable to do this when observing a different dance style, as they lack the relevant motor representations. </w:t>
      </w:r>
    </w:p>
    <w:p w14:paraId="1AC13C86" w14:textId="6DC18DA3" w:rsidR="00F52B95" w:rsidRPr="00341B41" w:rsidRDefault="00F52B95" w:rsidP="002F1FFD">
      <w:pPr>
        <w:ind w:firstLine="720"/>
      </w:pPr>
      <w:r w:rsidRPr="00341B41">
        <w:lastRenderedPageBreak/>
        <w:t xml:space="preserve">However, it is also possible that increased fronto-parietal AON activity when observing expert’s own dance style may be due to the expert’s strong visual familiarity with dance moves that they are trained in. A follow-up study tried to disentangle the differing contributions of visual and motor familiarity on fronto-parietal AON activity during action observation, by getting expert dancers to view either ballet movements that were gender specific i.e. so a male participant would have both visual familiarity and motor expertise in a male-specific movement, but only visual familiarity with a female-specific movement, performed by both males and females </w:t>
      </w:r>
      <w:r w:rsidRPr="00341B41">
        <w:fldChar w:fldCharType="begin" w:fldLock="1"/>
      </w:r>
      <w:r w:rsidRPr="00341B41">
        <w:instrText>ADDIN CSL_CITATION { "citationItems" : [ { "id" : "ITEM-1", "itemData" : { "DOI" : "10.1016/j.cub.2006.07.065", "ISSN" : "0960-9822", "PMID" : "17027486", "abstract" : "The human brain contains specialized circuits for observing and understanding actions. Previous studies have not distinguished whether this \"mirror system\" uses specialized motor representations or general processes of visual inference and knowledge to understand observed actions. We report the first neuroimaging study to distinguish between these alternatives. Purely motoric influences on perception have been shown behaviorally, but their neural bases are unknown. We used fMRI to reveal the neural bases of motor influences on action observation. We controlled for visual and knowledge effects by studying expert dancers. Some ballet moves are performed by only one gender. However, male and female dancers train together and have equal visual familiarity with all moves. Male and female dancers viewed videos of gender-specific male and female ballet moves. We found greater premotor, parietal, and cerebellar activity when dancers viewed moves from their own motor repertoire, compared to opposite-gender moves that they frequently saw but did not perform. Our results show that mirror circuits have a purely motor response over and above visual representations of action. We understand actions not only by visual recognition, but also motorically. In addition, we confirm that the cerebellum is part of the action observation network.", "author" : [ { "dropping-particle" : "", "family" : "Calvo-Merino", "given" : "Beatriz", "non-dropping-particle" : "", "parse-names" : false, "suffix" : "" }, { "dropping-particle" : "", "family" : "Gr\u00e8zes", "given" : "Julie", "non-dropping-particle" : "", "parse-names" : false, "suffix" : "" }, { "dropping-particle" : "", "family" : "Glaser", "given" : "Daniel E", "non-dropping-particle" : "", "parse-names" : false, "suffix" : "" }, { "dropping-particle" : "", "family" : "Passingham", "given" : "Richard E", "non-dropping-particle" : "", "parse-names" : false, "suffix" : "" }, { "dropping-particle" : "", "family" : "Haggard", "given" : "Patrick", "non-dropping-particle" : "", "parse-names" : false, "suffix" : "" } ], "container-title" : "Current Biology", "id" : "ITEM-1", "issue" : "19", "issued" : { "date-parts" : [ [ "2006", "10", "10" ] ] }, "page" : "1905-10", "title" : "Seeing or doing? Influence of visual and motor familiarity in action observation.", "type" : "article-journal", "volume" : "16" }, "uris" : [ "http://www.mendeley.com/documents/?uuid=0c5243b0-3a30-4fee-b31d-17fcf1a8f3b0" ] } ], "mendeley" : { "formattedCitation" : "(Calvo-Merino, Gr\u00e8zes, Glaser, Passingham, &amp; Haggard, 2006)", "plainTextFormattedCitation" : "(Calvo-Merino, Gr\u00e8zes, Glaser, Passingham, &amp; Haggard, 2006)", "previouslyFormattedCitation" : "(Calvo-Merino, Gr\u00e8zes, Glaser, Passingham, &amp; Haggard, 2006)" }, "properties" : { "noteIndex" : 0 }, "schema" : "https://github.com/citation-style-language/schema/raw/master/csl-citation.json" }</w:instrText>
      </w:r>
      <w:r w:rsidRPr="00341B41">
        <w:fldChar w:fldCharType="separate"/>
      </w:r>
      <w:r w:rsidRPr="00341B41">
        <w:rPr>
          <w:noProof/>
        </w:rPr>
        <w:t>(Calvo-Merino, Grèzes, Glaser, Passingham, &amp; Haggard, 2006)</w:t>
      </w:r>
      <w:r w:rsidRPr="00341B41">
        <w:fldChar w:fldCharType="end"/>
      </w:r>
      <w:r w:rsidRPr="00341B41">
        <w:t xml:space="preserve">. The found greater fronto-parietal AON activations when observing actions that participants had motor expertise in, as opposed to only visual familiarity. </w:t>
      </w:r>
    </w:p>
    <w:p w14:paraId="023B9283" w14:textId="41356BDB" w:rsidR="00F52B95" w:rsidRPr="00341B41" w:rsidRDefault="00F52B95" w:rsidP="00F52B95">
      <w:r w:rsidRPr="00341B41">
        <w:tab/>
        <w:t>A similar study recorded brain activity weekly as expert dancers learned and rehearsed novel, complex whole-body dance sequences. During each fMRI scan, participants observed the sequences being rehearsed, and imagined rehearsing the sequences</w:t>
      </w:r>
      <w:r w:rsidR="00B93F16" w:rsidRPr="00341B41">
        <w:t xml:space="preserve"> themselves</w:t>
      </w:r>
      <w:r w:rsidRPr="00341B41">
        <w:t xml:space="preserve">. They also observed and imagined performing unpractised movements as a control condition </w:t>
      </w:r>
      <w:r w:rsidRPr="00341B41">
        <w:fldChar w:fldCharType="begin" w:fldLock="1"/>
      </w:r>
      <w:r w:rsidRPr="00341B41">
        <w:instrText>ADDIN CSL_CITATION { "citationItems" : [ { "id" : "ITEM-1", "itemData" : { "DOI" : "10.1016/j.neuroimage.2006.01.033", "ISSN" : "1053-8119", "PMID" : "16530429", "abstract" : "Research on action simulation identifies brain areas that are active while imagining or performing simple overlearned actions. Are areas engaged during imagined movement sensitive to the amount of actual physical practice? In the present study, participants were expert dancers who learned and rehearsed novel, complex whole-body dance sequences 5 h a week across 5 weeks. Brain activity was recorded weekly by fMRI as dancers observed and imagined performing different movement sequences. Half these sequences were rehearsed and half were unpracticed control movements. After each trial, participants rated how well they could perform the movement. We hypothesized that activity in premotor areas would increase as participants observed and simulated movements that they had learnt outside the scanner. Dancers' ratings of their ability to perform rehearsed sequences, but not the control sequences, increased with training. When dancers observed and simulated another dancer's movements, brain regions classically associated with both action simulation and action observation were active, including inferior parietal lobule, cingulate and supplementary motor areas, ventral premotor cortex, superior temporal sulcus and primary motor cortex. Critically, inferior parietal lobule and ventral premotor activity was modulated as a function of dancers' ratings of their own ability to perform the observed movements and their motor experience. These data demonstrate that a complex motor resonance can be built de novo over 5 weeks of rehearsal. Furthermore, activity in premotor and parietal areas during action simulation is enhanced by the ability to execute a learned action irrespective of stimulus familiarity or semantic label.", "author" : [ { "dropping-particle" : "", "family" : "Cross", "given" : "Emily S", "non-dropping-particle" : "", "parse-names" : false, "suffix" : "" }, { "dropping-particle" : "", "family" : "Hamilton", "given" : "Antonia F De C", "non-dropping-particle" : "", "parse-names" : false, "suffix" : "" }, { "dropping-particle" : "", "family" : "Grafton", "given" : "Scott T", "non-dropping-particle" : "", "parse-names" : false, "suffix" : "" } ], "container-title" : "NeuroImage", "id" : "ITEM-1", "issue" : "3", "issued" : { "date-parts" : [ [ "2006", "7", "1" ] ] }, "page" : "1257-67", "title" : "Building a motor simulation de novo: observation of dance by dancers.", "type" : "article-journal", "volume" : "31" }, "uris" : [ "http://www.mendeley.com/documents/?uuid=9628e43d-1440-4daf-9583-282029ffd3ce" ] } ], "mendeley" : { "formattedCitation" : "(Cross, Hamilton, &amp; Grafton, 2006)", "plainTextFormattedCitation" : "(Cross, Hamilton, &amp; Grafton, 2006)", "previouslyFormattedCitation" : "(Cross, Hamilton, &amp; Grafton, 2006)" }, "properties" : { "noteIndex" : 0 }, "schema" : "https://github.com/citation-style-language/schema/raw/master/csl-citation.json" }</w:instrText>
      </w:r>
      <w:r w:rsidRPr="00341B41">
        <w:fldChar w:fldCharType="separate"/>
      </w:r>
      <w:r w:rsidRPr="00341B41">
        <w:rPr>
          <w:noProof/>
        </w:rPr>
        <w:t>(Cross, Hamilton, &amp; Grafton, 2006)</w:t>
      </w:r>
      <w:r w:rsidRPr="00341B41">
        <w:fldChar w:fldCharType="end"/>
      </w:r>
      <w:r w:rsidRPr="00341B41">
        <w:t>. The results showed that after five weeks of training, the participant’s ability to execute observed dance moves was related to increased fronto-parietal AON activity during action observation.</w:t>
      </w:r>
    </w:p>
    <w:p w14:paraId="52F60317" w14:textId="1FE2CC18" w:rsidR="00CB16E8" w:rsidRPr="00341B41" w:rsidRDefault="00805FAB" w:rsidP="00CB16E8">
      <w:pPr>
        <w:pStyle w:val="Heading3"/>
      </w:pPr>
      <w:bookmarkStart w:id="26" w:name="_Toc486260842"/>
      <w:r w:rsidRPr="00341B41">
        <w:t>1.6.3.</w:t>
      </w:r>
      <w:r w:rsidRPr="00341B41">
        <w:tab/>
      </w:r>
      <w:r w:rsidR="00CB16E8" w:rsidRPr="00341B41">
        <w:t>The role of the motor system in understanding actions</w:t>
      </w:r>
      <w:bookmarkEnd w:id="26"/>
    </w:p>
    <w:p w14:paraId="5AB8B192" w14:textId="3015C1C4" w:rsidR="00CB16E8" w:rsidRPr="00341B41" w:rsidRDefault="00CB16E8" w:rsidP="005B1EB9">
      <w:r w:rsidRPr="00341B41">
        <w:t xml:space="preserve">Despite evidence showing that regions of the motor system are activated during the observation of actions, the functional significance of this activation remains unclear. Theories can be broadly split into two categories. Motor theories of action understanding suggest this ability depends on the recruitment of the same structures that are involved </w:t>
      </w:r>
      <w:r w:rsidRPr="00341B41">
        <w:lastRenderedPageBreak/>
        <w:t xml:space="preserve">during execution of the same action that is being observed </w:t>
      </w:r>
      <w:r w:rsidRPr="00341B41">
        <w:fldChar w:fldCharType="begin" w:fldLock="1"/>
      </w:r>
      <w:r w:rsidR="0019756D" w:rsidRPr="00341B41">
        <w:instrText>ADDIN CSL_CITATION { "citationItems" : [ { "id" : "ITEM-1", "itemData" : { "DOI" : "10.1038/nrn2805", "ISBN" : "1471-0048 (Electronic)\\r1471-003X (Linking)", "ISSN" : "1471-003X", "PMID" : "20216547", "abstract" : "The parieto-frontal cortical circuit that is active during action observation is the circuit with mirror properties that has been most extensively studied. Yet, there remains controversy on its role in social cognition and its contribution to understanding the actions and intentions of other individuals. Recent studies in monkeys and humans have shed light on what the parieto-frontal cortical circuit encodes and its possible functional relevance for cognition. We conclude that, although there are several mechanisms through which one can understand the behaviour of other individuals, the parieto-frontal mechanism is the only one that allows an individual to understand the action of others 'from the inside' and gives the observer a first-person grasp of the motor goals and intentions of other individuals.", "author" : [ { "dropping-particle" : "", "family" : "Rizzolatti", "given" : "Giacomo", "non-dropping-particle" : "", "parse-names" : false, "suffix" : "" }, { "dropping-particle" : "", "family" : "Sinigaglia", "given" : "Corrado", "non-dropping-particle" : "", "parse-names" : false, "suffix" : "" } ], "container-title" : "Nature Reviews: Neuroscience", "id" : "ITEM-1", "issue" : "4", "issued" : { "date-parts" : [ [ "2010" ] ] }, "page" : "264-274", "title" : "The functional role of the parieto-frontal mirror circuit: interpretations and misinterpretations.", "type" : "article-journal", "volume" : "11" }, "uris" : [ "http://www.mendeley.com/documents/?uuid=23dcc81b-1b2f-41fc-8d70-0922f802d0cb" ] } ], "mendeley" : { "formattedCitation" : "(Rizzolatti &amp; Sinigaglia, 2010)", "plainTextFormattedCitation" : "(Rizzolatti &amp; Sinigaglia, 2010)", "previouslyFormattedCitation" : "(Rizzolatti &amp; Sinigaglia, 2010)" }, "properties" : { "noteIndex" : 0 }, "schema" : "https://github.com/citation-style-language/schema/raw/master/csl-citation.json" }</w:instrText>
      </w:r>
      <w:r w:rsidRPr="00341B41">
        <w:fldChar w:fldCharType="separate"/>
      </w:r>
      <w:r w:rsidR="0098293B" w:rsidRPr="00341B41">
        <w:rPr>
          <w:noProof/>
        </w:rPr>
        <w:t>(Rizzolatti &amp; Sinigaglia, 2010)</w:t>
      </w:r>
      <w:r w:rsidRPr="00341B41">
        <w:fldChar w:fldCharType="end"/>
      </w:r>
      <w:r w:rsidRPr="00341B41">
        <w:t>. Alternatively, non-motor theories of action understanding argue that the activation of the motor system during action observation might be triggered by the outcome of action understanding, and that the underlying ability to understand an action takes place in structures outside of the motor system</w:t>
      </w:r>
      <w:r w:rsidR="0019756D" w:rsidRPr="00341B41">
        <w:t xml:space="preserve"> </w:t>
      </w:r>
      <w:r w:rsidR="0019756D" w:rsidRPr="00341B41">
        <w:fldChar w:fldCharType="begin" w:fldLock="1"/>
      </w:r>
      <w:r w:rsidR="00133625" w:rsidRPr="00341B41">
        <w:instrText>ADDIN CSL_CITATION { "citationItems" : [ { "id" : "ITEM-1", "itemData" : { "DOI" : "10.1038/nrn1057", "ISBN" : "1471003X", "ISSN" : "1471-003X", "PMID" : "12612631", "abstract" : "The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"author" : [ { "dropping-particle" : "", "family" : "Giese", "given" : "Martin A.", "non-dropping-particle" : "", "parse-names" : false, "suffix" : "" }, { "dropping-particle" : "", "family" : "Poggio", "given" : "Tomaso", "non-dropping-particle" : "", "parse-names" : false, "suffix" : "" } ], "container-title" : "Nature Reviews Neuroscience", "id" : "ITEM-1", "issue" : "3", "issued" : { "date-parts" : [ [ "2003" ] ] }, "page" : "179-192", "title" : "Neural Mechanisms for the Recognition of Biological Movements", "type" : "article-journal", "volume" : "4" }, "uris" : [ "http://www.mendeley.com/documents/?uuid=8d540318-a24d-40b6-b374-afc72fefcc8e" ] } ], "mendeley" : { "formattedCitation" : "(Giese &amp; Poggio, 2003)", "plainTextFormattedCitation" : "(Giese &amp; Poggio, 2003)", "previouslyFormattedCitation" : "(Giese &amp; Poggio, 2003)" }, "properties" : { "noteIndex" : 0 }, "schema" : "https://github.com/citation-style-language/schema/raw/master/csl-citation.json" }</w:instrText>
      </w:r>
      <w:r w:rsidR="0019756D" w:rsidRPr="00341B41">
        <w:fldChar w:fldCharType="separate"/>
      </w:r>
      <w:r w:rsidR="0019756D" w:rsidRPr="00341B41">
        <w:rPr>
          <w:noProof/>
        </w:rPr>
        <w:t>(Giese &amp; Poggio, 2003)</w:t>
      </w:r>
      <w:r w:rsidR="0019756D" w:rsidRPr="00341B41">
        <w:fldChar w:fldCharType="end"/>
      </w:r>
      <w:r w:rsidRPr="00341B41">
        <w:t xml:space="preserve">. </w:t>
      </w:r>
      <w:r w:rsidR="00202CD5" w:rsidRPr="00341B41">
        <w:t>Both of these standpoints will be reviewed below</w:t>
      </w:r>
      <w:r w:rsidR="00B5613D" w:rsidRPr="00341B41">
        <w:t>.</w:t>
      </w:r>
    </w:p>
    <w:p w14:paraId="64B443D9" w14:textId="0C689023" w:rsidR="00805FAB" w:rsidRPr="00341B41" w:rsidRDefault="00805FAB" w:rsidP="005B1EB9">
      <w:pPr>
        <w:pStyle w:val="Heading4"/>
      </w:pPr>
      <w:r w:rsidRPr="00341B41">
        <w:t>1.6.3.1.   Motor theories of action understanding</w:t>
      </w:r>
    </w:p>
    <w:p w14:paraId="3046ECB8" w14:textId="6B238720" w:rsidR="005B1EB9" w:rsidRPr="00341B41" w:rsidRDefault="00CE642E" w:rsidP="005B1EB9">
      <w:r w:rsidRPr="00341B41">
        <w:t xml:space="preserve">Theories of </w:t>
      </w:r>
      <w:r w:rsidR="004C1B53" w:rsidRPr="00341B41">
        <w:t xml:space="preserve">action understanding that suggest a reactivation of the structures involved in action execution typically rest on the discovery of mirror neurons </w:t>
      </w:r>
      <w:r w:rsidR="004C1B53" w:rsidRPr="00341B41">
        <w:fldChar w:fldCharType="begin" w:fldLock="1"/>
      </w:r>
      <w:r w:rsidR="00E7595F" w:rsidRPr="00341B41">
        <w:instrText>ADDIN CSL_CITATION { "citationItems" : [ { "id" : "ITEM-1", "itemData" : { "DOI" : "10.1016/j.neuroimage.2010.02.034", "ISBN" : "1095-9572 (Electronic)\\r1053-8119 (Linking)", "ISSN" : "10538119", "PMID" : "20167276", "abstract" : "Mirror neurons have been hailed as the key to understanding social cognition. I argue that three currents of thought-relating to evolution, atomism and telepathy-have magnified the perceived importance of mirror neurons. When they are understood to be a product of associative learning, rather than an adaptation for social cognition, mirror neurons are no longer mesmerising, but they continue to raise important questions about both the psychology of science and the neural bases of social cognition. ?? 2010 Elsevier Inc.", "author" : [ { "dropping-particle" : "", "family" : "Heyes", "given" : "Cecilia", "non-dropping-particle" : "", "parse-names" : false, "suffix" : "" } ], "container-title" : "NeuroImage", "id" : "ITEM-1", "issue" : "2", "issued" : { "date-parts" : [ [ "2010" ] ] }, "page" : "789-791", "publisher" : "Elsevier Inc.", "title" : "Mesmerising mirror neurons", "type" : "article-journal", "volume" : "51" }, "uris" : [ "http://www.mendeley.com/documents/?uuid=541899be-b997-4740-961c-c1b40fc76ec1" ] } ], "mendeley" : { "formattedCitation" : "(Heyes, 2010a)", "plainTextFormattedCitation" : "(Heyes, 2010a)", "previouslyFormattedCitation" : "(Heyes, 2010a)" }, "properties" : { "noteIndex" : 0 }, "schema" : "https://github.com/citation-style-language/schema/raw/master/csl-citation.json" }</w:instrText>
      </w:r>
      <w:r w:rsidR="004C1B53" w:rsidRPr="00341B41">
        <w:fldChar w:fldCharType="separate"/>
      </w:r>
      <w:r w:rsidR="00907792" w:rsidRPr="00341B41">
        <w:rPr>
          <w:noProof/>
        </w:rPr>
        <w:t>(Heyes, 2010a)</w:t>
      </w:r>
      <w:r w:rsidR="004C1B53" w:rsidRPr="00341B41">
        <w:fldChar w:fldCharType="end"/>
      </w:r>
      <w:r w:rsidR="004C1B53" w:rsidRPr="00341B41">
        <w:t xml:space="preserve">. These are a class of neuron, originally identified in area F5 (pre-motor cortex) of the macaque monkey, that show activation during both the execution and observation of goal-directed actions </w:t>
      </w:r>
      <w:r w:rsidR="004C1B53" w:rsidRPr="00341B41">
        <w:fldChar w:fldCharType="begin" w:fldLock="1"/>
      </w:r>
      <w:r w:rsidR="00384056" w:rsidRPr="00341B41">
        <w:instrText>ADDIN CSL_CITATION { "citationItems" : [ { "id" : "ITEM-1", "itemData" : { "ISSN" : "0014-4819", "PMID" : "1601094", "author" : [ { "dropping-particle" : "", "family" : "Pellegrino", "given" : "G", "non-dropping-particle" : "di", "parse-names" : false, "suffix" : "" }, { "dropping-particle" : "", "family" : "Fadiga", "given" : "L", "non-dropping-particle" : "", "parse-names" : false, "suffix" : "" }, { "dropping-particle" : "", "family" : "Fogassi", "given" : "L", "non-dropping-particle" : "", "parse-names" : false, "suffix" : "" }, { "dropping-particle" : "", "family" : "Gallese", "given" : "V", "non-dropping-particle" : "", "parse-names" : false, "suffix" : "" }, { "dropping-particle" : "", "family" : "Rizzolatti", "given" : "G", "non-dropping-particle" : "", "parse-names" : false, "suffix" : "" } ], "container-title" : "Experimental Brain Research", "id" : "ITEM-1", "issued" : { "date-parts" : [ [ "1992" ] ] }, "page" : "176-180", "title" : "Understanding motor events: A neurophysiological study", "type" : "article-journal", "volume" : "91" }, "uris" : [ "http://www.mendeley.com/documents/?uuid=545ab10a-39ca-40f5-80fd-6b23727e2bf9" ] }, { "id" : "ITEM-2", "itemData" : { "DOI" : "10.1093/brain/119.2.593", "ISBN" : "0006-8950 (Print)\\r0006-8950 (Linking)", "ISSN" : "0006-8950", "PMID" : "8800951", "abstract" : "We recorded electrical activity from 532 neurons in the rostral part of inferior area 6 (area F5) of two macaque monkeys. Previous data had shown that neurons of this area discharge during goal-directed hand and mouth movements. We describe here the properties of a newly discovered set of F5 neurons (\"mirror neurons', n = 92) all of which became active both when the monkey performed a given action and when it observed a similar action performed by the experimenter. Mirror neurons, in order to be visually triggered, required an interaction between the agent of the action and the object of it. The sight of the agent alone or of the object alone (three-dimensional objects, food) were ineffective. Hand and the mouth were by far the most effective agents. The actions most represented among those activating mirror neurons were grasping, manipulating and placing. In most mirror neurons (92%) there was a clear relation between the visual action they responded to and the motor response they coded. In approximately 30% of mirror neurons the congruence was very strict and the effective observed and executed actions corresponded both in terms of general action (e.g. grasping) and in terms of the way in which that action was executed (e.g. precision grip). We conclude by proposing that mirror neurons form a system for matching observation and execution of motor actions. We discuss the possible role of this system in action recognition and, given the proposed homology between F5 and human Brocca's region, we posit that a matching system, similar to that of mirror neurons exists in humans and could be involved in recognition of actions as well as phonetic gestures.", "author" : [ { "dropping-particle" : "", "family" : "Gallese", "given" : "V", "non-dropping-particle" : "", "parse-names" : false, "suffix" : "" }, { "dropping-particle" : "", "family" : "Fadiga", "given" : "L", "non-dropping-particle" : "", "parse-names" : false, "suffix" : "" }, { "dropping-particle" : "", "family" : "Fogassi", "given" : "L", "non-dropping-particle" : "", "parse-names" : false, "suffix" : "" }, { "dropping-particle" : "", "family" : "Rizzolatti", "given" : "G", "non-dropping-particle" : "", "parse-names" : false, "suffix" : "" } ], "container-title" : "Brain", "id" : "ITEM-2", "issued" : { "date-parts" : [ [ "1996" ] ] }, "page" : "593-609", "title" : "Action recognition in the premotor cortex.", "type" : "article-journal", "volume" : "119 ( Pt 2" }, "uris" : [ "http://www.mendeley.com/documents/?uuid=2943131f-589b-46dc-8008-bbd00d37ee32" ] } ], "mendeley" : { "formattedCitation" : "(di Pellegrino, Fadiga, Fogassi, Gallese, &amp; Rizzolatti, 1992; Gallese, Fadiga, Fogassi, &amp; Rizzolatti, 1996)", "plainTextFormattedCitation" : "(di Pellegrino, Fadiga, Fogassi, Gallese, &amp; Rizzolatti, 1992; Gallese, Fadiga, Fogassi, &amp; Rizzolatti, 1996)", "previouslyFormattedCitation" : "(di Pellegrino, Fadiga, Fogassi, Gallese, &amp; Rizzolatti, 1992; Gallese, Fadiga, Fogassi, &amp; Rizzolatti, 1996)" }, "properties" : { "noteIndex" : 0 }, "schema" : "https://github.com/citation-style-language/schema/raw/master/csl-citation.json" }</w:instrText>
      </w:r>
      <w:r w:rsidR="004C1B53" w:rsidRPr="00341B41">
        <w:fldChar w:fldCharType="separate"/>
      </w:r>
      <w:r w:rsidR="004C1B53" w:rsidRPr="00341B41">
        <w:rPr>
          <w:noProof/>
        </w:rPr>
        <w:t>(di Pellegrino, Fadiga, Fogassi, Gallese, &amp; Rizzolatti, 1992; Gallese, Fadiga, Fogassi, &amp; Rizzolatti, 1996)</w:t>
      </w:r>
      <w:r w:rsidR="004C1B53" w:rsidRPr="00341B41">
        <w:fldChar w:fldCharType="end"/>
      </w:r>
      <w:r w:rsidR="004C1B53" w:rsidRPr="00341B41">
        <w:t xml:space="preserve">. Since their initial discovery, mirror neurons have also been reported to exist in other areas of the </w:t>
      </w:r>
      <w:r w:rsidR="00F10711" w:rsidRPr="00341B41">
        <w:t>macaque</w:t>
      </w:r>
      <w:r w:rsidR="004C1B53" w:rsidRPr="00341B41">
        <w:t xml:space="preserve"> brain such as the inferior parietal </w:t>
      </w:r>
      <w:r w:rsidR="00F10711" w:rsidRPr="00341B41">
        <w:t>lobule</w:t>
      </w:r>
      <w:r w:rsidR="004C1B53" w:rsidRPr="00341B41">
        <w:t xml:space="preserve"> (IPL) </w:t>
      </w:r>
      <w:r w:rsidR="004C1B53" w:rsidRPr="00341B41">
        <w:fldChar w:fldCharType="begin" w:fldLock="1"/>
      </w:r>
      <w:r w:rsidR="004C1B53" w:rsidRPr="00341B41">
        <w:instrText>ADDIN CSL_CITATION { "citationItems" : [ { "id" : "ITEM-1", "itemData" : { "DOI" : "10.1093/cercor/bhp200", "ISBN" : "1047-3211", "ISSN" : "10473211", "PMID" : "19805419", "abstract" : "It is well known that ventral premotor area F5 codes the goal of executed and observed motor acts. This area is anatomically connected with part of the inferior parietal cortex (area PFG), which has been recently shown to play a role in action organization and intention understanding. The aims of the present study were 1) to assess whether the discharge of F5 motor neurons and mirror neurons (MNs) codes action goals and 2) to clarify the relative contribution of F5 and PFG in action organization and intention understanding. To this purpose, we first recorded from F5 motor neurons and MNs of 2 monkeys while performing a motor task constituted by 2 actions (\"grasp-to-eat\" and \"grasp-to-place\") or observing the same task done by an experimenter. Results showed that some F5 neurons code grasping according to the goal of the action in which it is embedded. Subsequently, we recorded from PFG motor neurons and MNs of the same monkeys, using the same tasks. The comparison between the neuronal properties of F5 and PFG motor neurons suggests that PFG plays a major role in organizing natural actions. Furthermore, the similarities between MNs properties of the 2 areas indicate that they constitute a functional circuit underlying others' intention understanding.", "author" : [ { "dropping-particle" : "", "family" : "Bonini", "given" : "Luca", "non-dropping-particle" : "", "parse-names" : false, "suffix" : "" }, { "dropping-particle" : "", "family" : "Rozzi", "given" : "Stefano", "non-dropping-particle" : "", "parse-names" : false, "suffix" : "" }, { "dropping-particle" : "", "family" : "Serventi", "given" : "Francesca Ugolotti", "non-dropping-particle" : "", "parse-names" : false, "suffix" : "" }, { "dropping-particle" : "", "family" : "Simone", "given" : "Luciano", "non-dropping-particle" : "", "parse-names" : false, "suffix" : "" }, { "dropping-particle" : "", "family" : "Ferrari", "given" : "Pier F.", "non-dropping-particle" : "", "parse-names" : false, "suffix" : "" }, { "dropping-particle" : "", "family" : "Fogassi", "given" : "Leonardo", "non-dropping-particle" : "", "parse-names" : false, "suffix" : "" } ], "container-title" : "Cerebral Cortex", "id" : "ITEM-1", "issue" : "6", "issued" : { "date-parts" : [ [ "2010" ] ] }, "page" : "1372-1385", "title" : "Ventral premotor and inferior parietal cortices make distinct contribution to action organization and intention understanding", "type" : "article-journal", "volume" : "20" }, "uris" : [ "http://www.mendeley.com/documents/?uuid=c8cc2215-9c2e-475d-b5f0-38d2d60ff3c5" ] }, { "id" : "ITEM-2", "itemData" : { "DOI" : "10.1038/020493a0", "ISBN" : "9780470114735", "ISSN" : "0028-0836", "author" : [ { "dropping-particle" : "", "family" : "Fogassi", "given" : "Leonardo", "non-dropping-particle" : "", "parse-names" : false, "suffix" : "" }, { "dropping-particle" : "", "family" : "Ferrari", "given" : "Pier Francesco", "non-dropping-particle" : "", "parse-names" : false, "suffix" : "" }, { "dropping-particle" : "", "family" : "Gesierich", "given" : "Benno", "non-dropping-particle" : "", "parse-names" : false, "suffix" : "" }, { "dropping-particle" : "", "family" : "Rozzi", "given" : "Stefano", "non-dropping-particle" : "", "parse-names" : false, "suffix" : "" }, { "dropping-particle" : "", "family" : "Chersi", "given" : "Fabian", "non-dropping-particle" : "", "parse-names" : false, "suffix" : "" }, { "dropping-particle" : "", "family" : "Rizzolatti", "given" : "Giacomo", "non-dropping-particle" : "", "parse-names" : false, "suffix" : "" } ], "container-title" : "Science", "id" : "ITEM-2", "issue" : "5722", "issued" : { "date-parts" : [ [ "2005" ] ] }, "page" : "662-667", "title" : "Parietal lobe: From action organization to intention understanding", "type" : "article-journal", "volume" : "308" }, "uris" : [ "http://www.mendeley.com/documents/?uuid=843df642-515c-428c-9648-15967c9f9e56" ] } ], "mendeley" : { "formattedCitation" : "(Bonini et al., 2010; Fogassi et al., 2005)", "plainTextFormattedCitation" : "(Bonini et al., 2010; Fogassi et al., 2005)", "previouslyFormattedCitation" : "(Bonini et al., 2010; Fogassi et al., 2005)" }, "properties" : { "noteIndex" : 0 }, "schema" : "https://github.com/citation-style-language/schema/raw/master/csl-citation.json" }</w:instrText>
      </w:r>
      <w:r w:rsidR="004C1B53" w:rsidRPr="00341B41">
        <w:fldChar w:fldCharType="separate"/>
      </w:r>
      <w:r w:rsidR="004C1B53" w:rsidRPr="00341B41">
        <w:rPr>
          <w:noProof/>
        </w:rPr>
        <w:t>(Bonini et al., 2010; Fogassi et al., 2005)</w:t>
      </w:r>
      <w:r w:rsidR="004C1B53" w:rsidRPr="00341B41">
        <w:fldChar w:fldCharType="end"/>
      </w:r>
      <w:r w:rsidR="004C1B53" w:rsidRPr="00341B41">
        <w:t xml:space="preserve">, and primary motor cortex </w:t>
      </w:r>
      <w:r w:rsidR="004C1B53" w:rsidRPr="00341B41">
        <w:fldChar w:fldCharType="begin" w:fldLock="1"/>
      </w:r>
      <w:r w:rsidR="004C1B53" w:rsidRPr="00341B41">
        <w:instrText>ADDIN CSL_CITATION { "citationItems" : [ { "id" : "ITEM-1", "itemData" : { "DOI" : "10.1111/j.1460-9568.2009.07067.x", "ISBN" : "1460-9568", "ISSN" : "0953816X", "PMID" : "20074212", "abstract" : "Neurons in higher cortical areas appear to become active during action observation, either by mirroring observed actions (termed mirror neurons) or by eliciting mental rehearsal of observed motor acts. We report the existence of neurons in the primary motor cortex (M1), an area that is generally considered to initiate and guide movement performance, responding to viewed actions. Multielectrode recordings in monkeys performing or observing a well-learned step-tracking task showed that approximately half of the M1 neurons that were active when monkeys performed the task were also active when they observed the action being performed by a human. These 'view' neurons were spatially intermingled with 'do' neurons, which are active only during movement performance. Simultaneously recorded 'view' neurons comprised two groups: approximately 38% retained the same preferred direction (PD) and timing during performance and viewing, and the remainder (62%) changed their PDs and time lag during viewing as compared with performance. Nevertheless, population activity during viewing was sufficient to predict the direction and trajectory of viewed movements as action unfolded, although less accurately than during performance. 'View' neurons became less active and contained poorer representations of action when only subcomponents of the task were being viewed. M1 'view' neurons thus appear to reflect aspects of a learned movement when observed in others, and form part of a broadly engaged set of cortical areas routinely responding to learned behaviors. These findings suggest that viewing a learned action elicits replay of aspects of M1 activity needed to perform the observed action, and could additionally reflect processing related to understanding, learning or mentally rehearsing action.", "author" : [ { "dropping-particle" : "", "family" : "Dushanova", "given" : "Juliana", "non-dropping-particle" : "", "parse-names" : false, "suffix" : "" }, { "dropping-particle" : "", "family" : "Donoghue", "given" : "John", "non-dropping-particle" : "", "parse-names" : false, "suffix" : "" } ], "container-title" : "European Journal of Neuroscience", "id" : "ITEM-1", "issue" : "2", "issued" : { "date-parts" : [ [ "2010" ] ] }, "page" : "386-398", "title" : "Neurons in primary motor cortex engaged during action observation", "type" : "article-journal", "volume" : "31" }, "uris" : [ "http://www.mendeley.com/documents/?uuid=cd0354fd-7805-4533-be4e-ea93eb39ed6a" ] }, { "id" : "ITEM-2", "itemData" : { "DOI" : "10.1523/JNEUROSCI.2895-07.2007", "ISBN" : "0270-6474", "ISSN" : "0270-6474", "PMID" : "18045918", "abstract" : "A variety of studies have shown that motor cortical areas can be activated by observation of familiar actions. Here, we describe single-neuron responses in monkey primary motor (MI) and dorsal premotor (PMd) cortices during passive observation and execution of a familiar task. We show that the spiking modulation, preferred directions, and encoded information of cells in MI and PMd remain consistent during both observation and movement. Furthermore, we find that the presence of a visual target is necessary to elicit this congruent neural activity during observation. These findings along with results from our analysis of the oscillatory power in the beta frequency of the local field potential are consistent with previous imaging and EEG studies that have suggested that congruence between observation and action is a general feature of the motor system, even outside of canonical \"mirror\" areas. Such congruent activity has proposed relevance to motor learning, mimicry, and communication and has practical applications for the development of motor-cortical neuroprostheses in paralyzed patients.", "author" : [ { "dropping-particle" : "", "family" : "Tkach", "given" : "Dennis", "non-dropping-particle" : "", "parse-names" : false, "suffix" : "" }, { "dropping-particle" : "", "family" : "Reimer", "given" : "Jacob", "non-dropping-particle" : "", "parse-names" : false, "suffix" : "" }, { "dropping-particle" : "", "family" : "Hatsopoulos", "given" : "Nicholas G", "non-dropping-particle" : "", "parse-names" : false, "suffix" : "" } ], "container-title" : "The Journal of Neuroscience", "id" : "ITEM-2", "issue" : "48", "issued" : { "date-parts" : [ [ "2007" ] ] }, "page" : "13241-13250", "title" : "Congruent activity during action and action observation in motor cortex.", "type" : "article-journal", "volume" : "27" }, "uris" : [ "http://www.mendeley.com/documents/?uuid=ff4f95bf-be15-4b71-b6fe-83e14c89c55b" ] }, { "id" : "ITEM-3", "itemData" : { "DOI" : "10.1016/j.cub.2012.12.006", "ISBN" : "0960-9822", "ISSN" : "09609822", "PMID" : "23290556", "abstract" : "Evidence is accumulating that neurons in primary motor cortex (M1) respond during action observation [1, 2], a property first shown for mirror neurons in monkey premotor cortex [3]. We now show for the first time that the discharge of a major class of M1 output neuron, the pyramidal tract neuron (PTN), is modulated during observation of precision grip by a human experimenter. We recorded 132 PTNs in the hand area of two adult macaques, of which 65 (49%) showed mirror-like activity. Many (38 of 65) increased their discharge during observation (facilitation-type mirror neuron), but a substantial number (27 of 65) exhibited reduced discharge or stopped firing (suppression-type). Simultaneous recordings from arm, hand, and digit muscles confirmed the complete absence of detectable muscle activity during observation. We compared the discharge of the same population of neurons during active grasp by the monkeys. We found that facilitation neurons were only half as active for action observation as for action execution, and that suppression neurons reversed their activity pattern and were actually facilitated during execution. Thus, although many M1 output neurons are active during action observation, M1 direct input to spinal circuitry is either reduced or abolished and may not be sufficient to produce overt muscle activity. \u00a9 2013 Elsevier Ltd.", "author" : [ { "dropping-particle" : "", "family" : "Vigneswaran", "given" : "Ganesh", "non-dropping-particle" : "", "parse-names" : false, "suffix" : "" }, { "dropping-particle" : "", "family" : "Philipp", "given" : "Roland", "non-dropping-particle" : "", "parse-names" : false, "suffix" : "" }, { "dropping-particle" : "", "family" : "Lemon", "given" : "Roger N.", "non-dropping-particle" : "", "parse-names" : false, "suffix" : "" }, { "dropping-particle" : "", "family" : "Kraskov", "given" : "Alexander", "non-dropping-particle" : "", "parse-names" : false, "suffix" : "" } ], "container-title" : "Current Biology", "id" : "ITEM-3", "issue" : "3", "issued" : { "date-parts" : [ [ "2013" ] ] }, "page" : "236-243", "publisher" : "Elsevier Ltd", "title" : "M1 corticospinal mirror neurons and their role in movement suppression during action observation", "type" : "article-journal", "volume" : "23" }, "uris" : [ "http://www.mendeley.com/documents/?uuid=3d4caf9c-ca14-4d51-ae56-391a56700199" ] } ], "mendeley" : { "formattedCitation" : "(Dushanova &amp; Donoghue, 2010; Tkach, Reimer, &amp; Hatsopoulos, 2007; Vigneswaran, Philipp, Lemon, &amp; Kraskov, 2013)", "plainTextFormattedCitation" : "(Dushanova &amp; Donoghue, 2010; Tkach, Reimer, &amp; Hatsopoulos, 2007; Vigneswaran, Philipp, Lemon, &amp; Kraskov, 2013)", "previouslyFormattedCitation" : "(Dushanova &amp; Donoghue, 2010; Tkach, Reimer, &amp; Hatsopoulos, 2007; Vigneswaran, Philipp, Lemon, &amp; Kraskov, 2013)" }, "properties" : { "noteIndex" : 0 }, "schema" : "https://github.com/citation-style-language/schema/raw/master/csl-citation.json" }</w:instrText>
      </w:r>
      <w:r w:rsidR="004C1B53" w:rsidRPr="00341B41">
        <w:fldChar w:fldCharType="separate"/>
      </w:r>
      <w:r w:rsidR="004C1B53" w:rsidRPr="00341B41">
        <w:rPr>
          <w:noProof/>
        </w:rPr>
        <w:t>(Dushanova &amp; Donoghue, 2010; Tkach, Reimer, &amp; Hatsopoulos, 2007; Vigneswaran, Philipp, Lemon, &amp; Kraskov, 2013)</w:t>
      </w:r>
      <w:r w:rsidR="004C1B53" w:rsidRPr="00341B41">
        <w:fldChar w:fldCharType="end"/>
      </w:r>
      <w:r w:rsidR="004C1B53" w:rsidRPr="00341B41">
        <w:t xml:space="preserve">.  The major implication of the discovery of mirror neurons is that when an action is observed, the observer’s motor system appears to also activate, suggesting that their own motor skills are useful in understanding the actions of others </w:t>
      </w:r>
      <w:r w:rsidR="004C1B53" w:rsidRPr="00341B41">
        <w:fldChar w:fldCharType="begin" w:fldLock="1"/>
      </w:r>
      <w:r w:rsidR="004C1B53" w:rsidRPr="00341B41">
        <w:instrText>ADDIN CSL_CITATION { "citationItems" : [ { "id" : "ITEM-1", "itemData" : { "DOI" : "10.1016/j.cub.2013.10.051", "ISBN" : "1879-0445 (Electronic)\\n0960-9822 (Linking)", "ISSN" : "09609822", "PMID" : "24309286", "abstract" : "Mirror neurons were discovered over twenty years ago in the ventral premotor region F5 of the macaque monkey. Since their discovery much has been written about these neurons, both in the scientific literature and in the popular press. They have been proposed to be the neuronal substrate underlying a vast array of different functions. Indeed so much has been written about mirror neurons that last year they were referred to, rightly or wrongly, as \"The most hyped concept in neuroscience\". Here we try to cut through some of this hyperbole and review what is currently known (and not known) about mirror neurons. \u00a9 2013 Elsevier Ltd.", "author" : [ { "dropping-particle" : "", "family" : "Kilner", "given" : "James M", "non-dropping-particle" : "", "parse-names" : false, "suffix" : "" }, { "dropping-particle" : "", "family" : "Lemon", "given" : "R. N.", "non-dropping-particle" : "", "parse-names" : false, "suffix" : "" } ], "container-title" : "Current Biology", "id" : "ITEM-1", "issue" : "23", "issued" : { "date-parts" : [ [ "2013" ] ] }, "page" : "R1057-R1062", "publisher" : "Elsevier Ltd", "title" : "What we know currently about mirror neurons", "type" : "article-journal", "volume" : "23" }, "uris" : [ "http://www.mendeley.com/documents/?uuid=b67554a2-0ec2-4593-a0c9-29c892ddec31" ] } ], "mendeley" : { "formattedCitation" : "(Kilner &amp; Lemon, 2013)", "plainTextFormattedCitation" : "(Kilner &amp; Lemon, 2013)", "previouslyFormattedCitation" : "(Kilner &amp; Lemon, 2013)" }, "properties" : { "noteIndex" : 0 }, "schema" : "https://github.com/citation-style-language/schema/raw/master/csl-citation.json" }</w:instrText>
      </w:r>
      <w:r w:rsidR="004C1B53" w:rsidRPr="00341B41">
        <w:fldChar w:fldCharType="separate"/>
      </w:r>
      <w:r w:rsidR="004C1B53" w:rsidRPr="00341B41">
        <w:rPr>
          <w:noProof/>
        </w:rPr>
        <w:t>(Kilner &amp; Lemon, 2013)</w:t>
      </w:r>
      <w:r w:rsidR="004C1B53" w:rsidRPr="00341B41">
        <w:fldChar w:fldCharType="end"/>
      </w:r>
      <w:r w:rsidR="005B1EB9" w:rsidRPr="00341B41">
        <w:t xml:space="preserve">. </w:t>
      </w:r>
    </w:p>
    <w:p w14:paraId="35714C20" w14:textId="15293EF9" w:rsidR="005B1EB9" w:rsidRPr="00341B41" w:rsidRDefault="004C1B53" w:rsidP="005B1EB9">
      <w:pPr>
        <w:ind w:firstLine="720"/>
      </w:pPr>
      <w:r w:rsidRPr="00341B41">
        <w:t xml:space="preserve">It was originally proposed that mirror neurons facilitated action understanding through a ‘feedforward’ model, and represented a direct simulation of the action being observed in the observer’s own motor system. However, such a model has been criticised </w:t>
      </w:r>
      <w:r w:rsidRPr="00341B41">
        <w:lastRenderedPageBreak/>
        <w:t>because a single action ca</w:t>
      </w:r>
      <w:r w:rsidR="00F9695B" w:rsidRPr="00341B41">
        <w:t xml:space="preserve">n have multiple intentions, and also </w:t>
      </w:r>
      <w:r w:rsidRPr="00341B41">
        <w:t xml:space="preserve">the same intention can be realised through multiple different actions </w:t>
      </w:r>
      <w:r w:rsidRPr="00341B41">
        <w:fldChar w:fldCharType="begin" w:fldLock="1"/>
      </w:r>
      <w:r w:rsidRPr="00341B41">
        <w:instrText>ADDIN CSL_CITATION { "citationItems" : [ { "id" : "ITEM-1", "itemData" : { "DOI" : "10.1016/j.tics.2011.06.005", "ISBN" : "1879-307X (Electronic)\\r1364-6613 (Linking)", "ISSN" : "13646613", "PMID" : "21775191", "abstract" : "Many believe that the ability to understand the actions of others is made possible by mirror neurons and a network of brain areas known as the action-observation network (AON). Despite nearly two decades of research into mirror neurons and the AON, however, there is little evidence that they enable the inference of the intention of observed actions. Instead, theories of action selection during action execution indicate that a ventral pathway, linking middle temporal gyrus with the anterior inferior frontal gyrus, might encode these abstract features during action observation. Here I propose that action understanding requires more than merely the AON, and might be achieved through interactions between a ventral pathway and the dorsal AON. ?? 2011 Elsevier Ltd.", "author" : [ { "dropping-particle" : "", "family" : "Kilner", "given" : "James M", "non-dropping-particle" : "", "parse-names" : false, "suffix" : "" } ], "container-title" : "Trends in Cognitive Sciences", "id" : "ITEM-1", "issue" : "8", "issued" : { "date-parts" : [ [ "2011" ] ] }, "page" : "352-357", "title" : "More than one pathway to action understanding", "type" : "article-journal", "volume" : "15" }, "uris" : [ "http://www.mendeley.com/documents/?uuid=00b99736-dff1-47df-baa2-0246d1b8891e" ] }, { "id" : "ITEM-2", "itemData" : { "DOI" : "10.1162/jocn.2009.21189", "ISBN" : "0898-929X", "ISSN" : "0898-929X", "PMID" : "19199415", "abstract" : "The discovery of mirror neurons in macaque frontal cortex has sparked a resurgence of interest in motor/embodied theories of cognition. This critical review examines the evidence in support of one of these theories, namely, that mirror neurons provide the basis of action understanding. It is argued that there is no evidence from monkey data that directly tests this theory, and evidence from humans makes a strong case against the position.", "author" : [ { "dropping-particle" : "", "family" : "Hickok", "given" : "Gregory", "non-dropping-particle" : "", "parse-names" : false, "suffix" : "" } ], "container-title" : "Journal of Cognitive Neuroscience", "id" : "ITEM-2", "issue" : "7", "issued" : { "date-parts" : [ [ "2009" ] ] }, "page" : "1229-1243", "title" : "Eight problems for the mirror neuron theory of action understanding in monkeys and humans.", "type" : "article-journal", "volume" : "21" }, "uris" : [ "http://www.mendeley.com/documents/?uuid=244a8665-b8d0-4180-afc3-01b819768334" ] } ], "mendeley" : { "formattedCitation" : "(Hickok, 2009; Kilner, 2011)", "plainTextFormattedCitation" : "(Hickok, 2009; Kilner, 2011)", "previouslyFormattedCitation" : "(Hickok, 2009; Kilner, 2011)" }, "properties" : { "noteIndex" : 0 }, "schema" : "https://github.com/citation-style-language/schema/raw/master/csl-citation.json" }</w:instrText>
      </w:r>
      <w:r w:rsidRPr="00341B41">
        <w:fldChar w:fldCharType="separate"/>
      </w:r>
      <w:r w:rsidRPr="00341B41">
        <w:rPr>
          <w:noProof/>
        </w:rPr>
        <w:t>(Hickok, 2009; Kilner, 2011)</w:t>
      </w:r>
      <w:r w:rsidRPr="00341B41">
        <w:fldChar w:fldCharType="end"/>
      </w:r>
      <w:r w:rsidRPr="00341B41">
        <w:t xml:space="preserve">. </w:t>
      </w:r>
      <w:r w:rsidR="005B1EB9" w:rsidRPr="00341B41">
        <w:t xml:space="preserve"> </w:t>
      </w:r>
    </w:p>
    <w:p w14:paraId="239A0F8C" w14:textId="77777777" w:rsidR="005B1EB9" w:rsidRPr="00341B41" w:rsidRDefault="004C1B53" w:rsidP="005B1EB9">
      <w:pPr>
        <w:ind w:firstLine="720"/>
      </w:pPr>
      <w:r w:rsidRPr="00341B41">
        <w:t xml:space="preserve">More recently, it has been suggested that mirror neurons can be understood according to a predictive coding framework. Predictive coding is based on minimising prediction error through recurrent or reciprocal interactions among levels of a cortical hierarchy. At each level, a generative model is employed to predict representations in the level below. The generative model then uses backward connections to convey the prediction to the level where it is compared to a representation in this lower level which produces a prediction error. The prediction error is then sent back to the higher level, via forward connections, where the initial prediction is updated. This exchange of signals between levels of the hierarchy continues until the prediction error has been minimised and the most likely causes of the input is generated </w:t>
      </w:r>
      <w:r w:rsidRPr="00341B41">
        <w:fldChar w:fldCharType="begin" w:fldLock="1"/>
      </w:r>
      <w:r w:rsidRPr="00341B41">
        <w:instrText>ADDIN CSL_CITATION { "citationItems" : [ { "id" : "ITEM-1", "itemData" : { "DOI" : "10.1016/j.neunet.2003.06.005", "ISBN" : "0893-6080", "ISSN" : "08936080", "PMID" : "14622888", "abstract" : "This article is about how the brain data mines its sensory inputs. There are several architectural principles of functional brain anatomy that have emerged from careful anatomic and physiologic studies over the past century. These principles are considered in the light of representational learning to see if they could have been predicted a priori on the basis of purely theoretical considerations. We first review the organisation of hierarchical sensory cortices, paying special attention to the distinction between forward and backward connections. We then review various approaches to representational learning as special cases of generative models, starting with supervised learning and ending with learning based upon empirical Bayes. The latter predicts many features, such as a hierarchical cortical system, prevalent top-down backward influences and functional asymmetries between forward and backward connections that are seen in the real brain. The key points made in this article are: (i) hierarchical generative models enable the learning of empirical priors and eschew prior assumptions about the causes of sensory input that are inherent in non-hierarchical models. These assumptions are necessary for learning schemes based on information theory and efficient or sparse coding, but are not necessary in a hierarchical context. Critically, the anatomical infrastructure that may implement generative models in the brain is hierarchical. Furthermore, learning based on empirical Bayes can proceed in a biologically plausible way. (ii) The second point is that backward connections are essential if the processes generating inputs cannot be inverted, or the inversion cannot be parameterised. Because these processes involve many-to-one mappings, are non-linear and dynamic in nature, they are generally non-invertible. This enforces an explicit parameterisation of generative models (i.e. backward connections) to afford recognition and suggests that forward architectures, on their own, are not sufficient for perception. (iii) Finally, non-linearities in generative models, mediated by backward connections, require these connections to be modulatory, so that representations in higher cortical levels can interact to predict responses in lower levels. This is important in relation to functional asymmetries in forward and backward connections that have been demonstrated empirically. ?? 2003 Elsevier Ltd. All rights reserved.", "author" : [ { "dropping-particle" : "", "family" : "Friston", "given" : "Karl", "non-dropping-particle" : "", "parse-names" : false, "suffix" : "" } ], "container-title" : "Neural Networks", "id" : "ITEM-1", "issue" : "9", "issued" : { "date-parts" : [ [ "2003" ] ] }, "page" : "1325-1352", "title" : "Learning and inference in the brain", "type" : "article-journal", "volume" : "16" }, "uris" : [ "http://www.mendeley.com/documents/?uuid=dbb8f03b-7190-4354-ac9b-a36962e18d3c" ] } ], "mendeley" : { "formattedCitation" : "(Friston, 2003)", "plainTextFormattedCitation" : "(Friston, 2003)", "previouslyFormattedCitation" : "(Friston, 2003)" }, "properties" : { "noteIndex" : 0 }, "schema" : "https://github.com/citation-style-language/schema/raw/master/csl-citation.json" }</w:instrText>
      </w:r>
      <w:r w:rsidRPr="00341B41">
        <w:fldChar w:fldCharType="separate"/>
      </w:r>
      <w:r w:rsidRPr="00341B41">
        <w:rPr>
          <w:noProof/>
        </w:rPr>
        <w:t>(Friston, 2003)</w:t>
      </w:r>
      <w:r w:rsidRPr="00341B41">
        <w:fldChar w:fldCharType="end"/>
      </w:r>
      <w:r w:rsidRPr="00341B41">
        <w:t xml:space="preserve">. </w:t>
      </w:r>
      <w:r w:rsidR="005B1EB9" w:rsidRPr="00341B41">
        <w:t xml:space="preserve"> </w:t>
      </w:r>
    </w:p>
    <w:p w14:paraId="78D9E8CE" w14:textId="77777777" w:rsidR="005B1EB9" w:rsidRPr="00341B41" w:rsidRDefault="004C1B53" w:rsidP="005B1EB9">
      <w:pPr>
        <w:ind w:firstLine="720"/>
      </w:pPr>
      <w:r w:rsidRPr="00341B41">
        <w:t xml:space="preserve">Relating this to mirror neurons and action understanding, an action can be said to be understood on multiple, hierarchical levels </w:t>
      </w:r>
      <w:r w:rsidRPr="00341B41">
        <w:fldChar w:fldCharType="begin" w:fldLock="1"/>
      </w:r>
      <w:r w:rsidRPr="00341B41">
        <w:instrText>ADDIN CSL_CITATION { "citationItems" : [ { "id" : "ITEM-1", "itemData" : { "DOI" : "10.1016/j.tics.2011.06.005", "ISBN" : "1879-307X (Electronic)\\r1364-6613 (Linking)", "ISSN" : "13646613", "PMID" : "21775191", "abstract" : "Many believe that the ability to understand the actions of others is made possible by mirror neurons and a network of brain areas known as the action-observation network (AON). Despite nearly two decades of research into mirror neurons and the AON, however, there is little evidence that they enable the inference of the intention of observed actions. Instead, theories of action selection during action execution indicate that a ventral pathway, linking middle temporal gyrus with the anterior inferior frontal gyrus, might encode these abstract features during action observation. Here I propose that action understanding requires more than merely the AON, and might be achieved through interactions between a ventral pathway and the dorsal AON. ?? 2011 Elsevier Ltd.", "author" : [ { "dropping-particle" : "", "family" : "Kilner", "given" : "James M", "non-dropping-particle" : "", "parse-names" : false, "suffix" : "" } ], "container-title" : "Trends in Cognitive Sciences", "id" : "ITEM-1", "issue" : "8", "issued" : { "date-parts" : [ [ "2011" ] ] }, "page" : "352-357", "title" : "More than one pathway to action understanding", "type" : "article-journal", "volume" : "15" }, "uris" : [ "http://www.mendeley.com/documents/?uuid=00b99736-dff1-47df-baa2-0246d1b8891e" ] } ], "mendeley" : { "formattedCitation" : "(Kilner, 2011)", "plainTextFormattedCitation" : "(Kilner, 2011)", "previouslyFormattedCitation" : "(Kilner, 2011)" }, "properties" : { "noteIndex" : 0 }, "schema" : "https://github.com/citation-style-language/schema/raw/master/csl-citation.json" }</w:instrText>
      </w:r>
      <w:r w:rsidRPr="00341B41">
        <w:fldChar w:fldCharType="separate"/>
      </w:r>
      <w:r w:rsidRPr="00341B41">
        <w:rPr>
          <w:noProof/>
        </w:rPr>
        <w:t>(Kilner, 2011)</w:t>
      </w:r>
      <w:r w:rsidRPr="00341B41">
        <w:fldChar w:fldCharType="end"/>
      </w:r>
      <w:r w:rsidRPr="00341B41">
        <w:t xml:space="preserve">. At the highest level is action intention, i.e. the overall reason for executing the action. Below that is the goal level, meaning the immediate purpose of the action. The third level is the motor level, which is the processing and pattern of muscle activity that is required to produce action. The lowest level is the kinematic level, meaning the trajectory and velocity profile of the action. Under the predictive coding framework, mirror neurons activate during action observation because the motor system provides the best model of the observed action. The generative model starts with a prior prediction of the goal/intention of the action being observed. Given this prior, a prediction of what the sensory consequences would be of the most likely action that needed to be executed to achieve that goal or intention is generated. This is the </w:t>
      </w:r>
      <w:r w:rsidRPr="00341B41">
        <w:lastRenderedPageBreak/>
        <w:t xml:space="preserve">kinematics of the action. By comparing the predicted sensory information with the actual sensory </w:t>
      </w:r>
      <w:r w:rsidR="000F582A" w:rsidRPr="00341B41">
        <w:t>information,</w:t>
      </w:r>
      <w:r w:rsidRPr="00341B41">
        <w:t xml:space="preserve"> the system can assess the likelihood of the prior goal or intention. If the prediction is correct</w:t>
      </w:r>
      <w:r w:rsidR="000F582A" w:rsidRPr="00341B41">
        <w:t>,</w:t>
      </w:r>
      <w:r w:rsidRPr="00341B41">
        <w:t xml:space="preserve"> we are able to infer the goal and intention of the observed action.</w:t>
      </w:r>
      <w:r w:rsidR="005B1EB9" w:rsidRPr="00341B41">
        <w:t xml:space="preserve"> </w:t>
      </w:r>
    </w:p>
    <w:p w14:paraId="76699657" w14:textId="77777777" w:rsidR="005B1EB9" w:rsidRPr="00341B41" w:rsidRDefault="00D42E81" w:rsidP="005B1EB9">
      <w:pPr>
        <w:ind w:firstLine="720"/>
      </w:pPr>
      <w:r w:rsidRPr="00341B41">
        <w:t xml:space="preserve">Experimental evidence from a series of experiments supports this view </w:t>
      </w:r>
      <w:r w:rsidRPr="00341B41">
        <w:fldChar w:fldCharType="begin" w:fldLock="1"/>
      </w:r>
      <w:r w:rsidRPr="00341B41">
        <w:instrText>ADDIN CSL_CITATION { "citationItems" : [ { "id" : "ITEM-1", "itemData" : { "DOI" : "10.1371/journal.pone.0013507", "ISBN" : "1932-6203", "ISSN" : "19326203", "PMID" : "20975836", "abstract" : "Studies investigating joint actions have suggested a central role for the putative mirror neuron system (pMNS) because of the close link between perception and action provided by these brain regions [1], [2], [3]. In contrast, our previous functional magnetic resonance imaging (fMRI) experiment demonstrated that the BOLD response of the pMNS does not suggest that it directly integrates observed and executed actions during joint actions [4]. To test whether the pMNS might contribute indirectly to the integration process by sending information to brain areas responsible for this integration (integration network), here we used Granger causality mapping (GCM) [5]. We explored the directional information flow between the anterior sites of the pMNS and previously identified integrative brain regions. We found that the left BA44 sent more information than it received to both the integration network (left thalamus, right middle occipital gyrus and cerebellum) and more posterior nodes of the pMNS (BA2). Thus, during joint actions, two anatomically separate networks therefore seem effectively connected and the information flow is predominantly from anterior to posterior areas of the brain. These findings suggest that the pMNS is involved indirectly in joint actions by transforming observed and executed actions into a common code and is part of a generative model that could predict the future somatosensory and visual consequences of observed and executed actions in order to overcome otherwise inevitable neural delays.", "author" : [ { "dropping-particle" : "", "family" : "Kokal", "given" : "Idil", "non-dropping-particle" : "", "parse-names" : false, "suffix" : "" }, { "dropping-particle" : "", "family" : "Keysers", "given" : "Christian", "non-dropping-particle" : "", "parse-names" : false, "suffix" : "" } ], "container-title" : "PLoS ONE", "id" : "ITEM-1", "issue" : "10", "issued" : { "date-parts" : [ [ "2010" ] ] }, "page" : "1-10", "title" : "Granger causality mapping during joint actions reveals evidence for forward models that could overcome sensory-motor delays", "type" : "article-journal", "volume" : "5" }, "uris" : [ "http://www.mendeley.com/documents/?uuid=8a9f876f-3568-433f-a1aa-3b67e43750f6" ] }, { "id" : "ITEM-2", "itemData" : { "DOI" : "10.1016/j.neuroimage.2011.02.018", "ISBN" : "1095-9572 (Electronic)\\r1053-8119 (Linking)", "ISSN" : "10538119", "PMID" : "21316466", "abstract" : "The putative mirror neuron system may either function as a strict feed-forward system or as a dynamic control system. A strict feed-forward system would predict that action observation leads to a predominantly temporal ??? parietal ??? premotor flow of information in which a visual representation is transformed into motor-programs which contribute to action understanding. Instead, a dynamic feedback control system would predict that the reverse direction of information flow predominates because of a combination of inhibitory forward and excitatory inverse models. Here we test which of these conflicting predictions best matches the information flow within the putative mirror neuron system (pMNS) and between the pMNS and the rest of the brain during the observation of comparatively long naturalistic stretches of communicative gestures. We used Granger causality to test the dominant direction of influence. Our results fit the predictions of the dynamic feedback control system: we found predominantly an information flow within the pMNS from premotor to parietal and middle temporal cortices. This is more pronounced during an active guessing task than while passively reviewing the same gestures. In particular, the ventral premotor cortex sends significantly more information to other pMNS areas than it receives during active guessing than during passive observation. ?? 2011 Elsevier Inc.", "author" : [ { "dropping-particle" : "", "family" : "Schippers", "given" : "Marleen B.", "non-dropping-particle" : "", "parse-names" : false, "suffix" : "" }, { "dropping-particle" : "", "family" : "Keysers", "given" : "Christian", "non-dropping-particle" : "", "parse-names" : false, "suffix" : "" } ], "container-title" : "NeuroImage", "id" : "ITEM-2", "issue" : "1", "issued" : { "date-parts" : [ [ "2011" ] ] }, "page" : "37-44", "publisher" : "Elsevier Inc.", "title" : "Mapping the flow of information within the putative mirror neuron system during gesture observation", "type" : "article-journal", "volume" : "57" }, "uris" : [ "http://www.mendeley.com/documents/?uuid=445cb3ce-527c-4930-a26f-0925f15f4340" ] }, { "id" : "ITEM-3", "itemData" : { "DOI" : "10.1111/j.1460-9568.2010.07435.x", "ISBN" : "1460-9568 (Electronic)\\r0953-816X (Linking)", "ISSN" : "0953816X", "PMID" : "20958797", "abstract" : "In the last decade there has been a great amount of research investigating the role of simulation in our ability to infer the underlying intentions of any observed action. The majority of studies have focussed on the role of mirror neurons and the network of cortical areas active during action observation (AON) in inferring the goal of an observed action. However, it remains unclear what precisely is simulated when we observe an action and how such simulations can enable the observer to infer the underlying intention of that action. In particular it is not known how simulation in the AON enables the inference of the same goal when the kinematics observed to achieve that goal differ, such as when reaching to grasp an object with the left or right hands. Here we performed a behavioural study with healthy human subjects to address this question. We show that the subjects were able to detect very subtle changes in the kinematics of an observed action. In addition, we fitted the behavioural responses with a model based on the predictive coding account of mirror neurons. This is a Bayesian account of action observation that can be explained by the free-energy principle. Here we show that we can model all the effects observed when the action observation system is considered within a predictive coding framework.", "author" : [ { "dropping-particle" : "", "family" : "Neal", "given" : "Alice", "non-dropping-particle" : "", "parse-names" : false, "suffix" : "" }, { "dropping-particle" : "", "family" : "Kilner", "given" : "James M.", "non-dropping-particle" : "", "parse-names" : false, "suffix" : "" } ], "container-title" : "European Journal of Neuroscience", "id" : "ITEM-3", "issue" : "10", "issued" : { "date-parts" : [ [ "2010" ] ] }, "page" : "1765-1770", "title" : "What is simulated in the action observation network when we observe actions?", "type" : "article-journal", "volume" : "32" }, "uris" : [ "http://www.mendeley.com/documents/?uuid=0cfc35a5-681c-43cc-97d9-0778251e4db3" ] }, { "id" : "ITEM-4", "itemData" : { "DOI" : "10.1371/journal.pone.0017133", "ISBN" : "1932-6203 (Electronic)\\r1932-6203 (Linking)", "ISSN" : "19326203", "PMID" : "21364992", "abstract" : "Explaining or predicting the behaviour of our conspecifics requires the ability to infer the intentions that motivate it. Such inferences are assumed to rely on two types of information: (1) the sensory information conveyed by movement kinematics and (2) the observer's prior expectations--acquired from past experience or derived from prior knowledge. However, the respective contribution of these two sources of information is still controversial. This controversy stems in part from the fact that \"intention\" is an umbrella term that may embrace various sub-types each being assigned different scopes and targets. We hypothesized that variations in the scope and target of intentions may account for variations in the contribution of visual kinematics and prior knowledge to the intention inference process. To test this hypothesis, we conducted four behavioural experiments in which participants were instructed to identify different types of intention: basic intentions (i.e. simple goal of a motor act), superordinate intentions (i.e. general goal of a sequence of motor acts), or social intentions (i.e. intentions accomplished in a context of reciprocal interaction). For each of the above-mentioned intentions, we varied (1) the amount of visual information available from the action scene and (2) participant's prior expectations concerning the intention that was more likely to be accomplished. First, we showed that intentional judgments depend on a consistent interaction between visual information and participant's prior expectations. Moreover, we demonstrated that this interaction varied according to the type of intention to be inferred, with participant's priors rather than perceptual evidence exerting a greater effect on the inference of social and superordinate intentions. The results are discussed by appealing to the specific properties of each type of intention considered and further interpreted in the light of a hierarchical model of action representation.", "author" : [ { "dropping-particle" : "", "family" : "Chambon", "given" : "Valerian", "non-dropping-particle" : "", "parse-names" : false, "suffix" : "" }, { "dropping-particle" : "", "family" : "Domenech", "given" : "Philippe", "non-dropping-particle" : "", "parse-names" : false, "suffix" : "" }, { "dropping-particle" : "", "family" : "Pacherie", "given" : "Elisabeth", "non-dropping-particle" : "", "parse-names" : false, "suffix" : "" }, { "dropping-particle" : "", "family" : "Koechlin", "given" : "Etienne", "non-dropping-particle" : "", "parse-names" : false, "suffix" : "" }, { "dropping-particle" : "", "family" : "Baraduc", "given" : "Pierre", "non-dropping-particle" : "", "parse-names" : false, "suffix" : "" }, { "dropping-particle" : "", "family" : "Farrer", "given" : "Chl\u00f6\u00e9", "non-dropping-particle" : "", "parse-names" : false, "suffix" : "" } ], "container-title" : "PLoS ONE", "id" : "ITEM-4", "issue" : "2", "issued" : { "date-parts" : [ [ "2011" ] ] }, "title" : "What are they up to? The role of sensory evidence and prior knowledge in action understanding", "type" : "article-journal", "volume" : "6" }, "uris" : [ "http://www.mendeley.com/documents/?uuid=8efa1a0d-6a56-4538-84f3-162dd1643862" ] } ], "mendeley" : { "formattedCitation" : "(Chambon et al., 2011; Kokal &amp; Keysers, 2010; Neal &amp; Kilner, 2010; Schippers &amp; Keysers, 2011)", "plainTextFormattedCitation" : "(Chambon et al., 2011; Kokal &amp; Keysers, 2010; Neal &amp; Kilner, 2010; Schippers &amp; Keysers, 2011)", "previouslyFormattedCitation" : "(Chambon et al., 2011; Kokal &amp; Keysers, 2010; Neal &amp; Kilner, 2010; Schippers &amp; Keysers, 2011)" }, "properties" : { "noteIndex" : 0 }, "schema" : "https://github.com/citation-style-language/schema/raw/master/csl-citation.json" }</w:instrText>
      </w:r>
      <w:r w:rsidRPr="00341B41">
        <w:fldChar w:fldCharType="separate"/>
      </w:r>
      <w:r w:rsidRPr="00341B41">
        <w:rPr>
          <w:noProof/>
        </w:rPr>
        <w:t>(Chambon et al., 2011; Kokal &amp; Keysers, 2010; Neal &amp; Kilner, 2010; Schippers &amp; Keysers, 2011)</w:t>
      </w:r>
      <w:r w:rsidRPr="00341B41">
        <w:fldChar w:fldCharType="end"/>
      </w:r>
      <w:r w:rsidRPr="00341B41">
        <w:t>. In a series of studies, it was shown that there exists an interaction between the amount of kinematic information available to participants and their prior expectations in judging the intention of an observed action, finding that as the amount of kinematic information was reduced, a greater reliance was placed on prior expectation. This relationship was modulated by the type of intention that participants focused on. Intentions were either basic i.e. goals that can be realised by basic action such as reaching for an object, or complex where the goal was more abstract and required several steps to achieve that goal. When the type of intention became more abstract, participant’s prior expectations exerted an increasing influence on their responses.</w:t>
      </w:r>
      <w:r w:rsidR="005B1EB9" w:rsidRPr="00341B41">
        <w:t xml:space="preserve"> </w:t>
      </w:r>
    </w:p>
    <w:p w14:paraId="5B134E9F" w14:textId="77777777" w:rsidR="005B1EB9" w:rsidRPr="00341B41" w:rsidRDefault="00D42E81" w:rsidP="005B1EB9">
      <w:pPr>
        <w:ind w:firstLine="720"/>
      </w:pPr>
      <w:r w:rsidRPr="00341B41">
        <w:t xml:space="preserve">These results fit into the predictive coding account of action understanding. A basic intention can be predicted from observation of the current motor act, assuming the observed kinematic information is sufficient to be compared against the expected kinematics and reduce the prediction error in the model. When the amount of kinematic information was low, this comparison cannot be made and as such cannot be compared to the expected kinematics needed to minimise prediction error. In this case it was shown that participants consistently applied their prior beliefs and knowledge to understand the intention. </w:t>
      </w:r>
    </w:p>
    <w:p w14:paraId="01B4907A" w14:textId="03811992" w:rsidR="005B1EB9" w:rsidRPr="00341B41" w:rsidRDefault="00D42E81" w:rsidP="005B1EB9">
      <w:pPr>
        <w:ind w:firstLine="720"/>
      </w:pPr>
      <w:r w:rsidRPr="00341B41">
        <w:lastRenderedPageBreak/>
        <w:t>In contrast, when understanding complex actions participants made far greater use of prior knowledge, even when the amount of kinematic information was high. The greater dependence on prior knowledge in this condition is explained by the authors as being due to the fact that in complex actions, many competing intentions are congruent with the visual information conveyed by the observe</w:t>
      </w:r>
      <w:r w:rsidR="00EC4110" w:rsidRPr="00341B41">
        <w:t>d kinematics. Therefore, minimis</w:t>
      </w:r>
      <w:r w:rsidRPr="00341B41">
        <w:t xml:space="preserve">ing prediction error between expected and observed kinematics alone is not sufficient to unambiguously determine the intention of an action, and also requires some level of prior belief to aid in successful action understanding </w:t>
      </w:r>
      <w:r w:rsidRPr="00341B41">
        <w:fldChar w:fldCharType="begin" w:fldLock="1"/>
      </w:r>
      <w:r w:rsidRPr="00341B41">
        <w:instrText>ADDIN CSL_CITATION { "citationItems" : [ { "id" : "ITEM-1", "itemData" : { "DOI" : "10.1371/journal.pone.0013507", "ISBN" : "1932-6203", "ISSN" : "19326203", "PMID" : "20975836", "abstract" : "Studies investigating joint actions have suggested a central role for the putative mirror neuron system (pMNS) because of the close link between perception and action provided by these brain regions [1], [2], [3]. In contrast, our previous functional magnetic resonance imaging (fMRI) experiment demonstrated that the BOLD response of the pMNS does not suggest that it directly integrates observed and executed actions during joint actions [4]. To test whether the pMNS might contribute indirectly to the integration process by sending information to brain areas responsible for this integration (integration network), here we used Granger causality mapping (GCM) [5]. We explored the directional information flow between the anterior sites of the pMNS and previously identified integrative brain regions. We found that the left BA44 sent more information than it received to both the integration network (left thalamus, right middle occipital gyrus and cerebellum) and more posterior nodes of the pMNS (BA2). Thus, during joint actions, two anatomically separate networks therefore seem effectively connected and the information flow is predominantly from anterior to posterior areas of the brain. These findings suggest that the pMNS is involved indirectly in joint actions by transforming observed and executed actions into a common code and is part of a generative model that could predict the future somatosensory and visual consequences of observed and executed actions in order to overcome otherwise inevitable neural delays.", "author" : [ { "dropping-particle" : "", "family" : "Kokal", "given" : "Idil", "non-dropping-particle" : "", "parse-names" : false, "suffix" : "" }, { "dropping-particle" : "", "family" : "Keysers", "given" : "Christian", "non-dropping-particle" : "", "parse-names" : false, "suffix" : "" } ], "container-title" : "PLoS ONE", "id" : "ITEM-1", "issue" : "10", "issued" : { "date-parts" : [ [ "2010" ] ] }, "page" : "1-10", "title" : "Granger causality mapping during joint actions reveals evidence for forward models that could overcome sensory-motor delays", "type" : "article-journal", "volume" : "5" }, "uris" : [ "http://www.mendeley.com/documents/?uuid=8a9f876f-3568-433f-a1aa-3b67e43750f6" ] }, { "id" : "ITEM-2", "itemData" : { "DOI" : "10.1016/j.neuroimage.2011.02.018", "ISBN" : "1095-9572 (Electronic)\\r1053-8119 (Linking)", "ISSN" : "10538119", "PMID" : "21316466", "abstract" : "The putative mirror neuron system may either function as a strict feed-forward system or as a dynamic control system. A strict feed-forward system would predict that action observation leads to a predominantly temporal ??? parietal ??? premotor flow of information in which a visual representation is transformed into motor-programs which contribute to action understanding. Instead, a dynamic feedback control system would predict that the reverse direction of information flow predominates because of a combination of inhibitory forward and excitatory inverse models. Here we test which of these conflicting predictions best matches the information flow within the putative mirror neuron system (pMNS) and between the pMNS and the rest of the brain during the observation of comparatively long naturalistic stretches of communicative gestures. We used Granger causality to test the dominant direction of influence. Our results fit the predictions of the dynamic feedback control system: we found predominantly an information flow within the pMNS from premotor to parietal and middle temporal cortices. This is more pronounced during an active guessing task than while passively reviewing the same gestures. In particular, the ventral premotor cortex sends significantly more information to other pMNS areas than it receives during active guessing than during passive observation. ?? 2011 Elsevier Inc.", "author" : [ { "dropping-particle" : "", "family" : "Schippers", "given" : "Marleen B.", "non-dropping-particle" : "", "parse-names" : false, "suffix" : "" }, { "dropping-particle" : "", "family" : "Keysers", "given" : "Christian", "non-dropping-particle" : "", "parse-names" : false, "suffix" : "" } ], "container-title" : "NeuroImage", "id" : "ITEM-2", "issue" : "1", "issued" : { "date-parts" : [ [ "2011" ] ] }, "page" : "37-44", "publisher" : "Elsevier Inc.", "title" : "Mapping the flow of information within the putative mirror neuron system during gesture observation", "type" : "article-journal", "volume" : "57" }, "uris" : [ "http://www.mendeley.com/documents/?uuid=445cb3ce-527c-4930-a26f-0925f15f4340" ] }, { "id" : "ITEM-3", "itemData" : { "DOI" : "10.1111/j.1460-9568.2010.07435.x", "ISBN" : "1460-9568 (Electronic)\\r0953-816X (Linking)", "ISSN" : "0953816X", "PMID" : "20958797", "abstract" : "In the last decade there has been a great amount of research investigating the role of simulation in our ability to infer the underlying intentions of any observed action. The majority of studies have focussed on the role of mirror neurons and the network of cortical areas active during action observation (AON) in inferring the goal of an observed action. However, it remains unclear what precisely is simulated when we observe an action and how such simulations can enable the observer to infer the underlying intention of that action. In particular it is not known how simulation in the AON enables the inference of the same goal when the kinematics observed to achieve that goal differ, such as when reaching to grasp an object with the left or right hands. Here we performed a behavioural study with healthy human subjects to address this question. We show that the subjects were able to detect very subtle changes in the kinematics of an observed action. In addition, we fitted the behavioural responses with a model based on the predictive coding account of mirror neurons. This is a Bayesian account of action observation that can be explained by the free-energy principle. Here we show that we can model all the effects observed when the action observation system is considered within a predictive coding framework.", "author" : [ { "dropping-particle" : "", "family" : "Neal", "given" : "Alice", "non-dropping-particle" : "", "parse-names" : false, "suffix" : "" }, { "dropping-particle" : "", "family" : "Kilner", "given" : "James M.", "non-dropping-particle" : "", "parse-names" : false, "suffix" : "" } ], "container-title" : "European Journal of Neuroscience", "id" : "ITEM-3", "issue" : "10", "issued" : { "date-parts" : [ [ "2010" ] ] }, "page" : "1765-1770", "title" : "What is simulated in the action observation network when we observe actions?", "type" : "article-journal", "volume" : "32" }, "uris" : [ "http://www.mendeley.com/documents/?uuid=0cfc35a5-681c-43cc-97d9-0778251e4db3" ] }, { "id" : "ITEM-4", "itemData" : { "DOI" : "10.1371/journal.pone.0017133", "ISBN" : "1932-6203 (Electronic)\\r1932-6203 (Linking)", "ISSN" : "19326203", "PMID" : "21364992", "abstract" : "Explaining or predicting the behaviour of our conspecifics requires the ability to infer the intentions that motivate it. Such inferences are assumed to rely on two types of information: (1) the sensory information conveyed by movement kinematics and (2) the observer's prior expectations--acquired from past experience or derived from prior knowledge. However, the respective contribution of these two sources of information is still controversial. This controversy stems in part from the fact that \"intention\" is an umbrella term that may embrace various sub-types each being assigned different scopes and targets. We hypothesized that variations in the scope and target of intentions may account for variations in the contribution of visual kinematics and prior knowledge to the intention inference process. To test this hypothesis, we conducted four behavioural experiments in which participants were instructed to identify different types of intention: basic intentions (i.e. simple goal of a motor act), superordinate intentions (i.e. general goal of a sequence of motor acts), or social intentions (i.e. intentions accomplished in a context of reciprocal interaction). For each of the above-mentioned intentions, we varied (1) the amount of visual information available from the action scene and (2) participant's prior expectations concerning the intention that was more likely to be accomplished. First, we showed that intentional judgments depend on a consistent interaction between visual information and participant's prior expectations. Moreover, we demonstrated that this interaction varied according to the type of intention to be inferred, with participant's priors rather than perceptual evidence exerting a greater effect on the inference of social and superordinate intentions. The results are discussed by appealing to the specific properties of each type of intention considered and further interpreted in the light of a hierarchical model of action representation.", "author" : [ { "dropping-particle" : "", "family" : "Chambon", "given" : "Valerian", "non-dropping-particle" : "", "parse-names" : false, "suffix" : "" }, { "dropping-particle" : "", "family" : "Domenech", "given" : "Philippe", "non-dropping-particle" : "", "parse-names" : false, "suffix" : "" }, { "dropping-particle" : "", "family" : "Pacherie", "given" : "Elisabeth", "non-dropping-particle" : "", "parse-names" : false, "suffix" : "" }, { "dropping-particle" : "", "family" : "Koechlin", "given" : "Etienne", "non-dropping-particle" : "", "parse-names" : false, "suffix" : "" }, { "dropping-particle" : "", "family" : "Baraduc", "given" : "Pierre", "non-dropping-particle" : "", "parse-names" : false, "suffix" : "" }, { "dropping-particle" : "", "family" : "Farrer", "given" : "Chl\u00f6\u00e9", "non-dropping-particle" : "", "parse-names" : false, "suffix" : "" } ], "container-title" : "PLoS ONE", "id" : "ITEM-4", "issue" : "2", "issued" : { "date-parts" : [ [ "2011" ] ] }, "title" : "What are they up to? The role of sensory evidence and prior knowledge in action understanding", "type" : "article-journal", "volume" : "6" }, "uris" : [ "http://www.mendeley.com/documents/?uuid=8efa1a0d-6a56-4538-84f3-162dd1643862" ] } ], "mendeley" : { "formattedCitation" : "(Chambon et al., 2011; Kokal &amp; Keysers, 2010; Neal &amp; Kilner, 2010; Schippers &amp; Keysers, 2011)", "plainTextFormattedCitation" : "(Chambon et al., 2011; Kokal &amp; Keysers, 2010; Neal &amp; Kilner, 2010; Schippers &amp; Keysers, 2011)", "previouslyFormattedCitation" : "(Chambon et al., 2011; Kokal &amp; Keysers, 2010; Neal &amp; Kilner, 2010; Schippers &amp; Keysers, 2011)" }, "properties" : { "noteIndex" : 0 }, "schema" : "https://github.com/citation-style-language/schema/raw/master/csl-citation.json" }</w:instrText>
      </w:r>
      <w:r w:rsidRPr="00341B41">
        <w:fldChar w:fldCharType="separate"/>
      </w:r>
      <w:r w:rsidRPr="00341B41">
        <w:rPr>
          <w:noProof/>
        </w:rPr>
        <w:t>(Chambon et al., 2011; Kokal &amp; Keysers, 2010; Neal &amp; Kilner, 2010; Schippers &amp; Keysers, 2011)</w:t>
      </w:r>
      <w:r w:rsidRPr="00341B41">
        <w:fldChar w:fldCharType="end"/>
      </w:r>
      <w:r w:rsidRPr="00341B41">
        <w:t xml:space="preserve">. </w:t>
      </w:r>
      <w:r w:rsidR="005B1EB9" w:rsidRPr="00341B41">
        <w:t xml:space="preserve"> </w:t>
      </w:r>
    </w:p>
    <w:p w14:paraId="6BF6E26E" w14:textId="6C3ACA70" w:rsidR="005B1EB9" w:rsidRPr="00341B41" w:rsidRDefault="00D42E81" w:rsidP="005B1EB9">
      <w:pPr>
        <w:ind w:firstLine="720"/>
      </w:pPr>
      <w:r w:rsidRPr="00341B41">
        <w:t xml:space="preserve">This understanding of mirror neurons could also be used to understand how expert athletes are able to anticipate an opponent. In an example of tennis, as their opponent moves to strike the ball, the player forms a prediction of the opponent’s intention (to win the point) and also a more immediate goal, to hit the ball back across the court. The player can make use of situational probability and expectation information to form this initial prediction. Given this, the player generates a model of the most likely kinematics required to achieve that goal, thereby activating their own motor system. A prediction error would then be generated by comparing the actual kinematic information and the expected kinematics based on the player’s own motor repertoire. When this prediction error is minimised, the player will have understood the opposing player’s actions. This process needs to occur very quickly in the case of an expert athlete, because the prediction error needs to be minimised quickly enough so that the player can actively anticipate the end goal ahead of the full action being performed. Furthermore, the generative model of the expected kinematics is likely to be highly accurate in an expert athlete, because of their </w:t>
      </w:r>
      <w:r w:rsidRPr="00341B41">
        <w:lastRenderedPageBreak/>
        <w:t>own well developed internal motor models.</w:t>
      </w:r>
      <w:r w:rsidR="004E1286" w:rsidRPr="00341B41">
        <w:t xml:space="preserve"> The accuracy of this model, and the speed at which the action is understood could distinguish between correctly anticipating an action compared to incorrectly anticipating. If the prediction error is minimised before the opposing player strikes the ball, a player will have successfully anticipated the action. If the player’s motor system is unable to generate a model of expected kinematics, or the mismatch between expected and actual kinematics is not resolved in time, then the player will be unable to understanding the intention of their opponent ahead of time, and as such be unable to anticipate successfully. </w:t>
      </w:r>
      <w:r w:rsidRPr="00341B41">
        <w:t xml:space="preserve"> </w:t>
      </w:r>
      <w:r w:rsidR="005B1EB9" w:rsidRPr="00341B41">
        <w:t xml:space="preserve"> </w:t>
      </w:r>
    </w:p>
    <w:p w14:paraId="7AE60C20" w14:textId="54DB44AC" w:rsidR="005B1EB9" w:rsidRPr="00341B41" w:rsidRDefault="00D42E81" w:rsidP="005B1EB9">
      <w:pPr>
        <w:ind w:firstLine="720"/>
      </w:pPr>
      <w:r w:rsidRPr="00341B41">
        <w:t xml:space="preserve">Whilst the use of internal motor models that are reactivated during action observation appear to be a strong candidate mechanism for how action anticipation is facilitated in expert athletes, direct evidence of mirror neurons in humans is currently limited. One study that recorded single neuron responses in human epilepsy patients undergoing surgery did however find evidence of mirror-neuron like cells that activated during both action execution and action observation </w:t>
      </w:r>
      <w:r w:rsidRPr="00341B41">
        <w:fldChar w:fldCharType="begin" w:fldLock="1"/>
      </w:r>
      <w:r w:rsidRPr="00341B41">
        <w:instrText>ADDIN CSL_CITATION { "citationItems" : [ { "id" : "ITEM-1", "itemData" : { "DOI" : "10.1016/j.cub.2010.02.045", "ISBN" : "0960-9822", "ISSN" : "09609822", "PMID" : "20381353", "abstract" : "Direct recordings in monkeys have demonstrated that neurons in frontal and parietal areas discharge during execution and perception of actions [1-8]. Because these discharges \"reflect\" the perceptual aspects of actions of others onto the motor repertoire of the perceiver, these cells??have been called mirror neurons. Their overlapping sensory-motor representations have been implicated in observational learning and imitation, two important forms of learning [9]. In humans, indirect measures of neural activity support the existence of sensory-motor mirroring mechanisms in homolog frontal and parietal areas [10, 11], other motor regions [12-15], and also the existence of multisensory mirroring mechanisms in nonmotor regions [16-19]. We recorded extracellular activity from 1177 cells in human medial frontal and temporal cortices while patients executed or observed hand grasping actions and facial emotional expressions. A significant proportion of neurons in supplementary motor area, and hippocampus and environs, responded to both observation and execution of these actions. A subset of these neurons demonstrated excitation during action-execution and inhibition during action-observation. These findings suggest that multiple systems in humans may be endowed with neural mechanisms of mirroring for both the integration and differentiation of perceptual and motor aspects of actions performed by self and others. ?? 2010 Elsevier Ltd. All rights reserved.", "author" : [ { "dropping-particle" : "", "family" : "Mukamel", "given" : "Roy", "non-dropping-particle" : "", "parse-names" : false, "suffix" : "" }, { "dropping-particle" : "", "family" : "Ekstrom", "given" : "Arne D.", "non-dropping-particle" : "", "parse-names" : false, "suffix" : "" }, { "dropping-particle" : "", "family" : "Kaplan", "given" : "Jonas", "non-dropping-particle" : "", "parse-names" : false, "suffix" : "" }, { "dropping-particle" : "", "family" : "Iacoboni", "given" : "Marco", "non-dropping-particle" : "", "parse-names" : false, "suffix" : "" }, { "dropping-particle" : "", "family" : "Fried", "given" : "Itzhak", "non-dropping-particle" : "", "parse-names" : false, "suffix" : "" } ], "container-title" : "Current Biology", "id" : "ITEM-1", "issue" : "8", "issued" : { "date-parts" : [ [ "2010" ] ] }, "page" : "750-756", "publisher" : "Elsevier Ltd", "title" : "Single-Neuron Responses in Humans during Execution and Observation of Actions", "type" : "article-journal", "volume" : "20" }, "uris" : [ "http://www.mendeley.com/documents/?uuid=45faee54-3868-4073-a9f7-8f528c39bbee" ] } ], "mendeley" : { "formattedCitation" : "(Mukamel, Ekstrom, Kaplan, Iacoboni, &amp; Fried, 2010)", "plainTextFormattedCitation" : "(Mukamel, Ekstrom, Kaplan, Iacoboni, &amp; Fried, 2010)", "previouslyFormattedCitation" : "(Mukamel, Ekstrom, Kaplan, Iacoboni, &amp; Fried, 2010)" }, "properties" : { "noteIndex" : 0 }, "schema" : "https://github.com/citation-style-language/schema/raw/master/csl-citation.json" }</w:instrText>
      </w:r>
      <w:r w:rsidRPr="00341B41">
        <w:fldChar w:fldCharType="separate"/>
      </w:r>
      <w:r w:rsidRPr="00341B41">
        <w:rPr>
          <w:noProof/>
        </w:rPr>
        <w:t>(Mukamel, Ekstrom, Kaplan, Iacoboni, &amp; Fried, 2010)</w:t>
      </w:r>
      <w:r w:rsidRPr="00341B41">
        <w:fldChar w:fldCharType="end"/>
      </w:r>
      <w:r w:rsidRPr="00341B41">
        <w:t>. Whilst the researchers were restricted in the brain areas they could make recordings from, they found evidence of mirror neuron like cells in the SMA and also the hippocampus. The highly invasive procedures required to directly recorded the activity of neurons generally prohibits such studies being conducted on humans, and almost universally take place in epilepsy patients requiring surgical treatment. However, a large body of evidence using non-invasive neuroimaging techniques suggests that a mirror neuron system does appear to exist in humans</w:t>
      </w:r>
      <w:r w:rsidR="00F036B7" w:rsidRPr="00341B41">
        <w:t xml:space="preserve"> (</w:t>
      </w:r>
      <w:proofErr w:type="spellStart"/>
      <w:r w:rsidR="00F036B7" w:rsidRPr="00341B41">
        <w:t>hMNS</w:t>
      </w:r>
      <w:proofErr w:type="spellEnd"/>
      <w:r w:rsidR="00F036B7" w:rsidRPr="00341B41">
        <w:t>)</w:t>
      </w:r>
      <w:r w:rsidRPr="00341B41">
        <w:t xml:space="preserve"> </w:t>
      </w:r>
      <w:r w:rsidRPr="00341B41">
        <w:fldChar w:fldCharType="begin" w:fldLock="1"/>
      </w:r>
      <w:r w:rsidR="00907792" w:rsidRPr="00341B41">
        <w:instrText>ADDIN CSL_CITATION { "citationItems" : [ { "id" : "ITEM-1", "itemData" : { "DOI" : "10.1016/j.neubiorev.2011.07.004", "ISSN" : "1873-7528", "PMID" : "21782846", "abstract" : "Mirror neurons in macaque area F5 fire when an animal performs an action, such as a mouth or limb movement, and also when the animal passively observes an identical or similar action performed by another individual. Brain-imaging studies in humans conducted over the last 20 years have repeatedly attempted to reveal analogous brain regions with mirror properties in humans, with broad and often speculative claims about their functional significance across a range of cognitive domains, from language to social cognition. Despite such concerted efforts, the likely neural substrates of these mirror regions have remained controversial, and indeed the very existence of a distinct subcategory of human neurons with mirroring properties has been questioned. Here we used activation likelihood estimation (ALE), to provide a quantitative index of the consistency of patterns of fMRI activity measured in human studies of action observation and action execution. From an initial sample of more than 300 published works, data from 125 papers met our strict inclusion and exclusion criteria. The analysis revealed 14 separate clusters in which activation has been consistently attributed to brain regions with mirror properties, encompassing 9 different Brodmann areas. These clusters were located in areas purported to show mirroring properties in the macaque, such as the inferior parietal lobule, inferior frontal gyrus and the adjacent ventral premotor cortex, but surprisingly also in regions such as the primary visual cortex, cerebellum and parts of the limbic system. Our findings suggest a core network of human brain regions that possess mirror properties associated with action observation and execution, with additional areas recruited during tasks that engage non-motor functions, such as auditory, somatosensory and affective components.", "author" : [ { "dropping-particle" : "", "family" : "Molenberghs", "given" : "Pascal", "non-dropping-particle" : "", "parse-names" : false, "suffix" : "" }, { "dropping-particle" : "", "family" : "Cunnington", "given" : "Ross", "non-dropping-particle" : "", "parse-names" : false, "suffix" : "" }, { "dropping-particle" : "", "family" : "Mattingley", "given" : "Jason B", "non-dropping-particle" : "", "parse-names" : false, "suffix" : "" } ], "container-title" : "Neuroscience and Biobehavioural Reviews", "id" : "ITEM-1", "issue" : "1", "issued" : { "date-parts" : [ [ "2012", "1" ] ] }, "page" : "341-9", "title" : "Brain regions with mirror properties: a meta-analysis of 125 human fMRI studies.", "type" : "article-journal", "volume" : "36" }, "uris" : [ "http://www.mendeley.com/documents/?uuid=0e13b34c-ebcd-4804-b463-f3c245b51479" ] } ], "mendeley" : { "formattedCitation" : "(Molenberghs et al., 2012)", "plainTextFormattedCitation" : "(Molenberghs et al., 2012)", "previouslyFormattedCitation" : "(Molenberghs et al., 2012)" }, "properties" : { "noteIndex" : 0 }, "schema" : "https://github.com/citation-style-language/schema/raw/master/csl-citation.json" }</w:instrText>
      </w:r>
      <w:r w:rsidRPr="00341B41">
        <w:fldChar w:fldCharType="separate"/>
      </w:r>
      <w:r w:rsidR="00384056" w:rsidRPr="00341B41">
        <w:rPr>
          <w:noProof/>
        </w:rPr>
        <w:t>(Molenberghs et al., 2012)</w:t>
      </w:r>
      <w:r w:rsidRPr="00341B41">
        <w:fldChar w:fldCharType="end"/>
      </w:r>
      <w:r w:rsidRPr="00341B41">
        <w:t>.</w:t>
      </w:r>
      <w:r w:rsidR="005B1EB9" w:rsidRPr="00341B41">
        <w:t xml:space="preserve"> </w:t>
      </w:r>
    </w:p>
    <w:p w14:paraId="3E912C32" w14:textId="430A2E4F" w:rsidR="003D7F81" w:rsidRPr="00341B41" w:rsidRDefault="003D7F81" w:rsidP="0039691B">
      <w:pPr>
        <w:ind w:firstLine="720"/>
      </w:pPr>
      <w:r w:rsidRPr="00341B41">
        <w:t xml:space="preserve">Whilst a mirror system account appears to have strong explanatory power for sports-related action understanding and anticipation, the theory remains controversial and </w:t>
      </w:r>
      <w:r w:rsidRPr="00341B41">
        <w:lastRenderedPageBreak/>
        <w:t xml:space="preserve">has a number of weaknesses. One problem is that many of the properties of mirror neurons observed in the macaque brain have been generalized to human research without consistent experimental verification </w:t>
      </w:r>
      <w:r w:rsidRPr="00341B41">
        <w:fldChar w:fldCharType="begin" w:fldLock="1"/>
      </w:r>
      <w:r w:rsidRPr="00341B41">
        <w:instrText>ADDIN CSL_CITATION { "citationItems" : [ { "id" : "ITEM-1", "itemData" : { "DOI" : "10.1162/jocn.2009.21189", "ISBN" : "0898-929X", "ISSN" : "0898-929X", "PMID" : "19199415", "abstract" : "The discovery of mirror neurons in macaque frontal cortex has sparked a resurgence of interest in motor/embodied theories of cognition. This critical review examines the evidence in support of one of these theories, namely, that mirror neurons provide the basis of action understanding. It is argued that there is no evidence from monkey data that directly tests this theory, and evidence from humans makes a strong case against the position.", "author" : [ { "dropping-particle" : "", "family" : "Hickok", "given" : "Gregory", "non-dropping-particle" : "", "parse-names" : false, "suffix" : "" } ], "container-title" : "Journal of Cognitive Neuroscience", "id" : "ITEM-1", "issue" : "7", "issued" : { "date-parts" : [ [ "2009" ] ] }, "page" : "1229-1243", "title" : "Eight problems for the mirror neuron theory of action understanding in monkeys and humans.", "type" : "article-journal", "volume" : "21" }, "uris" : [ "http://www.mendeley.com/documents/?uuid=244a8665-b8d0-4180-afc3-01b819768334" ] } ], "mendeley" : { "formattedCitation" : "(Hickok, 2009)", "plainTextFormattedCitation" : "(Hickok, 2009)", "previouslyFormattedCitation" : "(Hickok, 2009)" }, "properties" : { "noteIndex" : 0 }, "schema" : "https://github.com/citation-style-language/schema/raw/master/csl-citation.json" }</w:instrText>
      </w:r>
      <w:r w:rsidRPr="00341B41">
        <w:fldChar w:fldCharType="separate"/>
      </w:r>
      <w:r w:rsidRPr="00341B41">
        <w:rPr>
          <w:noProof/>
        </w:rPr>
        <w:t>(Hickok, 2009)</w:t>
      </w:r>
      <w:r w:rsidRPr="00341B41">
        <w:fldChar w:fldCharType="end"/>
      </w:r>
      <w:r w:rsidRPr="00341B41">
        <w:t xml:space="preserve">. For example, in a meta-analysis of putative </w:t>
      </w:r>
      <w:proofErr w:type="spellStart"/>
      <w:r w:rsidR="00F036B7" w:rsidRPr="00341B41">
        <w:t>hMNS</w:t>
      </w:r>
      <w:proofErr w:type="spellEnd"/>
      <w:r w:rsidRPr="00341B41">
        <w:t xml:space="preserve"> regions there was considerable overlap (36%) between regions that are supposedly part of the mirror neuron system and regions that activate during the observation of non-goal-directed actions </w:t>
      </w:r>
      <w:r w:rsidRPr="00341B41">
        <w:fldChar w:fldCharType="begin" w:fldLock="1"/>
      </w:r>
      <w:r w:rsidRPr="00341B41">
        <w:instrText>ADDIN CSL_CITATION { "citationItems" : [ { "id" : "ITEM-1", "itemData" : { "author" : [ { "dropping-particle" : "", "family" : "Morin", "given" : "O", "non-dropping-particle" : "", "parse-names" : false, "suffix" : "" }, { "dropping-particle" : "", "family" : "Grezes", "given" : "J", "non-dropping-particle" : "", "parse-names" : false, "suffix" : "" } ], "container-title" : "Neurophysiologie Clinique", "id" : "ITEM-1", "issued" : { "date-parts" : [ [ "2008" ] ] }, "page" : "189-195", "title" : "What is \"mirror\" in the premotor cortex? A review", "type" : "article-journal", "volume" : "38" }, "uris" : [ "http://www.mendeley.com/documents/?uuid=50f815da-7556-43b1-965c-2781fc60b592" ] } ], "mendeley" : { "formattedCitation" : "(Morin &amp; Grezes, 2008)", "plainTextFormattedCitation" : "(Morin &amp; Grezes, 2008)", "previouslyFormattedCitation" : "(Morin &amp; Grezes, 2008)" }, "properties" : { "noteIndex" : 0 }, "schema" : "https://github.com/citation-style-language/schema/raw/master/csl-citation.json" }</w:instrText>
      </w:r>
      <w:r w:rsidRPr="00341B41">
        <w:fldChar w:fldCharType="separate"/>
      </w:r>
      <w:r w:rsidRPr="00341B41">
        <w:rPr>
          <w:noProof/>
        </w:rPr>
        <w:t>(Morin &amp; Grezes, 2008)</w:t>
      </w:r>
      <w:r w:rsidRPr="00341B41">
        <w:fldChar w:fldCharType="end"/>
      </w:r>
      <w:r w:rsidRPr="00341B41">
        <w:t>. Furthermore, there is evidence that action understanding in humans can be dissociated from the human mirror neuron system, suggesting it to not be directly involved in action und</w:t>
      </w:r>
      <w:r w:rsidR="002A2CC6" w:rsidRPr="00341B41">
        <w:t>erstanding (see section 1.6.3.2</w:t>
      </w:r>
      <w:r w:rsidRPr="00341B41">
        <w:t xml:space="preserve"> for more detail). This has been shown in studies that have examined functional brain activations during the observation of biting action performed by different species such as humans, monkeys, and dogs </w:t>
      </w:r>
      <w:r w:rsidRPr="00341B41">
        <w:fldChar w:fldCharType="begin" w:fldLock="1"/>
      </w:r>
      <w:r w:rsidRPr="00341B41">
        <w:instrText>ADDIN CSL_CITATION { "citationItems" : [ { "id" : "ITEM-1", "itemData" : { "DOI" : "10.1162/089892904322755601", "ISSN" : "0898-929X", "PMID" : "15006041", "abstract" : "Functional magnetic resonance imaging was used to assess the cortical areas active during the observation of mouth actions performed by humans and by individuals belonging to other species (monkey and dog). Two types of actions were presented: biting and oral communicative actions (speech reading, lip-smacking, barking). As a control, static images of the same actions were shown. Observation of biting, regardless of the species of the individual performing the action, determined two activation foci (one rostral and one caudal) in the inferior parietal lobule and an activation of the pars opercularis of the inferior frontal gyrus and the adjacent ventral premotor cortex. The left rostral parietal focus (possibly BA 40) and the left premotor focus were very similar in all three conditions, while the right side foci were stronger during the observation of actions made by conspecifics. The observation of speech reading activated the left pars opercularis of the inferior frontal gyrus, the observation of lip-smacking activated a small focus in the pars opercularis bilaterally, and the observation of barking did not produce any activation in the frontal lobe. Observation of all types of mouth actions induced activation of extrastriate occipital areas. These results suggest that actions made by other individuals may be recognized through different mechanisms. Actions belonging to the motor repertoire of the observer (e.g., biting and speech reading) are mapped on the observer's motor system. Actions that do not belong to this repertoire (e.g., barking) are essentially recognized based on their visual properties. We propose that when the motor representation of the observed action is activated, the observer gains knowledge of the observed action in a \"personal\" perspective, while this perspective is lacking when there is no motor activation.", "author" : [ { "dropping-particle" : "", "family" : "Buccino", "given" : "Giovanni", "non-dropping-particle" : "", "parse-names" : false, "suffix" : "" }, { "dropping-particle" : "", "family" : "Lui", "given" : "Fausta", "non-dropping-particle" : "", "parse-names" : false, "suffix" : "" }, { "dropping-particle" : "", "family" : "Canessa", "given" : "Nicola", "non-dropping-particle" : "", "parse-names" : false, "suffix" : "" }, { "dropping-particle" : "", "family" : "Patteri", "given" : "Ilaria", "non-dropping-particle" : "", "parse-names" : false, "suffix" : "" }, { "dropping-particle" : "", "family" : "Lagravinese", "given" : "Giovanna", "non-dropping-particle" : "", "parse-names" : false, "suffix" : "" }, { "dropping-particle" : "", "family" : "Benuzzi", "given" : "Francesca", "non-dropping-particle" : "", "parse-names" : false, "suffix" : "" }, { "dropping-particle" : "", "family" : "Porro", "given" : "Carlo a", "non-dropping-particle" : "", "parse-names" : false, "suffix" : "" }, { "dropping-particle" : "", "family" : "Rizzolatti", "given" : "Giacomo", "non-dropping-particle" : "", "parse-names" : false, "suffix" : "" } ], "container-title" : "Journal of Cognitive Neuroscience", "id" : "ITEM-1", "issue" : "1", "issued" : { "date-parts" : [ [ "2004" ] ] }, "page" : "114-26", "title" : "Neural circuits involved in the recognition of actions performed by nonconspecifics: an FMRI study.", "type" : "article-journal", "volume" : "16" }, "uris" : [ "http://www.mendeley.com/documents/?uuid=62691ef0-864e-4d58-be33-8a539567741e" ] } ], "mendeley" : { "formattedCitation" : "(Buccino et al., 2004)", "plainTextFormattedCitation" : "(Buccino et al., 2004)", "previouslyFormattedCitation" : "(Buccino et al., 2004)" }, "properties" : { "noteIndex" : 0 }, "schema" : "https://github.com/citation-style-language/schema/raw/master/csl-citation.json" }</w:instrText>
      </w:r>
      <w:r w:rsidRPr="00341B41">
        <w:fldChar w:fldCharType="separate"/>
      </w:r>
      <w:r w:rsidRPr="00341B41">
        <w:rPr>
          <w:noProof/>
        </w:rPr>
        <w:t>(Buccino et al., 2004)</w:t>
      </w:r>
      <w:r w:rsidRPr="00341B41">
        <w:fldChar w:fldCharType="end"/>
      </w:r>
      <w:r w:rsidRPr="00341B41">
        <w:t xml:space="preserve">.  Independent of the species performing the action, the observation of biting actions produced activations in </w:t>
      </w:r>
      <w:proofErr w:type="spellStart"/>
      <w:r w:rsidR="00F036B7" w:rsidRPr="00341B41">
        <w:t>hMNS</w:t>
      </w:r>
      <w:proofErr w:type="spellEnd"/>
      <w:r w:rsidR="00F036B7" w:rsidRPr="00341B41">
        <w:t xml:space="preserve"> </w:t>
      </w:r>
      <w:r w:rsidRPr="00341B41">
        <w:t xml:space="preserve">areas. Viewing communicative gestures from the three species however only activated the </w:t>
      </w:r>
      <w:proofErr w:type="spellStart"/>
      <w:r w:rsidRPr="00341B41">
        <w:t>hMNS</w:t>
      </w:r>
      <w:proofErr w:type="spellEnd"/>
      <w:r w:rsidRPr="00341B41">
        <w:t xml:space="preserve"> to human and monkey gestures, and not to dog ones. This is despite the fact that the participants still understood that the observed action from the dog (barking) was associated with barking. These findings suggest that people can still understand actions even when the </w:t>
      </w:r>
      <w:proofErr w:type="spellStart"/>
      <w:r w:rsidRPr="00341B41">
        <w:t>hMNS</w:t>
      </w:r>
      <w:proofErr w:type="spellEnd"/>
      <w:r w:rsidRPr="00341B41">
        <w:t xml:space="preserve"> is not activated </w:t>
      </w:r>
      <w:r w:rsidRPr="00341B41">
        <w:fldChar w:fldCharType="begin" w:fldLock="1"/>
      </w:r>
      <w:r w:rsidRPr="00341B41">
        <w:instrText>ADDIN CSL_CITATION { "citationItems" : [ { "id" : "ITEM-1", "itemData" : { "DOI" : "10.1162/089892904322755601", "ISSN" : "0898-929X", "PMID" : "15006041", "abstract" : "Functional magnetic resonance imaging was used to assess the cortical areas active during the observation of mouth actions performed by humans and by individuals belonging to other species (monkey and dog). Two types of actions were presented: biting and oral communicative actions (speech reading, lip-smacking, barking). As a control, static images of the same actions were shown. Observation of biting, regardless of the species of the individual performing the action, determined two activation foci (one rostral and one caudal) in the inferior parietal lobule and an activation of the pars opercularis of the inferior frontal gyrus and the adjacent ventral premotor cortex. The left rostral parietal focus (possibly BA 40) and the left premotor focus were very similar in all three conditions, while the right side foci were stronger during the observation of actions made by conspecifics. The observation of speech reading activated the left pars opercularis of the inferior frontal gyrus, the observation of lip-smacking activated a small focus in the pars opercularis bilaterally, and the observation of barking did not produce any activation in the frontal lobe. Observation of all types of mouth actions induced activation of extrastriate occipital areas. These results suggest that actions made by other individuals may be recognized through different mechanisms. Actions belonging to the motor repertoire of the observer (e.g., biting and speech reading) are mapped on the observer's motor system. Actions that do not belong to this repertoire (e.g., barking) are essentially recognized based on their visual properties. We propose that when the motor representation of the observed action is activated, the observer gains knowledge of the observed action in a \"personal\" perspective, while this perspective is lacking when there is no motor activation.", "author" : [ { "dropping-particle" : "", "family" : "Buccino", "given" : "Giovanni", "non-dropping-particle" : "", "parse-names" : false, "suffix" : "" }, { "dropping-particle" : "", "family" : "Lui", "given" : "Fausta", "non-dropping-particle" : "", "parse-names" : false, "suffix" : "" }, { "dropping-particle" : "", "family" : "Canessa", "given" : "Nicola", "non-dropping-particle" : "", "parse-names" : false, "suffix" : "" }, { "dropping-particle" : "", "family" : "Patteri", "given" : "Ilaria", "non-dropping-particle" : "", "parse-names" : false, "suffix" : "" }, { "dropping-particle" : "", "family" : "Lagravinese", "given" : "Giovanna", "non-dropping-particle" : "", "parse-names" : false, "suffix" : "" }, { "dropping-particle" : "", "family" : "Benuzzi", "given" : "Francesca", "non-dropping-particle" : "", "parse-names" : false, "suffix" : "" }, { "dropping-particle" : "", "family" : "Porro", "given" : "Carlo a", "non-dropping-particle" : "", "parse-names" : false, "suffix" : "" }, { "dropping-particle" : "", "family" : "Rizzolatti", "given" : "Giacomo", "non-dropping-particle" : "", "parse-names" : false, "suffix" : "" } ], "container-title" : "Journal of Cognitive Neuroscience", "id" : "ITEM-1", "issue" : "1", "issued" : { "date-parts" : [ [ "2004" ] ] }, "page" : "114-26", "title" : "Neural circuits involved in the recognition of actions performed by nonconspecifics: an FMRI study.", "type" : "article-journal", "volume" : "16" }, "uris" : [ "http://www.mendeley.com/documents/?uuid=62691ef0-864e-4d58-be33-8a539567741e" ] } ], "mendeley" : { "formattedCitation" : "(Buccino et al., 2004)", "plainTextFormattedCitation" : "(Buccino et al., 2004)", "previouslyFormattedCitation" : "(Buccino et al., 2004)" }, "properties" : { "noteIndex" : 0 }, "schema" : "https://github.com/citation-style-language/schema/raw/master/csl-citation.json" }</w:instrText>
      </w:r>
      <w:r w:rsidRPr="00341B41">
        <w:fldChar w:fldCharType="separate"/>
      </w:r>
      <w:r w:rsidRPr="00341B41">
        <w:rPr>
          <w:noProof/>
        </w:rPr>
        <w:t>(Buccino et al., 2004)</w:t>
      </w:r>
      <w:r w:rsidRPr="00341B41">
        <w:fldChar w:fldCharType="end"/>
      </w:r>
      <w:r w:rsidRPr="00341B41">
        <w:t>.</w:t>
      </w:r>
    </w:p>
    <w:p w14:paraId="6259514E" w14:textId="43CDB7C8" w:rsidR="003D7F81" w:rsidRPr="00341B41" w:rsidRDefault="003D7F81" w:rsidP="002A2CC6">
      <w:pPr>
        <w:ind w:firstLine="720"/>
      </w:pPr>
      <w:r w:rsidRPr="00341B41">
        <w:t xml:space="preserve">There is also evidence that action understanding and action execution are dissociable. In a study of patients with limb apraxia (a motor disorder due to brain damage), 7 of 21 patients showed no deficit on a gesture recognition task, despite being unable to perform the gesture in an action production task </w:t>
      </w:r>
      <w:r w:rsidRPr="00341B41">
        <w:fldChar w:fldCharType="begin" w:fldLock="1"/>
      </w:r>
      <w:r w:rsidRPr="00341B41">
        <w:instrText>ADDIN CSL_CITATION { "citationItems" : [ { "id" : "ITEM-1", "itemData" : { "author" : [ { "dropping-particle" : "", "family" : "Pazzaglia", "given" : "M", "non-dropping-particle" : "", "parse-names" : false, "suffix" : "" }, { "dropping-particle" : "", "family" : "Smania", "given" : "N", "non-dropping-particle" : "", "parse-names" : false, "suffix" : "" }, { "dropping-particle" : "", "family" : "Corato", "given" : "E", "non-dropping-particle" : "", "parse-names" : false, "suffix" : "" }, { "dropping-particle" : "", "family" : "Aglioti", "given" : "Salvatore Maria", "non-dropping-particle" : "", "parse-names" : false, "suffix" : "" } ], "container-title" : "The Journal of Neuroscience", "id" : "ITEM-1", "issued" : { "date-parts" : [ [ "2008" ] ] }, "page" : "3030-3041", "title" : "Neural underpinnings of gesture discrimination in patients with limb apraxia", "type" : "article-journal", "volume" : "28" }, "uris" : [ "http://www.mendeley.com/documents/?uuid=8e1cf445-4e78-42fe-a00a-acaf50efb4a8" ] } ], "mendeley" : { "formattedCitation" : "(Pazzaglia, Smania, Corato, &amp; Aglioti, 2008)", "plainTextFormattedCitation" : "(Pazzaglia, Smania, Corato, &amp; Aglioti, 2008)", "previouslyFormattedCitation" : "(Pazzaglia, Smania, Corato, &amp; Aglioti, 2008)" }, "properties" : { "noteIndex" : 0 }, "schema" : "https://github.com/citation-style-language/schema/raw/master/csl-citation.json" }</w:instrText>
      </w:r>
      <w:r w:rsidRPr="00341B41">
        <w:fldChar w:fldCharType="separate"/>
      </w:r>
      <w:r w:rsidRPr="00341B41">
        <w:rPr>
          <w:noProof/>
        </w:rPr>
        <w:t>(Pazzaglia, Smania, Corato, &amp; Aglioti, 2008)</w:t>
      </w:r>
      <w:r w:rsidRPr="00341B41">
        <w:fldChar w:fldCharType="end"/>
      </w:r>
      <w:r w:rsidRPr="00341B41">
        <w:t xml:space="preserve">. This suggests in some patients at least, understanding an action can arise without the ability to produce it. In a separate study of patients with left hemisphere </w:t>
      </w:r>
      <w:r w:rsidRPr="00341B41">
        <w:lastRenderedPageBreak/>
        <w:t>damage, there was no correlation between the ability to recognise an ac</w:t>
      </w:r>
      <w:r w:rsidR="0088088C" w:rsidRPr="00341B41">
        <w:t>tion associated with object use</w:t>
      </w:r>
      <w:r w:rsidRPr="00341B41">
        <w:t xml:space="preserve"> and the ability to perform the same action </w:t>
      </w:r>
      <w:r w:rsidRPr="00341B41">
        <w:fldChar w:fldCharType="begin" w:fldLock="1"/>
      </w:r>
      <w:r w:rsidRPr="00341B41">
        <w:instrText>ADDIN CSL_CITATION { "citationItems" : [ { "id" : "ITEM-1", "itemData" : { "author" : [ { "dropping-particle" : "", "family" : "Tessari", "given" : "A", "non-dropping-particle" : "", "parse-names" : false, "suffix" : "" }, { "dropping-particle" : "", "family" : "Canessa", "given" : "N", "non-dropping-particle" : "", "parse-names" : false, "suffix" : "" }, { "dropping-particle" : "", "family" : "Ukmar", "given" : "M", "non-dropping-particle" : "", "parse-names" : false, "suffix" : "" }, { "dropping-particle" : "", "family" : "Rumiati", "given" : "Raffaella Ida", "non-dropping-particle" : "", "parse-names" : false, "suffix" : "" } ], "container-title" : "Brain", "id" : "ITEM-1", "issued" : { "date-parts" : [ [ "2007" ] ] }, "page" : "1111-1126", "title" : "Neurophysiological eidence for a strategic control of multiple routes in imitation", "type" : "article-journal", "volume" : "130" }, "uris" : [ "http://www.mendeley.com/documents/?uuid=c944babb-2e08-41a3-8847-95d23a663b86" ] } ], "mendeley" : { "formattedCitation" : "(Tessari, Canessa, Ukmar, &amp; Rumiati, 2007)", "plainTextFormattedCitation" : "(Tessari, Canessa, Ukmar, &amp; Rumiati, 2007)", "previouslyFormattedCitation" : "(Tessari, Canessa, Ukmar, &amp; Rumiati, 2007)" }, "properties" : { "noteIndex" : 0 }, "schema" : "https://github.com/citation-style-language/schema/raw/master/csl-citation.json" }</w:instrText>
      </w:r>
      <w:r w:rsidRPr="00341B41">
        <w:fldChar w:fldCharType="separate"/>
      </w:r>
      <w:r w:rsidRPr="00341B41">
        <w:rPr>
          <w:noProof/>
        </w:rPr>
        <w:t>(Tessari, Canessa, Ukmar, &amp; Rumiati, 2007)</w:t>
      </w:r>
      <w:r w:rsidRPr="00341B41">
        <w:fldChar w:fldCharType="end"/>
      </w:r>
      <w:r w:rsidRPr="00341B41">
        <w:t>. This is a particularly interesting study as it was specifically investigating goal-directed actions, the action type that mirror neurons are believed to be most closely associated with.</w:t>
      </w:r>
    </w:p>
    <w:p w14:paraId="179100B2" w14:textId="77777777" w:rsidR="003D7F81" w:rsidRPr="00341B41" w:rsidRDefault="003D7F81" w:rsidP="003D7F81">
      <w:pPr>
        <w:pStyle w:val="Heading4"/>
      </w:pPr>
      <w:r w:rsidRPr="00341B41">
        <w:t>1.6.3.2.   Non-motor theories of action understanding</w:t>
      </w:r>
    </w:p>
    <w:p w14:paraId="30D45A99" w14:textId="77777777" w:rsidR="003D7F81" w:rsidRPr="00341B41" w:rsidRDefault="003D7F81" w:rsidP="0039691B">
      <w:r w:rsidRPr="00341B41">
        <w:t xml:space="preserve">These weaknesses of the </w:t>
      </w:r>
      <w:proofErr w:type="spellStart"/>
      <w:r w:rsidRPr="00341B41">
        <w:t>hMNS</w:t>
      </w:r>
      <w:proofErr w:type="spellEnd"/>
      <w:r w:rsidRPr="00341B41">
        <w:t xml:space="preserve"> account of action understanding have led others to suggest alternative explanations as to why the motor system activates during the observation of actions. The association hypothesis proposes that motor neurons are active during action observation because of associative learning </w:t>
      </w:r>
      <w:r w:rsidRPr="00341B41">
        <w:fldChar w:fldCharType="begin" w:fldLock="1"/>
      </w:r>
      <w:r w:rsidRPr="00341B41">
        <w:instrText>ADDIN CSL_CITATION { "citationItems" : [ { "id" : "ITEM-1", "itemData" : { "DOI" : "10.1016/j.neubiorev.2009.11.007", "ISBN" : "1873-7528 (Electronic)\\r0149-7634 (Linking)", "ISSN" : "01497634", "PMID" : "19914284", "abstract" : "Debates about the evolution of the 'mirror neuron system' imply that it is an adaptation for action understanding. Alternatively, mirror neurons may be a byproduct of associative learning. Here I argue that the adaptation and associative hypotheses both offer plausible accounts of the origin of mirror neurons, but the associative hypothesis has three advantages. First, it provides a straightforward, testable explanation for the differences between monkeys and humans that have led some researchers to question the existence of a mirror neuron system. Second, it is consistent with emerging evidence that mirror neurons contribute to a range of social cognitive functions, but do not play a dominant, specialised role in action understanding. Finally, the associative hypothesis is supported by recent data showing that, even in adulthood, the mirror neuron system can be transformed by sensorimotor learning. The associative account implies that mirror neurons come from sensorimotor experience, and that much of this experience is obtained through interaction with others. Therefore, if the associative account is correct, the mirror neuron system is a product, as well as a process, of social interaction. \u00a9 2009 Elsevier Ltd.", "author" : [ { "dropping-particle" : "", "family" : "Heyes", "given" : "Cecilia", "non-dropping-particle" : "", "parse-names" : false, "suffix" : "" } ], "container-title" : "Neuroscience and Biobehavioral Reviews", "id" : "ITEM-1", "issue" : "4", "issued" : { "date-parts" : [ [ "2010" ] ] }, "page" : "575-583", "publisher" : "Elsevier Ltd", "title" : "Where do mirror neurons come from?", "type" : "article-journal", "volume" : "34" }, "uris" : [ "http://www.mendeley.com/documents/?uuid=030bf6cf-472b-4935-9b66-be3c085dcb45" ] }, { "id" : "ITEM-2", "itemData" : { "DOI" : "10.1016/j.neuroimage.2010.02.034", "ISBN" : "1095-9572 (Electronic)\\r1053-8119 (Linking)", "ISSN" : "10538119", "PMID" : "20167276", "abstract" : "Mirror neurons have been hailed as the key to understanding social cognition. I argue that three currents of thought-relating to evolution, atomism and telepathy-have magnified the perceived importance of mirror neurons. When they are understood to be a product of associative learning, rather than an adaptation for social cognition, mirror neurons are no longer mesmerising, but they continue to raise important questions about both the psychology of science and the neural bases of social cognition. ?? 2010 Elsevier Inc.", "author" : [ { "dropping-particle" : "", "family" : "Heyes", "given" : "Cecilia", "non-dropping-particle" : "", "parse-names" : false, "suffix" : "" } ], "container-title" : "NeuroImage", "id" : "ITEM-2", "issue" : "2", "issued" : { "date-parts" : [ [ "2010" ] ] }, "page" : "789-791", "publisher" : "Elsevier Inc.", "title" : "Mesmerising mirror neurons", "type" : "article-journal", "volume" : "51" }, "uris" : [ "http://www.mendeley.com/documents/?uuid=541899be-b997-4740-961c-c1b40fc76ec1" ] } ], "mendeley" : { "formattedCitation" : "(Heyes, 2010a, 2010b)", "plainTextFormattedCitation" : "(Heyes, 2010a, 2010b)", "previouslyFormattedCitation" : "(Heyes, 2010a, 2010b)" }, "properties" : { "noteIndex" : 0 }, "schema" : "https://github.com/citation-style-language/schema/raw/master/csl-citation.json" }</w:instrText>
      </w:r>
      <w:r w:rsidRPr="00341B41">
        <w:fldChar w:fldCharType="separate"/>
      </w:r>
      <w:r w:rsidRPr="00341B41">
        <w:rPr>
          <w:noProof/>
        </w:rPr>
        <w:t>(Heyes, 2010a, 2010b)</w:t>
      </w:r>
      <w:r w:rsidRPr="00341B41">
        <w:fldChar w:fldCharType="end"/>
      </w:r>
      <w:r w:rsidRPr="00341B41">
        <w:t xml:space="preserve">. The theory suggests that, before learning, sensory neurons that code to high level visual properties of an observed action are only weakly connected to motor neurons in the pre-motor and parietal cortices that code for high level motor properties during action execution. For example, a sensory neuron that fires during the observation of a precision grip is weakly connected to neurons in the pre-motor cortex, which fire during the execution of precision grips. The motor neuron starts to fire alongside the corresponding sensory neuron when there is correlated activation of both types of neurons that are both responsive to similar actions. Connection strengthening occurs if an individual gains experience in which observation and execution of similar actions are correlated i.e. when they occur relatively close together in time, and one predicts the other. These kinds of experiences that forge strong sensory and motor connections between neurons coding similar actions can arise in a number of situations such as taking part in sports training </w:t>
      </w:r>
      <w:r w:rsidRPr="00341B41">
        <w:fldChar w:fldCharType="begin" w:fldLock="1"/>
      </w:r>
      <w:r w:rsidRPr="00341B41">
        <w:instrText>ADDIN CSL_CITATION { "citationItems" : [ { "id" : "ITEM-1", "itemData" : { "DOI" : "10.1016/j.neubiorev.2009.11.007", "ISBN" : "1873-7528 (Electronic)\\r0149-7634 (Linking)", "ISSN" : "01497634", "PMID" : "19914284", "abstract" : "Debates about the evolution of the 'mirror neuron system' imply that it is an adaptation for action understanding. Alternatively, mirror neurons may be a byproduct of associative learning. Here I argue that the adaptation and associative hypotheses both offer plausible accounts of the origin of mirror neurons, but the associative hypothesis has three advantages. First, it provides a straightforward, testable explanation for the differences between monkeys and humans that have led some researchers to question the existence of a mirror neuron system. Second, it is consistent with emerging evidence that mirror neurons contribute to a range of social cognitive functions, but do not play a dominant, specialised role in action understanding. Finally, the associative hypothesis is supported by recent data showing that, even in adulthood, the mirror neuron system can be transformed by sensorimotor learning. The associative account implies that mirror neurons come from sensorimotor experience, and that much of this experience is obtained through interaction with others. Therefore, if the associative account is correct, the mirror neuron system is a product, as well as a process, of social interaction. \u00a9 2009 Elsevier Ltd.", "author" : [ { "dropping-particle" : "", "family" : "Heyes", "given" : "Cecilia", "non-dropping-particle" : "", "parse-names" : false, "suffix" : "" } ], "container-title" : "Neuroscience and Biobehavioral Reviews", "id" : "ITEM-1", "issue" : "4", "issued" : { "date-parts" : [ [ "2010" ] ] }, "page" : "575-583", "publisher" : "Elsevier Ltd", "title" : "Where do mirror neurons come from?", "type" : "article-journal", "volume" : "34" }, "uris" : [ "http://www.mendeley.com/documents/?uuid=030bf6cf-472b-4935-9b66-be3c085dcb45" ] } ], "mendeley" : { "formattedCitation" : "(Heyes, 2010b)", "plainTextFormattedCitation" : "(Heyes, 2010b)", "previouslyFormattedCitation" : "(Heyes, 2010b)" }, "properties" : { "noteIndex" : 0 }, "schema" : "https://github.com/citation-style-language/schema/raw/master/csl-citation.json" }</w:instrText>
      </w:r>
      <w:r w:rsidRPr="00341B41">
        <w:fldChar w:fldCharType="separate"/>
      </w:r>
      <w:r w:rsidRPr="00341B41">
        <w:rPr>
          <w:noProof/>
        </w:rPr>
        <w:t>(Heyes, 2010b)</w:t>
      </w:r>
      <w:r w:rsidRPr="00341B41">
        <w:fldChar w:fldCharType="end"/>
      </w:r>
      <w:r w:rsidRPr="00341B41">
        <w:t>.</w:t>
      </w:r>
    </w:p>
    <w:p w14:paraId="5DA46052" w14:textId="3A8DC2F2" w:rsidR="003D7F81" w:rsidRPr="00341B41" w:rsidRDefault="003D7F81" w:rsidP="0039691B">
      <w:r w:rsidRPr="00341B41">
        <w:lastRenderedPageBreak/>
        <w:tab/>
        <w:t>Evidence for this theory comes from studies showing that motor responses can be modulated by changes in sensory input. In a study using</w:t>
      </w:r>
      <w:r w:rsidR="00AE6458" w:rsidRPr="00341B41">
        <w:t xml:space="preserve"> transcranial magnetic stimulation</w:t>
      </w:r>
      <w:r w:rsidRPr="00341B41">
        <w:t xml:space="preserve"> </w:t>
      </w:r>
      <w:r w:rsidR="00AE6458" w:rsidRPr="00341B41">
        <w:t>(</w:t>
      </w:r>
      <w:r w:rsidRPr="00341B41">
        <w:t>TMS</w:t>
      </w:r>
      <w:r w:rsidR="00AE6458" w:rsidRPr="00341B41">
        <w:t>)</w:t>
      </w:r>
      <w:r w:rsidRPr="00341B41">
        <w:t xml:space="preserve"> to evoke motor evoked potentials, participants watched videos of an actor moving an index finger. When participants watched the videos, the motor evoked potential (MEP) was greatest in the participant’s own index finger. However when they observed the little finger being moved, MEPs were greater in the participant’s own little finger </w:t>
      </w:r>
      <w:r w:rsidRPr="00341B41">
        <w:fldChar w:fldCharType="begin" w:fldLock="1"/>
      </w:r>
      <w:r w:rsidRPr="00341B41">
        <w:instrText>ADDIN CSL_CITATION { "citationItems" : [ { "id" : "ITEM-1", "itemData" : { "author" : [ { "dropping-particle" : "", "family" : "Catmur", "given" : "C", "non-dropping-particle" : "", "parse-names" : false, "suffix" : "" }, { "dropping-particle" : "", "family" : "Walsh", "given" : "Vincent", "non-dropping-particle" : "", "parse-names" : false, "suffix" : "" }, { "dropping-particle" : "", "family" : "Heyes", "given" : "Cecilia", "non-dropping-particle" : "", "parse-names" : false, "suffix" : "" } ], "container-title" : "Current Biology", "id" : "ITEM-1", "issued" : { "date-parts" : [ [ "2007" ] ] }, "page" : "1527-1531", "title" : "Sensorimotor learning configures the human mirror system", "type" : "article-journal", "volume" : "17" }, "uris" : [ "http://www.mendeley.com/documents/?uuid=af1d52c2-7807-41d2-930c-b9e5499d28e1" ] } ], "mendeley" : { "formattedCitation" : "(Catmur, Walsh, &amp; Heyes, 2007)", "plainTextFormattedCitation" : "(Catmur, Walsh, &amp; Heyes, 2007)", "previouslyFormattedCitation" : "(Catmur, Walsh, &amp; Heyes, 2007)" }, "properties" : { "noteIndex" : 0 }, "schema" : "https://github.com/citation-style-language/schema/raw/master/csl-citation.json" }</w:instrText>
      </w:r>
      <w:r w:rsidRPr="00341B41">
        <w:fldChar w:fldCharType="separate"/>
      </w:r>
      <w:r w:rsidRPr="00341B41">
        <w:rPr>
          <w:noProof/>
        </w:rPr>
        <w:t>(Catmur, Walsh, &amp; Heyes, 2007)</w:t>
      </w:r>
      <w:r w:rsidRPr="00341B41">
        <w:fldChar w:fldCharType="end"/>
      </w:r>
      <w:r w:rsidRPr="00341B41">
        <w:t xml:space="preserve">. This supports the typical mirroring account. However, the researchers then trained the participants to move their fingers incongruently to the video stimuli (i.e. move </w:t>
      </w:r>
      <w:r w:rsidR="009C4261" w:rsidRPr="00341B41">
        <w:t>an</w:t>
      </w:r>
      <w:r w:rsidRPr="00341B41">
        <w:t xml:space="preserve"> index finger when the actor moves their little finger, and vice versa). After this training, when the TMS was applied again, MEPs were greater in the index finger when the little finger movements were observed </w:t>
      </w:r>
      <w:r w:rsidRPr="00341B41">
        <w:fldChar w:fldCharType="begin" w:fldLock="1"/>
      </w:r>
      <w:r w:rsidRPr="00341B41">
        <w:instrText>ADDIN CSL_CITATION { "citationItems" : [ { "id" : "ITEM-1", "itemData" : { "author" : [ { "dropping-particle" : "", "family" : "Catmur", "given" : "C", "non-dropping-particle" : "", "parse-names" : false, "suffix" : "" }, { "dropping-particle" : "", "family" : "Walsh", "given" : "Vincent", "non-dropping-particle" : "", "parse-names" : false, "suffix" : "" }, { "dropping-particle" : "", "family" : "Heyes", "given" : "Cecilia", "non-dropping-particle" : "", "parse-names" : false, "suffix" : "" } ], "container-title" : "Current Biology", "id" : "ITEM-1", "issued" : { "date-parts" : [ [ "2007" ] ] }, "page" : "1527-1531", "title" : "Sensorimotor learning configures the human mirror system", "type" : "article-journal", "volume" : "17" }, "uris" : [ "http://www.mendeley.com/documents/?uuid=af1d52c2-7807-41d2-930c-b9e5499d28e1" ] } ], "mendeley" : { "formattedCitation" : "(Catmur et al., 2007)", "plainTextFormattedCitation" : "(Catmur et al., 2007)", "previouslyFormattedCitation" : "(Catmur et al., 2007)" }, "properties" : { "noteIndex" : 0 }, "schema" : "https://github.com/citation-style-language/schema/raw/master/csl-citation.json" }</w:instrText>
      </w:r>
      <w:r w:rsidRPr="00341B41">
        <w:fldChar w:fldCharType="separate"/>
      </w:r>
      <w:r w:rsidRPr="00341B41">
        <w:rPr>
          <w:noProof/>
        </w:rPr>
        <w:t>(Catmur et al., 2007)</w:t>
      </w:r>
      <w:r w:rsidRPr="00341B41">
        <w:fldChar w:fldCharType="end"/>
      </w:r>
      <w:r w:rsidRPr="00341B41">
        <w:t>. This finding shows that ‘mirroring’ effects can be trained by learning new sensory associations, and argues against the idea that when an action is observed a motor representation of that action is activated in the motor system. If this were the case, even after the training, MEPs would still be expected to be bigger to the congruent action observation.</w:t>
      </w:r>
    </w:p>
    <w:p w14:paraId="0610013C" w14:textId="5B07691C" w:rsidR="003D7F81" w:rsidRPr="00341B41" w:rsidRDefault="003D7F81" w:rsidP="0039691B">
      <w:r w:rsidRPr="00341B41">
        <w:tab/>
        <w:t xml:space="preserve">It is easy to imagine how sensory-motor associations could develop in the context of sports training to lead to increased motor system activity in expert athletes during action observation and anticipation. During training, athletes are exposed to a large amount of action observation, through viewing opponent’s actions. They also develop strong motor representations through action execution training. Clearly, in match situations there is close correlation between </w:t>
      </w:r>
      <w:r w:rsidR="00AF319A" w:rsidRPr="00341B41">
        <w:t>the observation of an opponent</w:t>
      </w:r>
      <w:r w:rsidRPr="00341B41">
        <w:t xml:space="preserve"> playing a shot, and executing a tennis shot. This close activation then leads to a strengthening of neural associations between sensory networks involved in observing an action, and motor neurons involved in executing </w:t>
      </w:r>
      <w:r w:rsidRPr="00341B41">
        <w:lastRenderedPageBreak/>
        <w:t>an action. Through this strengthening of associations, the motor system starts activating when an action is observed.</w:t>
      </w:r>
    </w:p>
    <w:p w14:paraId="2F0C0D4D" w14:textId="77777777" w:rsidR="003D7F81" w:rsidRPr="00341B41" w:rsidRDefault="003D7F81" w:rsidP="0039691B">
      <w:r w:rsidRPr="00341B41">
        <w:tab/>
        <w:t>The association hypothesis suggests there is not a role of the motor system in action understanding, rather activation of the motor system during action observation is a by-product of strengthening sensory-motor associations. This leaves open the question of where action understanding does take place, if it is not directly in the motor system.</w:t>
      </w:r>
    </w:p>
    <w:p w14:paraId="7C6706C8" w14:textId="77777777" w:rsidR="003D7F81" w:rsidRPr="00341B41" w:rsidRDefault="003D7F81" w:rsidP="0039691B">
      <w:r w:rsidRPr="00341B41">
        <w:tab/>
        <w:t xml:space="preserve">It has been proposed that action understanding is achieved through different pathways, with the motor system involved in coding the lower level features of an observed action, with higher-level understanding of the intention of an action occurring outside of the motor system </w:t>
      </w:r>
      <w:r w:rsidRPr="00341B41">
        <w:fldChar w:fldCharType="begin" w:fldLock="1"/>
      </w:r>
      <w:r w:rsidRPr="00341B41">
        <w:instrText>ADDIN CSL_CITATION { "citationItems" : [ { "id" : "ITEM-1", "itemData" : { "DOI" : "10.1016/j.tics.2011.06.005", "ISBN" : "1879-307X (Electronic)\\r1364-6613 (Linking)", "ISSN" : "13646613", "PMID" : "21775191", "abstract" : "Many believe that the ability to understand the actions of others is made possible by mirror neurons and a network of brain areas known as the action-observation network (AON). Despite nearly two decades of research into mirror neurons and the AON, however, there is little evidence that they enable the inference of the intention of observed actions. Instead, theories of action selection during action execution indicate that a ventral pathway, linking middle temporal gyrus with the anterior inferior frontal gyrus, might encode these abstract features during action observation. Here I propose that action understanding requires more than merely the AON, and might be achieved through interactions between a ventral pathway and the dorsal AON. ?? 2011 Elsevier Ltd.", "author" : [ { "dropping-particle" : "", "family" : "Kilner", "given" : "James M", "non-dropping-particle" : "", "parse-names" : false, "suffix" : "" } ], "container-title" : "Trends in Cognitive Sciences", "id" : "ITEM-1", "issue" : "8", "issued" : { "date-parts" : [ [ "2011" ] ] }, "page" : "352-357", "title" : "More than one pathway to action understanding", "type" : "article-journal", "volume" : "15" }, "uris" : [ "http://www.mendeley.com/documents/?uuid=00b99736-dff1-47df-baa2-0246d1b8891e" ] } ], "mendeley" : { "formattedCitation" : "(Kilner, 2011)", "plainTextFormattedCitation" : "(Kilner, 2011)", "previouslyFormattedCitation" : "(Kilner, 2011)" }, "properties" : { "noteIndex" : 0 }, "schema" : "https://github.com/citation-style-language/schema/raw/master/csl-citation.json" }</w:instrText>
      </w:r>
      <w:r w:rsidRPr="00341B41">
        <w:fldChar w:fldCharType="separate"/>
      </w:r>
      <w:r w:rsidRPr="00341B41">
        <w:rPr>
          <w:noProof/>
        </w:rPr>
        <w:t>(Kilner, 2011)</w:t>
      </w:r>
      <w:r w:rsidRPr="00341B41">
        <w:fldChar w:fldCharType="end"/>
      </w:r>
      <w:r w:rsidRPr="00341B41">
        <w:t xml:space="preserve">. Recent theories action control </w:t>
      </w:r>
      <w:proofErr w:type="gramStart"/>
      <w:r w:rsidRPr="00341B41">
        <w:t>propose</w:t>
      </w:r>
      <w:proofErr w:type="gramEnd"/>
      <w:r w:rsidRPr="00341B41">
        <w:t xml:space="preserve"> that the ventral IFG is organised along the rostral-caudal axis to represent different levels of abstraction with anterior regions encoding the most abstract semantic representations and the most posterior regions encoding concrete representations. As an example, related to action execution in sports, one could consider the actions involved in striking a tennis ball. The overall intention would be to hit the ball over the net with the racket. Whilst there are many ways a person could swing the racket to hit the ball, some of the possible actions would not achieve the overall intention – to hit the ball over the net. Therefore, to achieve this intention, it is necessary to select the most appropriate swing action from all the possible swing actions.</w:t>
      </w:r>
    </w:p>
    <w:p w14:paraId="177C0F42" w14:textId="77777777" w:rsidR="003D7F81" w:rsidRPr="00341B41" w:rsidRDefault="003D7F81" w:rsidP="0039691B">
      <w:r w:rsidRPr="00341B41">
        <w:tab/>
        <w:t xml:space="preserve">The process of retrieving and selecting action semantically related to the object have been associated with activations of the anterior IFG and connecting regions of the middle temporal gyrus (MTG) </w:t>
      </w:r>
      <w:r w:rsidRPr="00341B41">
        <w:fldChar w:fldCharType="begin" w:fldLock="1"/>
      </w:r>
      <w:r w:rsidRPr="00341B41">
        <w:instrText>ADDIN CSL_CITATION { "citationItems" : [ { "id" : "ITEM-1", "itemData" : { "author" : [ { "dropping-particle" : "", "family" : "Binder", "given" : "J R", "non-dropping-particle" : "", "parse-names" : false, "suffix" : "" }, { "dropping-particle" : "", "family" : "Desai", "given" : "R H", "non-dropping-particle" : "", "parse-names" : false, "suffix" : "" }, { "dropping-particle" : "", "family" : "Graves", "given" : "W W", "non-dropping-particle" : "", "parse-names" : false, "suffix" : "" }, { "dropping-particle" : "", "family" : "Conant", "given" : "L L", "non-dropping-particle" : "", "parse-names" : false, "suffix" : "" } ], "container-title" : "Cerebral Cortex", "id" : "ITEM-1", "issued" : { "date-parts" : [ [ "2009" ] ] }, "page" : "2767-2796", "title" : "Where is the semantic system? A critical review and meta-analysis of 120 functional neuroimaging studies", "type" : "article-journal", "volume" : "19" }, "uris" : [ "http://www.mendeley.com/documents/?uuid=8d20f96b-5027-4685-814c-263d1c2d78c5" ] }, { "id" : "ITEM-2", "itemData" : { "author" : [ { "dropping-particle" : "", "family" : "Badre", "given" : "D", "non-dropping-particle" : "", "parse-names" : false, "suffix" : "" }, { "dropping-particle" : "", "family" : "D'Esposito", "given" : "M", "non-dropping-particle" : "", "parse-names" : false, "suffix" : "" } ], "container-title" : "Nature Reviews Neuroscience", "id" : "ITEM-2", "issued" : { "date-parts" : [ [ "2009" ] ] }, "page" : "659-669", "title" : "Is the rostro-caudal axis of the frontal lobe hierarchical", "type" : "article-journal", "volume" : "10" }, "uris" : [ "http://www.mendeley.com/documents/?uuid=a92d6258-8db1-46bd-a7bd-1347fb3ebaa6" ] } ], "mendeley" : { "formattedCitation" : "(Badre &amp; D\u2019Esposito, 2009; Binder, Desai, Graves, &amp; Conant, 2009)", "plainTextFormattedCitation" : "(Badre &amp; D\u2019Esposito, 2009; Binder, Desai, Graves, &amp; Conant, 2009)", "previouslyFormattedCitation" : "(Badre &amp; D\u2019Esposito, 2009; Binder, Desai, Graves, &amp; Conant, 2009)" }, "properties" : { "noteIndex" : 0 }, "schema" : "https://github.com/citation-style-language/schema/raw/master/csl-citation.json" }</w:instrText>
      </w:r>
      <w:r w:rsidRPr="00341B41">
        <w:fldChar w:fldCharType="separate"/>
      </w:r>
      <w:r w:rsidRPr="00341B41">
        <w:rPr>
          <w:noProof/>
        </w:rPr>
        <w:t xml:space="preserve">(Badre &amp; D’Esposito, 2009; Binder, Desai, Graves, &amp; </w:t>
      </w:r>
      <w:r w:rsidRPr="00341B41">
        <w:rPr>
          <w:noProof/>
        </w:rPr>
        <w:lastRenderedPageBreak/>
        <w:t>Conant, 2009)</w:t>
      </w:r>
      <w:r w:rsidRPr="00341B41">
        <w:fldChar w:fldCharType="end"/>
      </w:r>
      <w:r w:rsidRPr="00341B41">
        <w:t xml:space="preserve">. Then, the selection of the most appropriate action given the overall intention appears to be related to activity in the middle of the IFG </w:t>
      </w:r>
      <w:r w:rsidRPr="00341B41">
        <w:fldChar w:fldCharType="begin" w:fldLock="1"/>
      </w:r>
      <w:r w:rsidRPr="00341B41">
        <w:instrText>ADDIN CSL_CITATION { "citationItems" : [ { "id" : "ITEM-1", "itemData" : { "author" : [ { "dropping-particle" : "", "family" : "Badre", "given" : "D", "non-dropping-particle" : "", "parse-names" : false, "suffix" : "" }, { "dropping-particle" : "", "family" : "D'Esposito", "given" : "M", "non-dropping-particle" : "", "parse-names" : false, "suffix" : "" } ], "container-title" : "Nature Reviews Neuroscience", "id" : "ITEM-1", "issued" : { "date-parts" : [ [ "2009" ] ] }, "page" : "659-669", "title" : "Is the rostro-caudal axis of the frontal lobe hierarchical", "type" : "article-journal", "volume" : "10" }, "uris" : [ "http://www.mendeley.com/documents/?uuid=a92d6258-8db1-46bd-a7bd-1347fb3ebaa6" ] } ], "mendeley" : { "formattedCitation" : "(Badre &amp; D\u2019Esposito, 2009)", "plainTextFormattedCitation" : "(Badre &amp; D\u2019Esposito, 2009)", "previouslyFormattedCitation" : "(Badre &amp; D\u2019Esposito, 2009)" }, "properties" : { "noteIndex" : 0 }, "schema" : "https://github.com/citation-style-language/schema/raw/master/csl-citation.json" }</w:instrText>
      </w:r>
      <w:r w:rsidRPr="00341B41">
        <w:fldChar w:fldCharType="separate"/>
      </w:r>
      <w:r w:rsidRPr="00341B41">
        <w:rPr>
          <w:noProof/>
        </w:rPr>
        <w:t>(Badre &amp; D’Esposito, 2009)</w:t>
      </w:r>
      <w:r w:rsidRPr="00341B41">
        <w:fldChar w:fldCharType="end"/>
      </w:r>
      <w:r w:rsidRPr="00341B41">
        <w:t xml:space="preserve">. Finally, once the most appropriate action is selected the motor parameters needed to perform the action are encoded in the posterior IFG </w:t>
      </w:r>
      <w:r w:rsidRPr="00341B41">
        <w:fldChar w:fldCharType="begin" w:fldLock="1"/>
      </w:r>
      <w:r w:rsidRPr="00341B41">
        <w:instrText>ADDIN CSL_CITATION { "citationItems" : [ { "id" : "ITEM-1", "itemData" : { "author" : [ { "dropping-particle" : "", "family" : "Badre", "given" : "D", "non-dropping-particle" : "", "parse-names" : false, "suffix" : "" }, { "dropping-particle" : "", "family" : "D'Esposito", "given" : "M", "non-dropping-particle" : "", "parse-names" : false, "suffix" : "" } ], "container-title" : "Nature Reviews Neuroscience", "id" : "ITEM-1", "issued" : { "date-parts" : [ [ "2009" ] ] }, "page" : "659-669", "title" : "Is the rostro-caudal axis of the frontal lobe hierarchical", "type" : "article-journal", "volume" : "10" }, "uris" : [ "http://www.mendeley.com/documents/?uuid=a92d6258-8db1-46bd-a7bd-1347fb3ebaa6" ] } ], "mendeley" : { "formattedCitation" : "(Badre &amp; D\u2019Esposito, 2009)", "plainTextFormattedCitation" : "(Badre &amp; D\u2019Esposito, 2009)", "previouslyFormattedCitation" : "(Badre &amp; D\u2019Esposito, 2009)" }, "properties" : { "noteIndex" : 0 }, "schema" : "https://github.com/citation-style-language/schema/raw/master/csl-citation.json" }</w:instrText>
      </w:r>
      <w:r w:rsidRPr="00341B41">
        <w:fldChar w:fldCharType="separate"/>
      </w:r>
      <w:r w:rsidRPr="00341B41">
        <w:rPr>
          <w:noProof/>
        </w:rPr>
        <w:t>(Badre &amp; D’Esposito, 2009)</w:t>
      </w:r>
      <w:r w:rsidRPr="00341B41">
        <w:fldChar w:fldCharType="end"/>
      </w:r>
      <w:r w:rsidRPr="00341B41">
        <w:t>. This model provides a gradient of action representation from the overall intention through to the concrete execution of the most appropriate action.</w:t>
      </w:r>
    </w:p>
    <w:p w14:paraId="64D391C0" w14:textId="31D1F98C" w:rsidR="003D7F81" w:rsidRPr="00341B41" w:rsidRDefault="003D7F81" w:rsidP="0039691B">
      <w:r w:rsidRPr="00341B41">
        <w:tab/>
        <w:t>This framework can be applied to action observation</w:t>
      </w:r>
      <w:r w:rsidR="00E851E3" w:rsidRPr="00341B41">
        <w:t xml:space="preserve"> </w:t>
      </w:r>
      <w:r w:rsidR="00E851E3" w:rsidRPr="00341B41">
        <w:fldChar w:fldCharType="begin" w:fldLock="1"/>
      </w:r>
      <w:r w:rsidR="00E851E3" w:rsidRPr="00341B41">
        <w:instrText>ADDIN CSL_CITATION { "citationItems" : [ { "id" : "ITEM-1", "itemData" : { "DOI" : "10.1016/j.tics.2011.06.005", "ISBN" : "1879-307X (Electronic)\\r1364-6613 (Linking)", "ISSN" : "13646613", "PMID" : "21775191", "abstract" : "Many believe that the ability to understand the actions of others is made possible by mirror neurons and a network of brain areas known as the action-observation network (AON). Despite nearly two decades of research into mirror neurons and the AON, however, there is little evidence that they enable the inference of the intention of observed actions. Instead, theories of action selection during action execution indicate that a ventral pathway, linking middle temporal gyrus with the anterior inferior frontal gyrus, might encode these abstract features during action observation. Here I propose that action understanding requires more than merely the AON, and might be achieved through interactions between a ventral pathway and the dorsal AON. ?? 2011 Elsevier Ltd.", "author" : [ { "dropping-particle" : "", "family" : "Kilner", "given" : "James M", "non-dropping-particle" : "", "parse-names" : false, "suffix" : "" } ], "container-title" : "Trends in Cognitive Sciences", "id" : "ITEM-1", "issue" : "8", "issued" : { "date-parts" : [ [ "2011" ] ] }, "page" : "352-357", "title" : "More than one pathway to action understanding", "type" : "article-journal", "volume" : "15" }, "uris" : [ "http://www.mendeley.com/documents/?uuid=00b99736-dff1-47df-baa2-0246d1b8891e" ] } ], "mendeley" : { "formattedCitation" : "(Kilner, 2011)", "plainTextFormattedCitation" : "(Kilner, 2011)", "previouslyFormattedCitation" : "(Kilner, 2011)" }, "properties" : { "noteIndex" : 0 }, "schema" : "https://github.com/citation-style-language/schema/raw/master/csl-citation.json" }</w:instrText>
      </w:r>
      <w:r w:rsidR="00E851E3" w:rsidRPr="00341B41">
        <w:fldChar w:fldCharType="separate"/>
      </w:r>
      <w:r w:rsidR="00E851E3" w:rsidRPr="00341B41">
        <w:rPr>
          <w:noProof/>
        </w:rPr>
        <w:t>(Kilner, 2011)</w:t>
      </w:r>
      <w:r w:rsidR="00E851E3" w:rsidRPr="00341B41">
        <w:fldChar w:fldCharType="end"/>
      </w:r>
      <w:r w:rsidRPr="00341B41">
        <w:t xml:space="preserve">. If the same system is being used, understanding the overall intention of the observed action would occur in the anterior IFG and MTG. A more concrete representation of the action kinematics may then be encoded more posteriorly, possibly involving the motor system. Whether the motor system is activated in a way that directly mirrors the observed action, such as in the predictive coding account of the </w:t>
      </w:r>
      <w:proofErr w:type="spellStart"/>
      <w:r w:rsidRPr="00341B41">
        <w:t>hMNS</w:t>
      </w:r>
      <w:proofErr w:type="spellEnd"/>
      <w:r w:rsidRPr="00341B41">
        <w:t xml:space="preserve"> described in the previous section, or due to strong sensory-motor associations, is still unclear and more research is needed Whilst these non-motor accounts of action understanding suggest that the motor system is not directly involved in action understanding, it still suggests that motor system activity during sports anticipation may be useful in distinguishing experts from novices. As it is uncertain what the exact role of the motor system is during action observation, from this place forward all findings shall be related to broad sensorimotor activations/sensorimotor system rather than evoking a </w:t>
      </w:r>
      <w:proofErr w:type="spellStart"/>
      <w:r w:rsidRPr="00341B41">
        <w:t>hMNS</w:t>
      </w:r>
      <w:proofErr w:type="spellEnd"/>
      <w:r w:rsidRPr="00341B41">
        <w:t xml:space="preserve"> interpretation. An </w:t>
      </w:r>
      <w:proofErr w:type="spellStart"/>
      <w:r w:rsidRPr="00341B41">
        <w:t>hMNS</w:t>
      </w:r>
      <w:proofErr w:type="spellEnd"/>
      <w:r w:rsidRPr="00341B41">
        <w:t xml:space="preserve"> account of motor system activation during action observation and anticipation is common in this field </w:t>
      </w:r>
      <w:r w:rsidRPr="00341B41">
        <w:fldChar w:fldCharType="begin" w:fldLock="1"/>
      </w:r>
      <w:r w:rsidRPr="00341B41">
        <w:instrText>ADDIN CSL_CITATION { "citationItems" : [ { "id" : "ITEM-1", "itemData" : { "DOI" : "10.1016/j.neubiorev.2015.11.007", "ISBN" : "4018742193", "ISSN" : "01497634", "PMID" : "26616736", "abstract" : "The purpose of this study was to provide a systematic review of action anticipation studies using functional neuroimaging or brain stimulation during a sport-specific anticipation task. A total of 15 studies from 2008 to 2014 were evaluated and are reported in four sections: expert-novice samples, action anticipation tasks, neuroimaging and stimulation techniques, and key findings. Investigators examined a wide range of action anticipation scenarios specific to eight different sports and utilized functional magnetic resonance imaging (fMRI), electroencephalogram (EEG), and transcranial magnetic stimulation (TMS). Expert-novice comparisons were commonly used to investigate differences in action anticipation performance and neurophysiology. Experts tended to outperform novices, and an extensive array of brain structures were reported to be involved differently for experts and novices during action anticipation. However, these neurophysiological findings were generally inconsistent across the studies reviewed. The discussion focuses on strengths and four key limitations. The conclusion posits remaining questions and recommendations for future research.", "author" : [ { "dropping-particle" : "", "family" : "Smith", "given" : "Daniel M.", "non-dropping-particle" : "", "parse-names" : false, "suffix" : "" } ], "container-title" : "Neuroscience and Biobehavioural Reviews", "id" : "ITEM-1", "issued" : { "date-parts" : [ [ "2015" ] ] }, "page" : "115-120", "publisher" : "Elsevier Ltd", "title" : "Neurophysiology of action anticipation in athletes: A systematic review", "type" : "article-journal", "volume" : "60" }, "uris" : [ "http://www.mendeley.com/documents/?uuid=f9764006-7473-47c4-95ab-7ee1197852d5" ] } ], "mendeley" : { "formattedCitation" : "(Smith, 2015)", "plainTextFormattedCitation" : "(Smith, 2015)", "previouslyFormattedCitation" : "(Smith, 2015)" }, "properties" : { "noteIndex" : 0 }, "schema" : "https://github.com/citation-style-language/schema/raw/master/csl-citation.json" }</w:instrText>
      </w:r>
      <w:r w:rsidRPr="00341B41">
        <w:fldChar w:fldCharType="separate"/>
      </w:r>
      <w:r w:rsidRPr="00341B41">
        <w:rPr>
          <w:noProof/>
        </w:rPr>
        <w:t>(Smith, 2015)</w:t>
      </w:r>
      <w:r w:rsidRPr="00341B41">
        <w:fldChar w:fldCharType="end"/>
      </w:r>
      <w:r w:rsidRPr="00341B41">
        <w:t>, however based on the alternative accounts discussed here, there is currently insufficient evidence to ascribe this theory to reported findings.</w:t>
      </w:r>
    </w:p>
    <w:p w14:paraId="5E2BC15C" w14:textId="238B6AA3" w:rsidR="00805FAB" w:rsidRPr="00341B41" w:rsidRDefault="00805FAB" w:rsidP="003D7F81">
      <w:pPr>
        <w:pStyle w:val="Heading2"/>
      </w:pPr>
      <w:bookmarkStart w:id="27" w:name="_Toc486260843"/>
      <w:r w:rsidRPr="00341B41">
        <w:lastRenderedPageBreak/>
        <w:t>1.7.</w:t>
      </w:r>
      <w:r w:rsidRPr="00341B41">
        <w:tab/>
        <w:t>The role of the sensorimotor system in expert action anticipation</w:t>
      </w:r>
      <w:bookmarkEnd w:id="27"/>
    </w:p>
    <w:p w14:paraId="5EBF2E03" w14:textId="112BCF96" w:rsidR="00133625" w:rsidRPr="00341B41" w:rsidRDefault="00812E2B" w:rsidP="00133625">
      <w:r w:rsidRPr="00341B41">
        <w:t xml:space="preserve">A number of </w:t>
      </w:r>
      <w:r w:rsidR="00841476" w:rsidRPr="00341B41">
        <w:t>TMS</w:t>
      </w:r>
      <w:r w:rsidRPr="00341B41">
        <w:t xml:space="preserve"> studies have investigated the role of the motor system in expert action anticipation, by testing the degree of ‘motor resonance’ in athletes compared to non-athletes during action anticipation. It has been shown that</w:t>
      </w:r>
      <w:r w:rsidR="00133625" w:rsidRPr="00341B41">
        <w:t xml:space="preserve"> during action observation,</w:t>
      </w:r>
      <w:r w:rsidR="00841476" w:rsidRPr="00341B41">
        <w:t xml:space="preserve"> selective increases of MEP </w:t>
      </w:r>
      <w:r w:rsidRPr="00341B41">
        <w:t xml:space="preserve">amplitudes </w:t>
      </w:r>
      <w:r w:rsidR="00133625" w:rsidRPr="00341B41">
        <w:t xml:space="preserve">occur </w:t>
      </w:r>
      <w:r w:rsidRPr="00341B41">
        <w:t xml:space="preserve">from </w:t>
      </w:r>
      <w:r w:rsidR="00133625" w:rsidRPr="00341B41">
        <w:t xml:space="preserve">the muscles that would be active if the observed actions were being performed </w:t>
      </w:r>
      <w:r w:rsidR="00133625" w:rsidRPr="00341B41">
        <w:fldChar w:fldCharType="begin" w:fldLock="1"/>
      </w:r>
      <w:r w:rsidR="003F4E40" w:rsidRPr="00341B41">
        <w:instrText>ADDIN CSL_CITATION { "citationItems" : [ { "id" : "ITEM-1", "itemData" : { "DOI" : "10.3389/fnhum.2013.00185", "ISSN" : "1662-5161", "PMID" : "23675338", "abstract" : "Neurophysiological and imaging studies have shown that seeing the actions of other individuals brings about the vicarious activation of motor regions involved in performing the same actions. While this suggests a simulative mechanism mediating the perception of others' actions, one cannot use such evidence to make inferences about the functional significance of vicarious activations. Indeed, a central aim in social neuroscience is to comprehend how vicarious activations allow the understanding of other people's behavior, and this requires to use stimulation or lesion methods to establish causal links from brain activity to cognitive functions. In the present work, we review studies investigating the effects of transient manipulations of brain activity or stable lesions in the motor system on individuals' ability to perceive and understand the actions of others. We conclude there is now compelling evidence that neural activity in the motor system is critical for such cognitive ability. More research using causal methods, however, is needed in order to disclose the limits and the conditions under which vicarious activations are required to perceive and understand actions of others as well as their emotions and somatic feelings.", "author" : [ { "dropping-particle" : "", "family" : "Avenanti", "given" : "Alessio", "non-dropping-particle" : "", "parse-names" : false, "suffix" : "" }, { "dropping-particle" : "", "family" : "Candidi", "given" : "Matteo", "non-dropping-particle" : "", "parse-names" : false, "suffix" : "" }, { "dropping-particle" : "", "family" : "Urgesi", "given" : "Cosimo", "non-dropping-particle" : "", "parse-names" : false, "suffix" : "" } ], "container-title" : "Frontiers in Human Neuroscience", "id" : "ITEM-1", "issue" : "May", "issued" : { "date-parts" : [ [ "2013", "1" ] ] }, "page" : "185", "title" : "Vicarious motor activation during action perception: beyond correlational evidence.", "type" : "article-journal", "volume" : "7" }, "uris" : [ "http://www.mendeley.com/documents/?uuid=af2b0f26-83d2-4349-8b82-74bc5cc97711" ] } ], "mendeley" : { "formattedCitation" : "(Avenanti, Candidi, &amp; Urgesi, 2013)", "plainTextFormattedCitation" : "(Avenanti, Candidi, &amp; Urgesi, 2013)", "previouslyFormattedCitation" : "(Avenanti, Candidi, &amp; Urgesi, 2013)" }, "properties" : { "noteIndex" : 0 }, "schema" : "https://github.com/citation-style-language/schema/raw/master/csl-citation.json" }</w:instrText>
      </w:r>
      <w:r w:rsidR="00133625" w:rsidRPr="00341B41">
        <w:fldChar w:fldCharType="separate"/>
      </w:r>
      <w:r w:rsidR="00133625" w:rsidRPr="00341B41">
        <w:rPr>
          <w:noProof/>
        </w:rPr>
        <w:t>(Avenanti, Candidi, &amp; Urgesi, 2013)</w:t>
      </w:r>
      <w:r w:rsidR="00133625" w:rsidRPr="00341B41">
        <w:fldChar w:fldCharType="end"/>
      </w:r>
      <w:r w:rsidR="00133625" w:rsidRPr="00341B41">
        <w:t xml:space="preserve">. This is achieved by using single-pulse TMS </w:t>
      </w:r>
      <w:r w:rsidR="00312827" w:rsidRPr="00341B41">
        <w:t>to induce an MEP in the muscle group being stimulated</w:t>
      </w:r>
      <w:r w:rsidR="00133625" w:rsidRPr="00341B41">
        <w:t xml:space="preserve">. The MEP is recorded via an electromyography (EMG) electrode placed on the muscle group of interest, following the TMS pulse usually administered over the motor cortex. The resulting MEP amplitude can be used as an index of </w:t>
      </w:r>
      <w:proofErr w:type="spellStart"/>
      <w:r w:rsidR="00133625" w:rsidRPr="00341B41">
        <w:t>cortico</w:t>
      </w:r>
      <w:proofErr w:type="spellEnd"/>
      <w:r w:rsidR="00133625" w:rsidRPr="00341B41">
        <w:t xml:space="preserve">-spinal excitability. Using this method it has been shown that during action observation, MEP amplitudes recorded over the same muscle groups that are performing the observed actions are higher than during a passive condition without action observation </w:t>
      </w:r>
      <w:r w:rsidR="00133625" w:rsidRPr="00341B41">
        <w:fldChar w:fldCharType="begin" w:fldLock="1"/>
      </w:r>
      <w:r w:rsidR="00133625" w:rsidRPr="00341B41">
        <w:instrText>ADDIN CSL_CITATION { "citationItems" : [ { "id" : "ITEM-1", "itemData" : { "author" : [ { "dropping-particle" : "", "family" : "Fadiga", "given" : "L", "non-dropping-particle" : "", "parse-names" : false, "suffix" : "" }, { "dropping-particle" : "", "family" : "Fogassi", "given" : "L", "non-dropping-particle" : "", "parse-names" : false, "suffix" : "" }, { "dropping-particle" : "", "family" : "Pavesi", "given" : "G", "non-dropping-particle" : "", "parse-names" : false, "suffix" : "" }, { "dropping-particle" : "", "family" : "Rizzolatti", "given" : "G", "non-dropping-particle" : "", "parse-names" : false, "suffix" : "" } ], "container-title" : "Neurophysiology", "id" : "ITEM-1", "issue" : "6", "issued" : { "date-parts" : [ [ "1995" ] ] }, "title" : "Motor Facilitation During Action Observation: A Magnetic Stimulation Study", "type" : "article-journal", "volume" : "73" }, "uris" : [ "http://www.mendeley.com/documents/?uuid=cbf8146b-4e82-4be5-be0d-5df3011f84f8" ] }, { "id" : "ITEM-2", "itemData" : { "DOI" : "10.1016/j.neuroimage.2005.02.027", "ISBN" : "1053-8119 (Print)", "ISSN" : "10538119", "PMID" : "15955484", "abstract" : "Neurophysiological and neuroimaging studies in the human and the monkey brain indicate that links between action observation and execution are much tighter than previously believed. Indeed, the mere observation of movements performed by other individuals brings about a clear increase in activity in specific fronto-parietal neural networks (mirror system). Here, we report a series of four single-pulse transcranial magnetic stimulation studies of the motor system, which show that observation of index and little finger movements brings about a facilitation of potentials recorded from muscles that would be involved in the actual execution of the observed action. Remarkably, however, a clear representational selectivity was found also during observation of bio-mechanically impossible index or little finger movements. Thus, in movement observation tasks, the human cortico-spinal system reacts similarly to the vision of bio-mechanically possible and impossible movements but it is able to detect which muscle would be involved in the actual execution of the observed movement. Importantly, this system may be more related to coding body part movements than precisely simulating their execution. ?? 2005 Elsevier Inc. All rights reserved.", "author" : [ { "dropping-particle" : "", "family" : "Romani", "given" : "Michela", "non-dropping-particle" : "", "parse-names" : false, "suffix" : "" }, { "dropping-particle" : "", "family" : "Cesari", "given" : "Paola", "non-dropping-particle" : "", "parse-names" : false, "suffix" : "" }, { "dropping-particle" : "", "family" : "Urgesi", "given" : "Cosimo", "non-dropping-particle" : "", "parse-names" : false, "suffix" : "" }, { "dropping-particle" : "", "family" : "Facchini", "given" : "Stefano", "non-dropping-particle" : "", "parse-names" : false, "suffix" : "" }, { "dropping-particle" : "", "family" : "Aglioti", "given" : "Salvatore Maria", "non-dropping-particle" : "", "parse-names" : false, "suffix" : "" } ], "container-title" : "NeuroImage", "id" : "ITEM-2", "issue" : "3", "issued" : { "date-parts" : [ [ "2005" ] ] }, "page" : "755-763", "title" : "Motor facilitation of the human cortico-spinal system during observation of bio-mechanically impossible movements", "type" : "article-journal", "volume" : "26" }, "uris" : [ "http://www.mendeley.com/documents/?uuid=c2538039-35bc-4813-ae2b-005f7f2e1a91" ] } ], "mendeley" : { "formattedCitation" : "(Fadiga, Fogassi, Pavesi, &amp; Rizzolatti, 1995; Romani, Cesari, Urgesi, Facchini, &amp; Aglioti, 2005)", "plainTextFormattedCitation" : "(Fadiga, Fogassi, Pavesi, &amp; Rizzolatti, 1995; Romani, Cesari, Urgesi, Facchini, &amp; Aglioti, 2005)", "previouslyFormattedCitation" : "(Fadiga, Fogassi, Pavesi, &amp; Rizzolatti, 1995; Romani, Cesari, Urgesi, Facchini, &amp; Aglioti, 2005)" }, "properties" : { "noteIndex" : 0 }, "schema" : "https://github.com/citation-style-language/schema/raw/master/csl-citation.json" }</w:instrText>
      </w:r>
      <w:r w:rsidR="00133625" w:rsidRPr="00341B41">
        <w:fldChar w:fldCharType="separate"/>
      </w:r>
      <w:r w:rsidR="00133625" w:rsidRPr="00341B41">
        <w:rPr>
          <w:noProof/>
        </w:rPr>
        <w:t>(Fadiga, Fogassi, Pavesi, &amp; Rizzolatti, 1995; Romani, Cesari, Urgesi, Facchini, &amp; Aglioti, 2005)</w:t>
      </w:r>
      <w:r w:rsidR="00133625" w:rsidRPr="00341B41">
        <w:fldChar w:fldCharType="end"/>
      </w:r>
      <w:r w:rsidR="004F6B88" w:rsidRPr="00341B41">
        <w:t xml:space="preserve">, though see </w:t>
      </w:r>
      <w:proofErr w:type="spellStart"/>
      <w:r w:rsidR="004F6B88" w:rsidRPr="00341B41">
        <w:t>Catmur</w:t>
      </w:r>
      <w:proofErr w:type="spellEnd"/>
      <w:r w:rsidR="004F6B88" w:rsidRPr="00341B41">
        <w:t xml:space="preserve"> et al (2009) for an alternative finding</w:t>
      </w:r>
      <w:r w:rsidR="00133625" w:rsidRPr="00341B41">
        <w:t>.</w:t>
      </w:r>
    </w:p>
    <w:p w14:paraId="4D6549A4" w14:textId="7A06F183" w:rsidR="00133625" w:rsidRPr="00341B41" w:rsidRDefault="00133625" w:rsidP="00133625">
      <w:pPr>
        <w:ind w:firstLine="720"/>
      </w:pPr>
      <w:r w:rsidRPr="00341B41">
        <w:t xml:space="preserve">Using this methodology to study anticipation, a stronger motor resonance in expert level players has been shown, compared to expert ‘watchers’ (a group with an expert level of visual experience with basketball, but a lack of motor knowledge) and naïve non-players </w:t>
      </w:r>
      <w:r w:rsidRPr="00341B41">
        <w:fldChar w:fldCharType="begin" w:fldLock="1"/>
      </w:r>
      <w:r w:rsidRPr="00341B41">
        <w:instrText>ADDIN CSL_CITATION { "citationItems" : [ { "id" : "ITEM-1", "itemData" : { "DOI" : "10.1038/nn.2182", "ISSN" : "1097-6256", "author" : [ { "dropping-particle" : "", "family" : "Aglioti", "given" : "Salvatore M", "non-dropping-particle" : "", "parse-names" : false, "suffix" : "" }, { "dropping-particle" : "", "family" : "Cesari", "given" : "Paola", "non-dropping-particle" : "", "parse-names" : false, "suffix" : "" }, { "dropping-particle" : "", "family" : "Romani", "given" : "Michela", "non-dropping-particle" : "", "parse-names" : false, "suffix" : "" }, { "dropping-particle" : "", "family" : "Urgesi", "given" : "Cosimo", "non-dropping-particle" : "", "parse-names" : false, "suffix" : "" } ], "container-title" : "Nature Neuroscience", "id" : "ITEM-1", "issue" : "9", "issued" : { "date-parts" : [ [ "2008" ] ] }, "page" : "1109-1116", "title" : "Action anticipation and motor resonance in elite basketball players", "type" : "article-journal", "volume" : "11" }, "uris" : [ "http://www.mendeley.com/documents/?uuid=1fc547b5-58fb-4cb6-99da-14770b6e228e" ] } ], "mendeley" : { "formattedCitation" : "(Aglioti, Cesari, Romani, &amp; Urgesi, 2008)", "plainTextFormattedCitation" : "(Aglioti, Cesari, Romani, &amp; Urgesi, 2008)", "previouslyFormattedCitation" : "(Aglioti, Cesari, Romani, &amp; Urgesi, 2008)" }, "properties" : { "noteIndex" : 0 }, "schema" : "https://github.com/citation-style-language/schema/raw/master/csl-citation.json" }</w:instrText>
      </w:r>
      <w:r w:rsidRPr="00341B41">
        <w:fldChar w:fldCharType="separate"/>
      </w:r>
      <w:r w:rsidRPr="00341B41">
        <w:rPr>
          <w:noProof/>
        </w:rPr>
        <w:t>(Aglioti, Cesari, Romani, &amp; Urgesi, 2008)</w:t>
      </w:r>
      <w:r w:rsidRPr="00341B41">
        <w:fldChar w:fldCharType="end"/>
      </w:r>
      <w:r w:rsidRPr="00341B41">
        <w:t xml:space="preserve">. Specifically, it was shown that in trials when expert players correctly anticipated that a basketball </w:t>
      </w:r>
      <w:proofErr w:type="spellStart"/>
      <w:r w:rsidRPr="00341B41">
        <w:t>freethrow</w:t>
      </w:r>
      <w:proofErr w:type="spellEnd"/>
      <w:r w:rsidRPr="00341B41">
        <w:t xml:space="preserve"> would miss the basket, there was an increase in MEP amplitude at the point the ball left the player’s hand, seen only in muscles that are used to perform a basketball </w:t>
      </w:r>
      <w:proofErr w:type="spellStart"/>
      <w:r w:rsidRPr="00341B41">
        <w:t>freethrow</w:t>
      </w:r>
      <w:proofErr w:type="spellEnd"/>
      <w:r w:rsidRPr="00341B41">
        <w:t xml:space="preserve">. This finding was only seen in the expert player group. A similar study in </w:t>
      </w:r>
      <w:r w:rsidR="003F4E40" w:rsidRPr="00341B41">
        <w:t>football</w:t>
      </w:r>
      <w:r w:rsidRPr="00341B41">
        <w:t xml:space="preserve"> players found higher MEP amplitudes in </w:t>
      </w:r>
      <w:r w:rsidRPr="00341B41">
        <w:lastRenderedPageBreak/>
        <w:t xml:space="preserve">expert players in trials where the observed player’s body kinematics were congruent with ball trajectory, compared to trials when they were incongruent </w:t>
      </w:r>
      <w:r w:rsidRPr="00341B41">
        <w:fldChar w:fldCharType="begin" w:fldLock="1"/>
      </w:r>
      <w:r w:rsidRPr="00341B41">
        <w:instrText>ADDIN CSL_CITATION { "citationItems" : [ { "id" : "ITEM-1", "itemData" : { "DOI" : "10.1093/cercor/bhs279", "ISSN" : "1460-2199", "PMID" : "22941722", "abstract" : "Studies demonstrate that elite athletes are able to extract kinematic information of observed domain-specific actions to predict their future course. Little is known, however, on the perceptuo-motor processes and neural correlates of the athletes' ability to predict fooling actions. Combining psychophysics and transcranial magnetic stimulation, we explored the impact of motor and perceptual expertise on the ability to predict the fate of observed actual or fake soccer penalty kicks. We manipulated the congruence between the model's body kinematics and the subsequent ball trajectory and investigated the prediction performance and cortico-spinal reactivity of expert kickers, goalkeepers, and novices. Kickers and goalkeepers outperformed novices by anticipating the actual kick direction from the model's initial body movements. However, kickers were more often fooled than goalkeepers and novices in cases of incongruent actions. Congruent and incongruent actions engendered a comparable facilitation of kickers' lower limb motor representation, but their neurophysiological response was correlated with their greater susceptibility to be fooled. Moreover, when compared with actual actions, motor facilitation for incongruent actions was lower among goalkeepers and higher among novices. Thus, responding to fooling actions requires updation of simulative motor representations of others' actions and is facilitated by visual rather than by motor expertise.", "author" : [ { "dropping-particle" : "", "family" : "Tomeo", "given" : "Enzo", "non-dropping-particle" : "", "parse-names" : false, "suffix" : "" }, { "dropping-particle" : "", "family" : "Cesari", "given" : "Paola", "non-dropping-particle" : "", "parse-names" : false, "suffix" : "" }, { "dropping-particle" : "", "family" : "Aglioti", "given" : "Salvatore M", "non-dropping-particle" : "", "parse-names" : false, "suffix" : "" }, { "dropping-particle" : "", "family" : "Urgesi", "given" : "Cosimo", "non-dropping-particle" : "", "parse-names" : false, "suffix" : "" } ], "container-title" : "Cerebral Cortex", "id" : "ITEM-1", "issue" : "11", "issued" : { "date-parts" : [ [ "2013", "11" ] ] }, "page" : "2765-78", "title" : "Fooling the kickers but not the goalkeepers: behavioral and neurophysiological correlates of fake action detection in soccer.", "type" : "article-journal", "volume" : "23" }, "uris" : [ "http://www.mendeley.com/documents/?uuid=ef37636e-2922-4517-8531-8605a9865817" ] } ], "mendeley" : { "formattedCitation" : "(Tomeo, Cesari, Aglioti, &amp; Urgesi, 2013)", "plainTextFormattedCitation" : "(Tomeo, Cesari, Aglioti, &amp; Urgesi, 2013)", "previouslyFormattedCitation" : "(Tomeo, Cesari, Aglioti, &amp; Urgesi, 2013)" }, "properties" : { "noteIndex" : 0 }, "schema" : "https://github.com/citation-style-language/schema/raw/master/csl-citation.json" }</w:instrText>
      </w:r>
      <w:r w:rsidRPr="00341B41">
        <w:fldChar w:fldCharType="separate"/>
      </w:r>
      <w:r w:rsidRPr="00341B41">
        <w:rPr>
          <w:noProof/>
        </w:rPr>
        <w:t>(Tomeo, Cesari, Aglioti, &amp; Urgesi, 2013)</w:t>
      </w:r>
      <w:r w:rsidRPr="00341B41">
        <w:fldChar w:fldCharType="end"/>
      </w:r>
      <w:r w:rsidRPr="00341B41">
        <w:t>.</w:t>
      </w:r>
    </w:p>
    <w:p w14:paraId="111C6BC0" w14:textId="6AE3FE7B" w:rsidR="00133625" w:rsidRPr="00341B41" w:rsidRDefault="00133625" w:rsidP="00133625">
      <w:pPr>
        <w:ind w:firstLine="720"/>
      </w:pPr>
      <w:r w:rsidRPr="00341B41">
        <w:t>Another TMS study found that only expert players use their motor system to aid in anticipating the actions of another player. Using repetitive TMS (</w:t>
      </w:r>
      <w:proofErr w:type="spellStart"/>
      <w:r w:rsidRPr="00341B41">
        <w:t>rTMS</w:t>
      </w:r>
      <w:proofErr w:type="spellEnd"/>
      <w:r w:rsidRPr="00341B41">
        <w:t xml:space="preserve">) to temporally disrupt processing in either the PMC or the STS, it was shown that only PMC disruption led to detriments in anticipation performance in expert athletes </w:t>
      </w:r>
      <w:r w:rsidRPr="00341B41">
        <w:fldChar w:fldCharType="begin" w:fldLock="1"/>
      </w:r>
      <w:r w:rsidR="003F4E40" w:rsidRPr="00341B41">
        <w:instrText>ADDIN CSL_CITATION { "citationItems" : [ { "id" : "ITEM-1", "itemData" : { "DOI" : "10.1093/scan/nsu052", "ISSN" : "1749-5024", "PMID" : "24771282", "abstract" : "The ability to form anticipatory representations of ongoing actions is crucial for effective interactions in dynamic environments. In sports, elite athletes exhibit greater ability than novices in predicting other players' actions, mainly based on reading their body kinematics. This superior perceptual ability has been associated with a modulation of visual and motor areas by visual and motor expertise. Here, we investigated the causative role of visual and motor action representations in experts' ability to predict the outcome of soccer actions. We asked expert soccer players (outfield players and goalkeepers) and novices to predict the direction of the ball after perceiving the initial phases of penalty kicks that contained or not incongruent body kinematics. During the task we applied repetitive transcranial magnetic stimulation (rTMS) over the superior temporal sulcus (STS) and the dorsal premotor cortex (PMd). Results showed that STS-rTMS disrupted performance in both experts and novices, especially in those with greater visual expertise (i.e., goalkeepers). Conversely, PMd-rTMS impaired performance only in expert players (i.e., outfield players and goalkeepers), who exhibit strong motor expertise into facing domain-specific actions in soccer games. These results provide causative evidence of the complimentary functional role of visual and motor action representations in experts' action prediction.", "author" : [ { "dropping-particle" : "", "family" : "Makris", "given" : "Stergios", "non-dropping-particle" : "", "parse-names" : false, "suffix" : "" }, { "dropping-particle" : "", "family" : "Urgesi", "given" : "Cosimo", "non-dropping-particle" : "", "parse-names" : false, "suffix" : "" } ], "container-title" : "Social Cognitive and Affective Neuroscience", "id" : "ITEM-1", "issued" : { "date-parts" : [ [ "2015" ] ] }, "page" : "342-351", "title" : "Neural underpinnings of superior action prediction abilities in soccer players.", "type" : "article-journal", "volume" : "10" }, "uris" : [ "http://www.mendeley.com/documents/?uuid=0aab744e-1445-4233-9c25-45facb4a1f56" ] } ], "mendeley" : { "formattedCitation" : "(Makris &amp; Urgesi, 2015)", "plainTextFormattedCitation" : "(Makris &amp; Urgesi, 2015)", "previouslyFormattedCitation" : "(Makris &amp; Urgesi, 2015)" }, "properties" : { "noteIndex" : 0 }, "schema" : "https://github.com/citation-style-language/schema/raw/master/csl-citation.json" }</w:instrText>
      </w:r>
      <w:r w:rsidRPr="00341B41">
        <w:fldChar w:fldCharType="separate"/>
      </w:r>
      <w:r w:rsidR="003F4E40" w:rsidRPr="00341B41">
        <w:rPr>
          <w:noProof/>
        </w:rPr>
        <w:t>(Makris &amp; Urgesi, 2015)</w:t>
      </w:r>
      <w:r w:rsidRPr="00341B41">
        <w:fldChar w:fldCharType="end"/>
      </w:r>
      <w:r w:rsidRPr="00341B41">
        <w:t xml:space="preserve">. The fact that </w:t>
      </w:r>
      <w:proofErr w:type="spellStart"/>
      <w:r w:rsidRPr="00341B41">
        <w:t>rTMS</w:t>
      </w:r>
      <w:proofErr w:type="spellEnd"/>
      <w:r w:rsidRPr="00341B41">
        <w:t xml:space="preserve"> over the PMC did not affect the anticipation performance of novice participants suggests that the PMC was not involved in aiding their anticipatory judgements. </w:t>
      </w:r>
    </w:p>
    <w:p w14:paraId="07C7AAA0" w14:textId="51883BB5" w:rsidR="00133625" w:rsidRPr="00341B41" w:rsidRDefault="00133625" w:rsidP="00133625">
      <w:pPr>
        <w:ind w:firstLine="720"/>
      </w:pPr>
      <w:r w:rsidRPr="00341B41">
        <w:t xml:space="preserve">Complementing these findings are a series of fMRI studies that have investigated the neural correlates of action anticipation. These studies have generally focused on the AON, and have consistently shown that fronto-parietal regions of the network show greater activation during an action anticipation task, compared to a passive action observation task </w:t>
      </w:r>
      <w:r w:rsidRPr="00341B41">
        <w:fldChar w:fldCharType="begin" w:fldLock="1"/>
      </w:r>
      <w:r w:rsidRPr="00341B41">
        <w:instrText>ADDIN CSL_CITATION { "citationItems" : [ { "id" : "ITEM-1", "itemData" : { "DOI" : "10.1016/j.ijpsycho.2006.03.018", "ISSN" : "0167-8760", "PMID" : "16797757", "abstract" : "Sporting performance makes special demands on perceptual skills, but the neural mechanisms underlying such performance are little understood. We address this issue, making use of fMRI to identify the brain areas activated in viewing and responding to video sequences of tennis players, filmed from the opponent's perspective. In a block-design, fMRI study, 9 novice tennis players watched video clips of tennis play. The main stimulus conditions were (1) serve sequences, (2) non-serve behaviour (ball bouncing) and (3) static control sequences. A button response was required indicating the direction of serve (left or right for serve sequences, middle button for non-serve and static sequences). By comparing responses to the three stimulus conditions, it was possible to identify two groups of brain regions responsive to different components of the task. Areas MT/MST and STS in the posterior part of the temporal lobe responded either to serve and to non-serve stimuli, relative to static controls. Serve sequences produced additional regions of activation in the parietal lobe (bilateral IPL, right SPL) and in the right frontal cortex (IFGd, IFGv), and these areas were not activated by non-serve sequences. These regions of the parietal and frontal cortex have been implicated in a \"mirror neuron\" network in the human brain. It is concluded that the task of judgement of serve direction produces two different patterns of response: activations in the MT/MST and STS concerned with primarily with the analysis of motion and body actions, and activations in the parietal and frontal cortex associated specifically with the task of identification of direction of serve.", "author" : [ { "dropping-particle" : "", "family" : "Wright", "given" : "Michael J", "non-dropping-particle" : "", "parse-names" : false, "suffix" : "" }, { "dropping-particle" : "", "family" : "Jackson", "given" : "Robin C", "non-dropping-particle" : "", "parse-names" : false, "suffix" : "" } ], "container-title" : "International Journal of Psychophysiology", "id" : "ITEM-1", "issue" : "2", "issued" : { "date-parts" : [ [ "2007", "2" ] ] }, "page" : "214-20", "title" : "Brain regions concerned with perceptual skills in tennis: an fMRI study.", "type" : "article-journal", "volume" : "63" }, "uris" : [ "http://www.mendeley.com/documents/?uuid=b08693ab-5d87-4d32-90f5-2b018ce11a5f" ] }, { "id" : "ITEM-2",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"ITEM-2",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"ITEM-3", "itemData" : { "ISSN" : "1543-2904", "PMID" : "23404883", "abstract" : "The aim of this study was to examine the neural bases for perceptual-cognitive superiority in a soccer anticipation task using functional magnetic resonance imaging (fMRI). Thirty-nine participants lay in an MRI scanner while performing a video-based task in which they predicted an oncoming opponent's movements. Video clips were occluded at four time points, and participants were grouped according to in-task performance. Early occlusion reduced prediction accuracy significantly for all participants, as did the opponent's execution of a deceptive maneuver; however, high-skill participants were significantly more accurate than their low-skill counterparts under deceptive conditions. This perceptual-cognitive superiority was associated with greater activation of cortical and subcortical structures involved in executive function and oculomotor control. The contributions of the present findings to an existing neural model of anticipation in sport are highlighted.", "author" : [ { "dropping-particle" : "", "family" : "Bishop", "given" : "Daniel T", "non-dropping-particle" : "", "parse-names" : false, "suffix" : "" }, { "dropping-particle" : "", "family" : "Wright", "given" : "Michael J", "non-dropping-particle" : "", "parse-names" : false, "suffix" : "" }, { "dropping-particle" : "", "family" : "Jackson", "given" : "Robin C", "non-dropping-particle" : "", "parse-names" : false, "suffix" : "" }, { "dropping-particle" : "", "family" : "Abernethy", "given" : "Bruce", "non-dropping-particle" : "", "parse-names" : false, "suffix" : "" } ], "container-title" : "Journal of Sport and Exercise Psychology", "id" : "ITEM-3", "issue" : "1", "issued" : { "date-parts" : [ [ "2013", "2" ] ] }, "page" : "98-109", "title" : "Neural bases for anticipation skill in soccer: an FMRI study.", "type" : "article-journal", "volume" : "35" }, "uris" : [ "http://www.mendeley.com/documents/?uuid=69ed83ce-3f40-4be2-a5fd-e55e3e631108" ] }, { "id" : "ITEM-4",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"ITEM-4", "issue" : "2", "issued" : { "date-parts" : [ [ "2010", "1", "27" ] ] }, "page" : "94-8", "title" : "Functional MRI reveals expert-novice differences during sport-related anticipation.", "type" : "article-journal", "volume" : "21" }, "uris" : [ "http://www.mendeley.com/documents/?uuid=725596c1-c912-41b6-83c3-6d654c4bff23" ] }, { "id" : "ITEM-5",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"ITEM-5",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"mendeley" : { "formattedCitation" : "(Balser, Lorey, Pilgramm, Stark, et al., 2014; Bishop, Wright, Jackson, &amp; Abernethy, 2013; Wright, Bishop, Jackson, &amp; Abernethy, 2010, 2011; Wright &amp; Jackson, 2007)", "plainTextFormattedCitation" : "(Balser, Lorey, Pilgramm, Stark, et al., 2014; Bishop, Wright, Jackson, &amp; Abernethy, 2013; Wright, Bishop, Jackson, &amp; Abernethy, 2010, 2011; Wright &amp; Jackson, 2007)", "previouslyFormattedCitation" : "(Balser, Lorey, Pilgramm, Stark, et al., 2014; Bishop, Wright, Jackson, &amp; Abernethy, 2013; Wright, Bishop, Jackson, &amp; Abernethy, 2010, 2011; Wright &amp; Jackson, 2007)" }, "properties" : { "noteIndex" : 0 }, "schema" : "https://github.com/citation-style-language/schema/raw/master/csl-citation.json" }</w:instrText>
      </w:r>
      <w:r w:rsidRPr="00341B41">
        <w:fldChar w:fldCharType="separate"/>
      </w:r>
      <w:r w:rsidRPr="00341B41">
        <w:rPr>
          <w:noProof/>
        </w:rPr>
        <w:t>(Balser, Lorey, Pilgramm, Stark, et al., 2014; Bishop, Wright, Jackson, &amp; Abernethy, 2013; Wright, Bishop, Jackson, &amp; Abernethy, 2010, 2011; Wright &amp; Jackson, 2007)</w:t>
      </w:r>
      <w:r w:rsidRPr="00341B41">
        <w:fldChar w:fldCharType="end"/>
      </w:r>
      <w:r w:rsidRPr="00341B41">
        <w:t>. This was true across both expert and novice participants, and could be due to an anticipation task being more cognitively demanding than passively observing the action.</w:t>
      </w:r>
    </w:p>
    <w:p w14:paraId="29A76709" w14:textId="455E4EBB" w:rsidR="003F4E40" w:rsidRPr="00341B41" w:rsidRDefault="00133625" w:rsidP="003F4E40">
      <w:r w:rsidRPr="00341B41">
        <w:t xml:space="preserve">A number of studies have examined differences in brain activations </w:t>
      </w:r>
      <w:r w:rsidR="004625F7" w:rsidRPr="00341B41">
        <w:t>between expert and novice athletes during action anticipation</w:t>
      </w:r>
      <w:r w:rsidR="000C1464" w:rsidRPr="00341B41">
        <w:t>. As discussed in section 1.4.2</w:t>
      </w:r>
      <w:r w:rsidR="004625F7" w:rsidRPr="00341B41">
        <w:t xml:space="preserve">, these studies all used temporal occlusion paradigms to create an action anticipation condition. Furthermore, all of the studies discussed found significant expertise effects in terms of anticipation </w:t>
      </w:r>
      <w:r w:rsidR="004625F7" w:rsidRPr="00341B41">
        <w:lastRenderedPageBreak/>
        <w:t xml:space="preserve">accuracy. Studies in basketball </w:t>
      </w:r>
      <w:r w:rsidR="004625F7" w:rsidRPr="00341B41">
        <w:fldChar w:fldCharType="begin" w:fldLock="1"/>
      </w:r>
      <w:r w:rsidR="004625F7" w:rsidRPr="00341B41">
        <w:instrText>ADDIN CSL_CITATION { "citationItems" : [ { "id" : "ITEM-1", "itemData" : { "DOI" : "10.1016/j.neuroscience.2013.01.048", "ISSN" : "1873-7544", "PMID" : "23384606", "abstract" : "Athletes exhibit better anticipation abilities than novices. However, it is not known whether this difference is related to different visual perceptions between them and which neural elements are involved in producing this difference. Fifteen elite basketball players and 15 novices participated in an action anticipation task with basketball free throw. Accurate rate for anticipation and gaze behavior were analyzed. Functional brain activity was recorded using functional magnetic resonance imaging. We found that the accurate rate for anticipation was higher in athletes than that in novices. Athletes showed more stable gaze fixation than novices and the locus of fixation was reliable in athletes but not in novices. Athletes showed higher activity in inferior parietal lobule and inferior frontal gyrus than novices during action anticipation. We conclude that the processes for action anticipation in elite athletes and novices are different and this difference is caused by different visual perceptions between them.", "author" : [ { "dropping-particle" : "", "family" : "Wu", "given" : "Y", "non-dropping-particle" : "", "parse-names" : false, "suffix" : "" }, { "dropping-particle" : "", "family" : "Zeng", "given" : "Y", "non-dropping-particle" : "", "parse-names" : false, "suffix" : "" }, { "dropping-particle" : "", "family" : "Zhang", "given" : "L", "non-dropping-particle" : "", "parse-names" : false, "suffix" : "" }, { "dropping-particle" : "", "family" : "Wang", "given" : "S", "non-dropping-particle" : "", "parse-names" : false, "suffix" : "" }, { "dropping-particle" : "", "family" : "Wang", "given" : "D", "non-dropping-particle" : "", "parse-names" : false, "suffix" : "" }, { "dropping-particle" : "", "family" : "Tan", "given" : "X", "non-dropping-particle" : "", "parse-names" : false, "suffix" : "" }, { "dropping-particle" : "", "family" : "Zhu", "given" : "X", "non-dropping-particle" : "", "parse-names" : false, "suffix" : "" }, { "dropping-particle" : "", "family" : "Zhang", "given" : "J", "non-dropping-particle" : "", "parse-names" : false, "suffix" : "" } ], "container-title" : "Neuroscience", "id" : "ITEM-1", "issued" : { "date-parts" : [ [ "2013", "5", "1" ] ] }, "page" : "29-41", "title" : "The role of visual perception in action anticipation in basketball athletes.", "type" : "article-journal", "volume" : "237" }, "uris" : [ "http://www.mendeley.com/documents/?uuid=8209befb-066b-4625-8478-7512aabeb1a9" ] } ], "mendeley" : { "formattedCitation" : "(Wu et al., 2013)", "plainTextFormattedCitation" : "(Wu et al., 2013)", "previouslyFormattedCitation" : "(Wu et al., 2013)" }, "properties" : { "noteIndex" : 0 }, "schema" : "https://github.com/citation-style-language/schema/raw/master/csl-citation.json" }</w:instrText>
      </w:r>
      <w:r w:rsidR="004625F7" w:rsidRPr="00341B41">
        <w:fldChar w:fldCharType="separate"/>
      </w:r>
      <w:r w:rsidR="004625F7" w:rsidRPr="00341B41">
        <w:rPr>
          <w:noProof/>
        </w:rPr>
        <w:t>(Wu et al., 2013)</w:t>
      </w:r>
      <w:r w:rsidR="004625F7" w:rsidRPr="00341B41">
        <w:fldChar w:fldCharType="end"/>
      </w:r>
      <w:r w:rsidR="004625F7" w:rsidRPr="00341B41">
        <w:t xml:space="preserve">, football </w:t>
      </w:r>
      <w:r w:rsidR="004625F7" w:rsidRPr="00341B41">
        <w:fldChar w:fldCharType="begin" w:fldLock="1"/>
      </w:r>
      <w:r w:rsidR="003F4E40" w:rsidRPr="00341B41">
        <w:instrText>ADDIN CSL_CITATION { "citationItems" : [ { "id" : "ITEM-1", "itemData" : { "ISSN" : "1543-2904", "PMID" : "23404883", "abstract" : "The aim of this study was to examine the neural bases for perceptual-cognitive superiority in a soccer anticipation task using functional magnetic resonance imaging (fMRI). Thirty-nine participants lay in an MRI scanner while performing a video-based task in which they predicted an oncoming opponent's movements. Video clips were occluded at four time points, and participants were grouped according to in-task performance. Early occlusion reduced prediction accuracy significantly for all participants, as did the opponent's execution of a deceptive maneuver; however, high-skill participants were significantly more accurate than their low-skill counterparts under deceptive conditions. This perceptual-cognitive superiority was associated with greater activation of cortical and subcortical structures involved in executive function and oculomotor control. The contributions of the present findings to an existing neural model of anticipation in sport are highlighted.", "author" : [ { "dropping-particle" : "", "family" : "Bishop", "given" : "Daniel T", "non-dropping-particle" : "", "parse-names" : false, "suffix" : "" }, { "dropping-particle" : "", "family" : "Wright", "given" : "Michael J", "non-dropping-particle" : "", "parse-names" : false, "suffix" : "" }, { "dropping-particle" : "", "family" : "Jackson", "given" : "Robin C", "non-dropping-particle" : "", "parse-names" : false, "suffix" : "" }, { "dropping-particle" : "", "family" : "Abernethy", "given" : "Bruce", "non-dropping-particle" : "", "parse-names" : false, "suffix" : "" } ], "container-title" : "Journal of Sport and Exercise Psychology", "id" : "ITEM-1", "issue" : "1", "issued" : { "date-parts" : [ [ "2013", "2" ] ] }, "page" : "98-109", "title" : "Neural bases for anticipation skill in soccer: an FMRI study.", "type" : "article-journal", "volume" : "35" }, "uris" : [ "http://www.mendeley.com/documents/?uuid=69ed83ce-3f40-4be2-a5fd-e55e3e631108" ] }, { "id" : "ITEM-2",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"ITEM-2",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"(Bishop et al., 2013; Wright, Bishop, Jackson, &amp; Abernethy, 2013)", "plainTextFormattedCitation" : "(Bishop et al., 2013; Wright, Bishop, Jackson, &amp; Abernethy, 2013)", "previouslyFormattedCitation" : "(Bishop et al., 2013; Wright, Bishop, Jackson, &amp; Abernethy, 2013)" }, "properties" : { "noteIndex" : 0 }, "schema" : "https://github.com/citation-style-language/schema/raw/master/csl-citation.json" }</w:instrText>
      </w:r>
      <w:r w:rsidR="004625F7" w:rsidRPr="00341B41">
        <w:fldChar w:fldCharType="separate"/>
      </w:r>
      <w:r w:rsidR="004625F7" w:rsidRPr="00341B41">
        <w:rPr>
          <w:noProof/>
        </w:rPr>
        <w:t>(Bishop et al., 2013; Wright, Bishop, Jackson, &amp; Abernethy, 2013)</w:t>
      </w:r>
      <w:r w:rsidR="004625F7" w:rsidRPr="00341B41">
        <w:fldChar w:fldCharType="end"/>
      </w:r>
      <w:r w:rsidR="004625F7" w:rsidRPr="00341B41">
        <w:t xml:space="preserve">, badminton </w:t>
      </w:r>
      <w:r w:rsidR="004625F7" w:rsidRPr="00341B41">
        <w:fldChar w:fldCharType="begin" w:fldLock="1"/>
      </w:r>
      <w:r w:rsidR="004625F7" w:rsidRPr="00341B41">
        <w:instrText>ADDIN CSL_CITATION { "citationItems" : [ { "id" : "ITEM-1",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"ITEM-1", "issue" : "2", "issued" : { "date-parts" : [ [ "2010", "1", "27" ] ] }, "page" : "94-8", "title" : "Functional MRI reveals expert-novice differences during sport-related anticipation.", "type" : "article-journal", "volume" : "21" }, "uris" : [ "http://www.mendeley.com/documents/?uuid=725596c1-c912-41b6-83c3-6d654c4bff23" ] } ], "mendeley" : { "formattedCitation" : "(Wright et al., 2010)", "plainTextFormattedCitation" : "(Wright et al., 2010)", "previouslyFormattedCitation" : "(Wright et al., 2010)" }, "properties" : { "noteIndex" : 0 }, "schema" : "https://github.com/citation-style-language/schema/raw/master/csl-citation.json" }</w:instrText>
      </w:r>
      <w:r w:rsidR="004625F7" w:rsidRPr="00341B41">
        <w:fldChar w:fldCharType="separate"/>
      </w:r>
      <w:r w:rsidR="004625F7" w:rsidRPr="00341B41">
        <w:rPr>
          <w:noProof/>
        </w:rPr>
        <w:t>(Wright et al., 2010)</w:t>
      </w:r>
      <w:r w:rsidR="004625F7" w:rsidRPr="00341B41">
        <w:fldChar w:fldCharType="end"/>
      </w:r>
      <w:r w:rsidR="004625F7" w:rsidRPr="00341B41">
        <w:t xml:space="preserve">, tennis </w:t>
      </w:r>
      <w:r w:rsidR="004625F7" w:rsidRPr="00341B41">
        <w:fldChar w:fldCharType="begin" w:fldLock="1"/>
      </w:r>
      <w:r w:rsidR="004625F7"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"author" : [ { "dropping-particle" : "", "family" : "Cacioppo", "given" : "Stephanie", "non-dropping-particle" : "", "parse-names" : false, "suffix" : "" }, { "dropping-particle" : "", "family" : "Fontang", "given" : "Frederic", "non-dropping-particle" : "", "parse-names" : false, "suffix" : "" }, { "dropping-particle" : "", "family" : "Patel", "given" : "Nisa", "non-dropping-particle" : "", "parse-names" : false, "suffix" : "" }, { "dropping-particle" : "", "family" : "Decety", "given" : "Jean", "non-dropping-particle" : "", "parse-names" : false, "suffix" : "" }, { "dropping-particle" : "", "family" : "Monteleone", "given" : "George", "non-dropping-particle" : "", "parse-names" : false, "suffix" : "" }, { "dropping-particle" : "", "family" : "Cacioppo", "given" : "John T", "non-dropping-particle" : "", "parse-names" : false, "suffix" : "" } ], "container-title" : "Frontiers in Human Neuroscience", "id" : "ITEM-3", "issue" : "781", "issued" : { "date-parts" : [ [ "2014" ] ] }, "page" : "1-18", "title" : "Intention understanding over T: A neuroimaging study on shared representations and tennis return predictions", "type" : "article-journal", "volume" : "8" }, "uris" : [ "http://www.mendeley.com/documents/?uuid=e8f6a6cb-1394-4a84-b538-e066bd95b8db" ] } ], "mendeley" : { "formattedCitation" : "(Balser, Lorey, Pilgramm, Naumann, et al., 2014; Balser, Lorey, Pilgramm, Stark, et al., 2014; Cacioppo et al., 2014)", "plainTextFormattedCitation" : "(Balser, Lorey, Pilgramm, Naumann, et al., 2014; Balser, Lorey, Pilgramm, Stark, et al., 2014; Cacioppo et al., 2014)", "previouslyFormattedCitation" : "(Balser, Lorey, Pilgramm, Naumann, et al., 2014; Balser, Lorey, Pilgramm, Stark, et al., 2014; Cacioppo et al., 2014)" }, "properties" : { "noteIndex" : 0 }, "schema" : "https://github.com/citation-style-language/schema/raw/master/csl-citation.json" }</w:instrText>
      </w:r>
      <w:r w:rsidR="004625F7" w:rsidRPr="00341B41">
        <w:fldChar w:fldCharType="separate"/>
      </w:r>
      <w:r w:rsidR="004625F7" w:rsidRPr="00341B41">
        <w:rPr>
          <w:noProof/>
        </w:rPr>
        <w:t>(Balser, Lorey, Pilgramm, Naumann, et al., 2014; Balser, Lorey, Pilgramm, Stark, et al., 2014; Cacioppo et al., 2014)</w:t>
      </w:r>
      <w:r w:rsidR="004625F7" w:rsidRPr="00341B41">
        <w:fldChar w:fldCharType="end"/>
      </w:r>
      <w:r w:rsidR="004625F7" w:rsidRPr="00341B41">
        <w:t>,</w:t>
      </w:r>
      <w:r w:rsidR="003F4E40" w:rsidRPr="00341B41">
        <w:t xml:space="preserve"> field hockey </w:t>
      </w:r>
      <w:r w:rsidR="003F4E40" w:rsidRPr="00341B41">
        <w:fldChar w:fldCharType="begin" w:fldLock="1"/>
      </w:r>
      <w:r w:rsidR="003F4E40" w:rsidRPr="00341B41">
        <w:instrText>ADDIN CSL_CITATION { "citationItems" : [ { "id" : "ITEM-1", "itemData" : { "DOI" : "10.1016/j.neuroscience.2015.11.064", "ISSN" : "1873-7544", "PMID" : "26674059", "abstract" : "The aims of this study were to use functional magnetic resonance imaging to examine the neural bases for perceptual-cognitive superiority in a hockey anticipation task. Thirty participants (15 hockey players, 15 non-hockey players) lay in an MRI scanner while performing a video-based task in which they predicted the direction of an oncoming shot in either a hockey or a badminton scenario. Video clips were temporally occluded either 160ms before the shot was made or 60ms after the ball/shuttle left the stick/racquet. Behavioral data showed a significant hockey expertise\u00d7video-type interaction in which hockey experts were superior to novices with hockey clips but there were no significant differences with badminton clips. The imaging data on the other hand showed a significant main effect of hockey expertise and of video type (hockey vs. badminton), but the expertise\u00d7video-type interaction did not survive either a whole-brain or a small-volume correction for multiple comparisons. Further analysis of the expertise main effect revealed that when watching hockey clips, experts showed greater activation in the rostral inferior parietal lobule, which has been associated with an action observation network, and greater activation than novices in Brodmann areas 17 and 18 and middle frontal gyrus when watching badminton videos. The results provide partial support both for domain-specific and domain-general expertise effects in an action anticipation task.", "author" : [ { "dropping-particle" : "", "family" : "Wimshurst", "given" : "Z L", "non-dropping-particle" : "", "parse-names" : false, "suffix" : "" }, { "dropping-particle" : "", "family" : "Sowden", "given" : "P T", "non-dropping-particle" : "", "parse-names" : false, "suffix" : "" }, { "dropping-particle" : "", "family" : "Wright", "given" : "M", "non-dropping-particle" : "", "parse-names" : false, "suffix" : "" } ], "container-title" : "Neuroscience", "id" : "ITEM-1", "issued" : { "date-parts" : [ [ "2015" ] ] }, "page" : "31-44", "publisher" : "IBRO", "title" : "Expert-novice differences in brain function of field hockey players.", "type" : "article-journal", "volume" : "315" }, "uris" : [ "http://www.mendeley.com/documents/?uuid=9e209023-5249-4c50-be25-4b2ed21c3736" ] } ], "mendeley" : { "formattedCitation" : "(Wimshurst, Sowden, &amp; Wright, 2015)", "plainTextFormattedCitation" : "(Wimshurst, Sowden, &amp; Wright, 2015)", "previouslyFormattedCitation" : "(Wimshurst, Sowden, &amp; Wright, 2015)" }, "properties" : { "noteIndex" : 0 }, "schema" : "https://github.com/citation-style-language/schema/raw/master/csl-citation.json" }</w:instrText>
      </w:r>
      <w:r w:rsidR="003F4E40" w:rsidRPr="00341B41">
        <w:fldChar w:fldCharType="separate"/>
      </w:r>
      <w:r w:rsidR="003F4E40" w:rsidRPr="00341B41">
        <w:rPr>
          <w:noProof/>
        </w:rPr>
        <w:t>(Wimshurst, Sowden, &amp; Wright, 2015)</w:t>
      </w:r>
      <w:r w:rsidR="003F4E40" w:rsidRPr="00341B41">
        <w:fldChar w:fldCharType="end"/>
      </w:r>
      <w:r w:rsidR="003F4E40" w:rsidRPr="00341B41">
        <w:t xml:space="preserve">, ice hockey </w:t>
      </w:r>
      <w:r w:rsidR="003F4E40" w:rsidRPr="00341B41">
        <w:fldChar w:fldCharType="begin" w:fldLock="1"/>
      </w:r>
      <w:r w:rsidR="00E047D0" w:rsidRPr="00341B41">
        <w:instrText>ADDIN CSL_CITATION { "citationItems" : [ { "id" : "ITEM-1",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"ITEM-1", "issue" : "819", "issued" : { "date-parts" : [ [ "2013", "1" ] ] }, "title" : "Using action observation to study superior motor performance: a pilot fMRI study.", "type" : "article-journal", "volume" : "7" }, "uris" : [ "http://www.mendeley.com/documents/?uuid=e1f8c226-7951-40e3-be78-1ab8a0624f37" ] } ], "mendeley" : { "formattedCitation" : "(Olsson &amp; Lundstr\u00f6m, 2013)", "plainTextFormattedCitation" : "(Olsson &amp; Lundstr\u00f6m, 2013)", "previouslyFormattedCitation" : "(Olsson &amp; Lundstr\u00f6m, 2013)" }, "properties" : { "noteIndex" : 0 }, "schema" : "https://github.com/citation-style-language/schema/raw/master/csl-citation.json" }</w:instrText>
      </w:r>
      <w:r w:rsidR="003F4E40" w:rsidRPr="00341B41">
        <w:fldChar w:fldCharType="separate"/>
      </w:r>
      <w:r w:rsidR="003F4E40" w:rsidRPr="00341B41">
        <w:rPr>
          <w:noProof/>
        </w:rPr>
        <w:t>(Olsson &amp; Lundström, 2013)</w:t>
      </w:r>
      <w:r w:rsidR="003F4E40" w:rsidRPr="00341B41">
        <w:fldChar w:fldCharType="end"/>
      </w:r>
      <w:r w:rsidR="003F4E40" w:rsidRPr="00341B41">
        <w:t xml:space="preserve">, </w:t>
      </w:r>
      <w:r w:rsidR="004625F7" w:rsidRPr="00341B41">
        <w:t xml:space="preserve">and volleyball </w:t>
      </w:r>
      <w:r w:rsidR="004625F7" w:rsidRPr="00341B41">
        <w:fldChar w:fldCharType="begin" w:fldLock="1"/>
      </w:r>
      <w:r w:rsidR="004625F7" w:rsidRPr="00341B41">
        <w:instrText>ADDIN CSL_CITATION { "citationItems" : [ { "id" : "ITEM-1",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"ITEM-1",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"mendeley" : { "formattedCitation" : "(Balser, Lorey, Pilgramm, Naumann, et al., 2014)", "plainTextFormattedCitation" : "(Balser, Lorey, Pilgramm, Naumann, et al., 2014)", "previouslyFormattedCitation" : "(Balser, Lorey, Pilgramm, Naumann, et al., 2014)" }, "properties" : { "noteIndex" : 0 }, "schema" : "https://github.com/citation-style-language/schema/raw/master/csl-citation.json" }</w:instrText>
      </w:r>
      <w:r w:rsidR="004625F7" w:rsidRPr="00341B41">
        <w:fldChar w:fldCharType="separate"/>
      </w:r>
      <w:r w:rsidR="004625F7" w:rsidRPr="00341B41">
        <w:rPr>
          <w:noProof/>
        </w:rPr>
        <w:t>(Balser, Lorey, Pilgramm, Naumann, et al., 2014)</w:t>
      </w:r>
      <w:r w:rsidR="004625F7" w:rsidRPr="00341B41">
        <w:fldChar w:fldCharType="end"/>
      </w:r>
      <w:r w:rsidR="003F4E40" w:rsidRPr="00341B41">
        <w:t xml:space="preserve"> have all shown increased activation in fronto-parietal regions of the AON in expert participants in the observation period preceding anticipation, as compared with less-skilled or novice participants. In particular, experts have shown increased activations in the </w:t>
      </w:r>
      <w:r w:rsidR="009B2C1D" w:rsidRPr="00341B41">
        <w:t>PMC</w:t>
      </w:r>
      <w:r w:rsidR="003F4E40" w:rsidRPr="00341B41">
        <w:t xml:space="preserve"> </w:t>
      </w:r>
      <w:r w:rsidR="003F4E40" w:rsidRPr="00341B41">
        <w:fldChar w:fldCharType="begin" w:fldLock="1"/>
      </w:r>
      <w:r w:rsidR="00E047D0" w:rsidRPr="00341B41">
        <w:instrText>ADDIN CSL_CITATION { "citationItems" : [ { "id" : "ITEM-1",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"ITEM-1", "issue" : "2", "issued" : { "date-parts" : [ [ "2010", "1", "27" ] ] }, "page" : "94-8", "title" : "Functional MRI reveals expert-novice differences during sport-related anticipation.", "type" : "article-journal", "volume" : "21" }, "uris" : [ "http://www.mendeley.com/documents/?uuid=725596c1-c912-41b6-83c3-6d654c4bff23" ] }, { "id" : "ITEM-2",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"ITEM-2",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"ITEM-3",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"ITEM-3",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"(Wright et al., 2010, 2011, 2013)", "plainTextFormattedCitation" : "(Wright et al., 2010, 2011, 2013)", "previouslyFormattedCitation" : "(Wright et al., 2010, 2011, 2013)" }, "properties" : { "noteIndex" : 0 }, "schema" : "https://github.com/citation-style-language/schema/raw/master/csl-citation.json" }</w:instrText>
      </w:r>
      <w:r w:rsidR="003F4E40" w:rsidRPr="00341B41">
        <w:fldChar w:fldCharType="separate"/>
      </w:r>
      <w:r w:rsidR="003F4E40" w:rsidRPr="00341B41">
        <w:rPr>
          <w:noProof/>
        </w:rPr>
        <w:t>(Wright et al., 2010, 2011, 2013)</w:t>
      </w:r>
      <w:r w:rsidR="003F4E40" w:rsidRPr="00341B41">
        <w:fldChar w:fldCharType="end"/>
      </w:r>
      <w:r w:rsidR="003F4E40" w:rsidRPr="00341B41">
        <w:t xml:space="preserve"> and the superior and inferior parietal lobules (SPL/IPL) </w:t>
      </w:r>
      <w:r w:rsidR="003F4E40" w:rsidRPr="00341B41">
        <w:fldChar w:fldCharType="begin" w:fldLock="1"/>
      </w:r>
      <w:r w:rsidR="003F4E40"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"ISSN" : "1543-2904", "PMID" : "23404883", "abstract" : "The aim of this study was to examine the neural bases for perceptual-cognitive superiority in a soccer anticipation task using functional magnetic resonance imaging (fMRI). Thirty-nine participants lay in an MRI scanner while performing a video-based task in which they predicted an oncoming opponent's movements. Video clips were occluded at four time points, and participants were grouped according to in-task performance. Early occlusion reduced prediction accuracy significantly for all participants, as did the opponent's execution of a deceptive maneuver; however, high-skill participants were significantly more accurate than their low-skill counterparts under deceptive conditions. This perceptual-cognitive superiority was associated with greater activation of cortical and subcortical structures involved in executive function and oculomotor control. The contributions of the present findings to an existing neural model of anticipation in sport are highlighted.", "author" : [ { "dropping-particle" : "", "family" : "Bishop", "given" : "Daniel T", "non-dropping-particle" : "", "parse-names" : false, "suffix" : "" }, { "dropping-particle" : "", "family" : "Wright", "given" : "Michael J", "non-dropping-particle" : "", "parse-names" : false, "suffix" : "" }, { "dropping-particle" : "", "family" : "Jackson", "given" : "Robin C", "non-dropping-particle" : "", "parse-names" : false, "suffix" : "" }, { "dropping-particle" : "", "family" : "Abernethy", "given" : "Bruce", "non-dropping-particle" : "", "parse-names" : false, "suffix" : "" } ], "container-title" : "Journal of Sport and Exercise Psychology", "id" : "ITEM-3", "issue" : "1", "issued" : { "date-parts" : [ [ "2013", "2" ] ] }, "page" : "98-109", "title" : "Neural bases for anticipation skill in soccer: an FMRI study.", "type" : "article-journal", "volume" : "35" }, "uris" : [ "http://www.mendeley.com/documents/?uuid=69ed83ce-3f40-4be2-a5fd-e55e3e631108" ] }, { "id" : "ITEM-4",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"ITEM-4", "issue" : "2", "issued" : { "date-parts" : [ [ "2010", "1", "27" ] ] }, "page" : "94-8", "title" : "Functional MRI reveals expert-novice differences during sport-related anticipation.", "type" : "article-journal", "volume" : "21" }, "uris" : [ "http://www.mendeley.com/documents/?uuid=725596c1-c912-41b6-83c3-6d654c4bff23" ] }, { "id" : "ITEM-5",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"ITEM-5",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"ITEM-6", "itemData" : { "DOI" : "10.1016/j.neuroscience.2013.01.048", "ISSN" : "1873-7544", "PMID" : "23384606", "abstract" : "Athletes exhibit better anticipation abilities than novices. However, it is not known whether this difference is related to different visual perceptions between them and which neural elements are involved in producing this difference. Fifteen elite basketball players and 15 novices participated in an action anticipation task with basketball free throw. Accurate rate for anticipation and gaze behavior were analyzed. Functional brain activity was recorded using functional magnetic resonance imaging. We found that the accurate rate for anticipation was higher in athletes than that in novices. Athletes showed more stable gaze fixation than novices and the locus of fixation was reliable in athletes but not in novices. Athletes showed higher activity in inferior parietal lobule and inferior frontal gyrus than novices during action anticipation. We conclude that the processes for action anticipation in elite athletes and novices are different and this difference is caused by different visual perceptions between them.", "author" : [ { "dropping-particle" : "", "family" : "Wu", "given" : "Y", "non-dropping-particle" : "", "parse-names" : false, "suffix" : "" }, { "dropping-particle" : "", "family" : "Zeng", "given" : "Y", "non-dropping-particle" : "", "parse-names" : false, "suffix" : "" }, { "dropping-particle" : "", "family" : "Zhang", "given" : "L", "non-dropping-particle" : "", "parse-names" : false, "suffix" : "" }, { "dropping-particle" : "", "family" : "Wang", "given" : "S", "non-dropping-particle" : "", "parse-names" : false, "suffix" : "" }, { "dropping-particle" : "", "family" : "Wang", "given" : "D", "non-dropping-particle" : "", "parse-names" : false, "suffix" : "" }, { "dropping-particle" : "", "family" : "Tan", "given" : "X", "non-dropping-particle" : "", "parse-names" : false, "suffix" : "" }, { "dropping-particle" : "", "family" : "Zhu", "given" : "X", "non-dropping-particle" : "", "parse-names" : false, "suffix" : "" }, { "dropping-particle" : "", "family" : "Zhang", "given" : "J", "non-dropping-particle" : "", "parse-names" : false, "suffix" : "" } ], "container-title" : "Neuroscience", "id" : "ITEM-6", "issued" : { "date-parts" : [ [ "2013", "5", "1" ] ] }, "page" : "29-41", "title" : "The role of visual perception in action anticipation in basketball athletes.", "type" : "article-journal", "volume" : "237" }, "uris" : [ "http://www.mendeley.com/documents/?uuid=8209befb-066b-4625-8478-7512aabeb1a9" ] } ], "mendeley" : { "formattedCitation" : "(Balser, Lorey, Pilgramm, Naumann, et al., 2014; Balser, Lorey, Pilgramm, Stark, et al., 2014; Bishop et al., 2013; Wright et al., 2010, 2011; Wu et al., 2013)", "plainTextFormattedCitation" : "(Balser, Lorey, Pilgramm, Naumann, et al., 2014; Balser, Lorey, Pilgramm, Stark, et al., 2014; Bishop et al., 2013; Wright et al., 2010, 2011; Wu et al., 2013)", "previouslyFormattedCitation" : "(Balser, Lorey, Pilgramm, Naumann, et al., 2014; Balser, Lorey, Pilgramm, Stark, et al., 2014; Bishop et al., 2013; Wright et al., 2010, 2011; Wu et al., 2013)" }, "properties" : { "noteIndex" : 0 }, "schema" : "https://github.com/citation-style-language/schema/raw/master/csl-citation.json" }</w:instrText>
      </w:r>
      <w:r w:rsidR="003F4E40" w:rsidRPr="00341B41">
        <w:fldChar w:fldCharType="separate"/>
      </w:r>
      <w:r w:rsidR="003F4E40" w:rsidRPr="00341B41">
        <w:rPr>
          <w:noProof/>
        </w:rPr>
        <w:t>(Balser, Lorey, Pilgramm, Naumann, et al., 2014; Balser, Lorey, Pilgramm, Stark, et al., 2014; Bishop et al., 2013; Wright et al., 2010, 2011; Wu et al., 2013)</w:t>
      </w:r>
      <w:r w:rsidR="003F4E40" w:rsidRPr="00341B41">
        <w:fldChar w:fldCharType="end"/>
      </w:r>
      <w:r w:rsidR="003F4E40" w:rsidRPr="00341B41">
        <w:t>.</w:t>
      </w:r>
    </w:p>
    <w:p w14:paraId="7D66B16B" w14:textId="77777777" w:rsidR="000C74BD" w:rsidRPr="00341B41" w:rsidRDefault="003F4E40" w:rsidP="000C74BD">
      <w:pPr>
        <w:ind w:firstLine="720"/>
      </w:pPr>
      <w:r w:rsidRPr="00341B41">
        <w:t xml:space="preserve">An exception to these findings comes from a study of basketball players, which failed to find any expertise differences in fronto-parietal AON activity during anticipation </w:t>
      </w:r>
      <w:r w:rsidRPr="00341B41">
        <w:fldChar w:fldCharType="begin" w:fldLock="1"/>
      </w:r>
      <w:r w:rsidRPr="00341B41">
        <w:instrText>ADDIN CSL_CITATION { "citationItems" : [ { "id" : "ITEM-1", "itemData" : { "DOI" : "10.1111/j.1460-9568.2012.08104.x", "author" : [ { "dropping-particle" : "", "family" : "Abreu", "given" : "A M", "non-dropping-particle" : "", "parse-names" : false, "suffix" : "" }, { "dropping-particle" : "", "family" : "Macaluso", "given" : "E", "non-dropping-particle" : "", "parse-names" : false, "suffix" : "" }, { "dropping-particle" : "", "family" : "Azevedo", "given" : "R T", "non-dropping-particle" : "", "parse-names" : false, "suffix" : "" }, { "dropping-particle" : "", "family" : "Cesari", "given" : "P", "non-dropping-particle" : "", "parse-names" : false, "suffix" : "" }, { "dropping-particle" : "", "family" : "Urgesi", "given" : "C", "non-dropping-particle" : "", "parse-names" : false, "suffix" : "" }, { "dropping-particle" : "", "family" : "Aglioti", "given" : "S M", "non-dropping-particle" : "", "parse-names" : false, "suffix" : "" } ], "container-title" : "European Journal of Neuroscience", "id" : "ITEM-1", "issued" : { "date-parts" : [ [ "2012" ] ] }, "page" : "1646-1654", "title" : "Action anticipation beyond the action observation network : a functional magnetic resonance imaging study in expert basketball players", "type" : "article-journal", "volume" : "35" }, "uris" : [ "http://www.mendeley.com/documents/?uuid=15a1c74f-9fd4-42b3-93f4-377fad110826" ] } ], "mendeley" : { "formattedCitation" : "(Abreu et al., 2012)", "plainTextFormattedCitation" : "(Abreu et al., 2012)", "previouslyFormattedCitation" : "(Abreu et al., 2012)" }, "properties" : { "noteIndex" : 0 }, "schema" : "https://github.com/citation-style-language/schema/raw/master/csl-citation.json" }</w:instrText>
      </w:r>
      <w:r w:rsidRPr="00341B41">
        <w:fldChar w:fldCharType="separate"/>
      </w:r>
      <w:r w:rsidRPr="00341B41">
        <w:rPr>
          <w:noProof/>
        </w:rPr>
        <w:t>(Abreu et al., 2012)</w:t>
      </w:r>
      <w:r w:rsidRPr="00341B41">
        <w:fldChar w:fldCharType="end"/>
      </w:r>
      <w:r w:rsidRPr="00341B41">
        <w:t xml:space="preserve">. Rather, they found increased EBA/MT activations in experts, compared to novices. It is worth noting here that this study used a difference baseline measure compared to other studies. This study played anticipation clips in reverse during control trials, with the task being to indicate when the ball changed colour. This differs from other studies, which typically required passive action observation from participants, e.g. watching a tennis player bouncing a ball on the ground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"mendeley" : { "formattedCitation" : "(Balser, Lorey, Pilgramm, Stark, et al., 2014)", "plainTextFormattedCitation" : "(Balser, Lorey, Pilgramm, Stark, et al., 2014)", "previouslyFormattedCitation" : "(Balser, Lorey, Pilgramm, Stark, et al., 2014)" }, "properties" : { "noteIndex" : 0 }, "schema" : "https://github.com/citation-style-language/schema/raw/master/csl-citation.json" }</w:instrText>
      </w:r>
      <w:r w:rsidRPr="00341B41">
        <w:fldChar w:fldCharType="separate"/>
      </w:r>
      <w:r w:rsidRPr="00341B41">
        <w:rPr>
          <w:noProof/>
        </w:rPr>
        <w:t>(Balser, Lorey, Pilgramm, Stark, et al., 2014)</w:t>
      </w:r>
      <w:r w:rsidRPr="00341B41">
        <w:fldChar w:fldCharType="end"/>
      </w:r>
      <w:r w:rsidRPr="00341B41">
        <w:t xml:space="preserve">. </w:t>
      </w:r>
    </w:p>
    <w:p w14:paraId="2A4FA879" w14:textId="7F8A897A" w:rsidR="00E047D0" w:rsidRPr="00341B41" w:rsidRDefault="000C74BD" w:rsidP="00E047D0">
      <w:pPr>
        <w:ind w:firstLine="720"/>
      </w:pPr>
      <w:r w:rsidRPr="00341B41">
        <w:t>As well as evidence of expertise-related differences in AON activity, there is also evidence that fronto-parietal AON activity is greater in the action observation period preceding a correct anticipation, compared to</w:t>
      </w:r>
      <w:r w:rsidR="000979D6" w:rsidRPr="00341B41">
        <w:t xml:space="preserve"> an</w:t>
      </w:r>
      <w:r w:rsidRPr="00341B41">
        <w:t xml:space="preserve"> unsuccessful anticipation. Looking at </w:t>
      </w:r>
      <w:r w:rsidRPr="00341B41">
        <w:lastRenderedPageBreak/>
        <w:t xml:space="preserve">expert ice hockey players, successful anticipation was associated with greater fronto-parietal AON activity in the preceding trial compared to incorrect trials </w:t>
      </w:r>
      <w:r w:rsidRPr="00341B41">
        <w:fldChar w:fldCharType="begin" w:fldLock="1"/>
      </w:r>
      <w:r w:rsidR="00E047D0" w:rsidRPr="00341B41">
        <w:instrText>ADDIN CSL_CITATION { "citationItems" : [ { "id" : "ITEM-1",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"ITEM-1", "issue" : "819", "issued" : { "date-parts" : [ [ "2013", "1" ] ] }, "title" : "Using action observation to study superior motor performance: a pilot fMRI study.", "type" : "article-journal", "volume" : "7" }, "uris" : [ "http://www.mendeley.com/documents/?uuid=e1f8c226-7951-40e3-be78-1ab8a0624f37" ] } ], "mendeley" : { "formattedCitation" : "(Olsson &amp; Lundstr\u00f6m, 2013)", "plainTextFormattedCitation" : "(Olsson &amp; Lundstr\u00f6m, 2013)", "previouslyFormattedCitation" : "(Olsson &amp; Lundstr\u00f6m, 2013)" }, "properties" : { "noteIndex" : 0 }, "schema" : "https://github.com/citation-style-language/schema/raw/master/csl-citation.json" }</w:instrText>
      </w:r>
      <w:r w:rsidRPr="00341B41">
        <w:fldChar w:fldCharType="separate"/>
      </w:r>
      <w:r w:rsidRPr="00341B41">
        <w:rPr>
          <w:noProof/>
        </w:rPr>
        <w:t>(Olsson &amp; Lundström, 2013)</w:t>
      </w:r>
      <w:r w:rsidRPr="00341B41">
        <w:fldChar w:fldCharType="end"/>
      </w:r>
      <w:r w:rsidRPr="00341B41">
        <w:t xml:space="preserve">. Specifically, these increased activations were found in the </w:t>
      </w:r>
      <w:r w:rsidR="003415AE" w:rsidRPr="00341B41">
        <w:t>PMC</w:t>
      </w:r>
      <w:r w:rsidRPr="00341B41">
        <w:t xml:space="preserve">, postcentral gyrus, and all regions of the temporal gyrus. Another study taking the same approach in expert basketball players also found increased activity in the postcentral and temporal gyri during correct trials </w:t>
      </w:r>
      <w:r w:rsidRPr="00341B41">
        <w:fldChar w:fldCharType="begin" w:fldLock="1"/>
      </w:r>
      <w:r w:rsidRPr="00341B41">
        <w:instrText>ADDIN CSL_CITATION { "citationItems" : [ { "id" : "ITEM-1", "itemData" : { "DOI" : "10.1111/j.1460-9568.2012.08104.x", "author" : [ { "dropping-particle" : "", "family" : "Abreu", "given" : "A M", "non-dropping-particle" : "", "parse-names" : false, "suffix" : "" }, { "dropping-particle" : "", "family" : "Macaluso", "given" : "E", "non-dropping-particle" : "", "parse-names" : false, "suffix" : "" }, { "dropping-particle" : "", "family" : "Azevedo", "given" : "R T", "non-dropping-particle" : "", "parse-names" : false, "suffix" : "" }, { "dropping-particle" : "", "family" : "Cesari", "given" : "P", "non-dropping-particle" : "", "parse-names" : false, "suffix" : "" }, { "dropping-particle" : "", "family" : "Urgesi", "given" : "C", "non-dropping-particle" : "", "parse-names" : false, "suffix" : "" }, { "dropping-particle" : "", "family" : "Aglioti", "given" : "S M", "non-dropping-particle" : "", "parse-names" : false, "suffix" : "" } ], "container-title" : "European Journal of Neuroscience", "id" : "ITEM-1", "issued" : { "date-parts" : [ [ "2012" ] ] }, "page" : "1646-1654", "title" : "Action anticipation beyond the action observation network : a functional magnetic resonance imaging study in expert basketball players", "type" : "article-journal", "volume" : "35" }, "uris" : [ "http://www.mendeley.com/documents/?uuid=15a1c74f-9fd4-42b3-93f4-377fad110826" ] } ], "mendeley" : { "formattedCitation" : "(Abreu et al., 2012)", "plainTextFormattedCitation" : "(Abreu et al., 2012)", "previouslyFormattedCitation" : "(Abreu et al., 2012)" }, "properties" : { "noteIndex" : 0 }, "schema" : "https://github.com/citation-style-language/schema/raw/master/csl-citation.json" }</w:instrText>
      </w:r>
      <w:r w:rsidRPr="00341B41">
        <w:fldChar w:fldCharType="separate"/>
      </w:r>
      <w:r w:rsidRPr="00341B41">
        <w:rPr>
          <w:noProof/>
        </w:rPr>
        <w:t>(Abreu et al., 2012)</w:t>
      </w:r>
      <w:r w:rsidRPr="00341B41">
        <w:fldChar w:fldCharType="end"/>
      </w:r>
      <w:r w:rsidRPr="00341B41">
        <w:t xml:space="preserve">. Other studies have shown that both the SPL and the IFG (regions of the fronto-parietal AON) show increased activity during trials that were anticipated correctly compared to trials where it was not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"DOI" : "10.1016/j.neuroscience.2013.01.048", "ISSN" : "1873-7544", "PMID" : "23384606", "abstract" : "Athletes exhibit better anticipation abilities than novices. However, it is not known whether this difference is related to different visual perceptions between them and which neural elements are involved in producing this difference. Fifteen elite basketball players and 15 novices participated in an action anticipation task with basketball free throw. Accurate rate for anticipation and gaze behavior were analyzed. Functional brain activity was recorded using functional magnetic resonance imaging. We found that the accurate rate for anticipation was higher in athletes than that in novices. Athletes showed more stable gaze fixation than novices and the locus of fixation was reliable in athletes but not in novices. Athletes showed higher activity in inferior parietal lobule and inferior frontal gyrus than novices during action anticipation. We conclude that the processes for action anticipation in elite athletes and novices are different and this difference is caused by different visual perceptions between them.", "author" : [ { "dropping-particle" : "", "family" : "Wu", "given" : "Y", "non-dropping-particle" : "", "parse-names" : false, "suffix" : "" }, { "dropping-particle" : "", "family" : "Zeng", "given" : "Y", "non-dropping-particle" : "", "parse-names" : false, "suffix" : "" }, { "dropping-particle" : "", "family" : "Zhang", "given" : "L", "non-dropping-particle" : "", "parse-names" : false, "suffix" : "" }, { "dropping-particle" : "", "family" : "Wang", "given" : "S", "non-dropping-particle" : "", "parse-names" : false, "suffix" : "" }, { "dropping-particle" : "", "family" : "Wang", "given" : "D", "non-dropping-particle" : "", "parse-names" : false, "suffix" : "" }, { "dropping-particle" : "", "family" : "Tan", "given" : "X", "non-dropping-particle" : "", "parse-names" : false, "suffix" : "" }, { "dropping-particle" : "", "family" : "Zhu", "given" : "X", "non-dropping-particle" : "", "parse-names" : false, "suffix" : "" }, { "dropping-particle" : "", "family" : "Zhang", "given" : "J", "non-dropping-particle" : "", "parse-names" : false, "suffix" : "" } ], "container-title" : "Neuroscience", "id" : "ITEM-3", "issued" : { "date-parts" : [ [ "2013", "5", "1" ] ] }, "page" : "29-41", "title" : "The role of visual perception in action anticipation in basketball athletes.", "type" : "article-journal", "volume" : "237" }, "uris" : [ "http://www.mendeley.com/documents/?uuid=8209befb-066b-4625-8478-7512aabeb1a9" ] } ], "mendeley" : { "formattedCitation" : "(Balser, Lorey, Pilgramm, Naumann, et al., 2014; Balser, Lorey, Pilgramm, Stark, et al., 2014; Wu et al., 2013)", "plainTextFormattedCitation" : "(Balser, Lorey, Pilgramm, Naumann, et al., 2014; Balser, Lorey, Pilgramm, Stark, et al., 2014; Wu et al., 2013)", "previouslyFormattedCitation" : "(Balser, Lorey, Pilgramm, Naumann, et al., 2014; Balser, Lorey, Pilgramm, Stark, et al., 2014; Wu et al., 2013)" }, "properties" : { "noteIndex" : 0 }, "schema" : "https://github.com/citation-style-language/schema/raw/master/csl-citation.json" }</w:instrText>
      </w:r>
      <w:r w:rsidRPr="00341B41">
        <w:fldChar w:fldCharType="separate"/>
      </w:r>
      <w:r w:rsidRPr="00341B41">
        <w:rPr>
          <w:noProof/>
        </w:rPr>
        <w:t>(Balser, Lorey, Pilgramm, Naumann, et al., 2014; Balser, Lorey, Pilgramm, Stark, et al., 2014; Wu et al., 2013)</w:t>
      </w:r>
      <w:r w:rsidRPr="00341B41">
        <w:fldChar w:fldCharType="end"/>
      </w:r>
      <w:r w:rsidRPr="00341B41">
        <w:t>.</w:t>
      </w:r>
      <w:r w:rsidR="00E047D0" w:rsidRPr="00341B41">
        <w:t xml:space="preserve"> </w:t>
      </w:r>
    </w:p>
    <w:p w14:paraId="12AD5876" w14:textId="77777777" w:rsidR="00E047D0" w:rsidRPr="00341B41" w:rsidRDefault="00E047D0" w:rsidP="00E047D0">
      <w:pPr>
        <w:ind w:firstLine="720"/>
      </w:pPr>
      <w:r w:rsidRPr="00341B41">
        <w:t xml:space="preserve">Another study focusing on tennis compared anticipation accuracy on initially intended serves, and non-initially intended serves </w:t>
      </w:r>
      <w:r w:rsidRPr="00341B41">
        <w:fldChar w:fldCharType="begin" w:fldLock="1"/>
      </w:r>
      <w:r w:rsidRPr="00341B41">
        <w:instrText>ADDIN CSL_CITATION { "citationItems" : [ { "id" : "ITEM-1", "itemData" : { "author" : [ { "dropping-particle" : "", "family" : "Cacioppo", "given" : "Stephanie", "non-dropping-particle" : "", "parse-names" : false, "suffix" : "" }, { "dropping-particle" : "", "family" : "Fontang", "given" : "Frederic", "non-dropping-particle" : "", "parse-names" : false, "suffix" : "" }, { "dropping-particle" : "", "family" : "Patel", "given" : "Nisa", "non-dropping-particle" : "", "parse-names" : false, "suffix" : "" }, { "dropping-particle" : "", "family" : "Decety", "given" : "Jean", "non-dropping-particle" : "", "parse-names" : false, "suffix" : "" }, { "dropping-particle" : "", "family" : "Monteleone", "given" : "George", "non-dropping-particle" : "", "parse-names" : false, "suffix" : "" }, { "dropping-particle" : "", "family" : "Cacioppo", "given" : "John T", "non-dropping-particle" : "", "parse-names" : false, "suffix" : "" } ], "container-title" : "Frontiers in Human Neuroscience", "id" : "ITEM-1", "issue" : "781", "issued" : { "date-parts" : [ [ "2014" ] ] }, "page" : "1-18", "title" : "Intention understanding over T: A neuroimaging study on shared representations and tennis return predictions", "type" : "article-journal", "volume" : "8" }, "uris" : [ "http://www.mendeley.com/documents/?uuid=e8f6a6cb-1394-4a84-b538-e066bd95b8db" ] } ], "mendeley" : { "formattedCitation" : "(Cacioppo et al., 2014)", "plainTextFormattedCitation" : "(Cacioppo et al., 2014)", "previouslyFormattedCitation" : "(Cacioppo et al., 2014)" }, "properties" : { "noteIndex" : 0 }, "schema" : "https://github.com/citation-style-language/schema/raw/master/csl-citation.json" }</w:instrText>
      </w:r>
      <w:r w:rsidRPr="00341B41">
        <w:fldChar w:fldCharType="separate"/>
      </w:r>
      <w:r w:rsidRPr="00341B41">
        <w:rPr>
          <w:noProof/>
        </w:rPr>
        <w:t>(Cacioppo et al., 2014)</w:t>
      </w:r>
      <w:r w:rsidRPr="00341B41">
        <w:fldChar w:fldCharType="end"/>
      </w:r>
      <w:r w:rsidRPr="00341B41">
        <w:t xml:space="preserve">. On initially intended serve trials, the player watched by participants planned the intended location of the serve before performing the shot. On non-initially intended serves, the player was told the direction of the serve at the point the player had thrown the ball into the air. They found that during initially intended serve trials, experts showed increased activity in the fronto-parietal AON, a pattern of results not found in the reverse contrast. A limitation of this study however was that participants with varying levels of tennis expertise were recruited for the study, and were assigned to groups post-hoc based upon their anticipation accuracy performance. </w:t>
      </w:r>
    </w:p>
    <w:p w14:paraId="569E1013" w14:textId="77777777" w:rsidR="00E047D0" w:rsidRPr="00341B41" w:rsidRDefault="00E047D0" w:rsidP="00E047D0">
      <w:pPr>
        <w:ind w:firstLine="720"/>
      </w:pPr>
      <w:r w:rsidRPr="00341B41">
        <w:t xml:space="preserve">Most of the studies to date looking at brain activity during action anticipation, use action outcome as the response measure. This may be in the form of anticipating tennis serve direction, or whether a basketball shot will be in or out. Some research has looked at </w:t>
      </w:r>
      <w:r w:rsidRPr="00341B41">
        <w:lastRenderedPageBreak/>
        <w:t xml:space="preserve">differences in anticipating action outcome, and anticipating the correct motor response to produce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"mendeley" : { "formattedCitation" : "(Balser, Lorey, Pilgramm, Stark, et al., 2014)", "plainTextFormattedCitation" : "(Balser, Lorey, Pilgramm, Stark, et al., 2014)", "previouslyFormattedCitation" : "(Balser, Lorey, Pilgramm, Stark, et al., 2014)" }, "properties" : { "noteIndex" : 0 }, "schema" : "https://github.com/citation-style-language/schema/raw/master/csl-citation.json" }</w:instrText>
      </w:r>
      <w:r w:rsidRPr="00341B41">
        <w:fldChar w:fldCharType="separate"/>
      </w:r>
      <w:r w:rsidRPr="00341B41">
        <w:rPr>
          <w:noProof/>
        </w:rPr>
        <w:t>(Balser, Lorey, Pilgramm, Stark, et al., 2014)</w:t>
      </w:r>
      <w:r w:rsidRPr="00341B41">
        <w:fldChar w:fldCharType="end"/>
      </w:r>
      <w:r w:rsidRPr="00341B41">
        <w:t xml:space="preserve">. It was found that overall, anticipating the correct motor response activated a broader range of AON regions than anticipating shot direction did. Few differences in brain activity in the expert group were found in the two conditions, whereas the novice group showed greater AON activity in the motor anticipation task. This finding indicates similar neural activations occur in expert players both when predicting the direction of a shot, and in planning an appropriate response. On the other hand, novices show different activations for these two tasks. </w:t>
      </w:r>
    </w:p>
    <w:p w14:paraId="7AB74CC1" w14:textId="18A9FC56" w:rsidR="00C14EC4" w:rsidRPr="00341B41" w:rsidRDefault="00E047D0" w:rsidP="00C14EC4">
      <w:pPr>
        <w:ind w:firstLine="720"/>
      </w:pPr>
      <w:r w:rsidRPr="00341B41">
        <w:t>These studies suggest that the AON, and in particular fronto-parietal regions, is modulated by expertise during an anticipation task. This suggest</w:t>
      </w:r>
      <w:r w:rsidR="006E6911" w:rsidRPr="00341B41">
        <w:t>s</w:t>
      </w:r>
      <w:r w:rsidRPr="00341B41">
        <w:t xml:space="preserve"> it plays a role in facilitating expert anticipation skill. This research suggests that when observing an opponent’s actions, expert players show stronger activations in brain regions believed to be important in the understand</w:t>
      </w:r>
      <w:r w:rsidR="0004484E" w:rsidRPr="00341B41">
        <w:t>ing</w:t>
      </w:r>
      <w:r w:rsidRPr="00341B41">
        <w:t xml:space="preserve"> of other people’s actions </w:t>
      </w:r>
      <w:r w:rsidRPr="00341B41">
        <w:fldChar w:fldCharType="begin" w:fldLock="1"/>
      </w:r>
      <w:r w:rsidR="00384056" w:rsidRPr="00341B41">
        <w:instrText>ADDIN CSL_CITATION { "citationItems" : [ { "id" : "ITEM-1", "itemData" : { "DOI" : "10.1016/j.neuroimage.2009.12.112", "ISSN" : "1095-9572", "PMID" : "20056149", "abstract" : "Over the last decade, many neuroimaging studies have assessed the human brain networks underlying action observation and imitation using a variety of tasks and paradigms. Nevertheless, questions concerning which areas consistently contribute to these networks irrespective of the particular experimental design and how such processing may be lateralized remain unresolved. The current study aimed at identifying cortical areas consistently involved in action observation and imitation by combining activation likelihood estimation (ALE) meta-analysis with probabilistic cytoarchitectonic maps. Meta-analysis of 139 functional magnetic resonance and positron emission tomography experiments revealed a bilateral network for both action observation and imitation. Additional subanalyses for different effectors within each network revealed highly comparable activation patterns to the overall analyses on observation and imitation, respectively, indicating an independence of these findings from potential confounds. Conjunction analysis of action observation and imitation meta-analyses revealed a bilateral network within frontal premotor, parietal, and temporo-occipital cortex. The most consistently rostral inferior parietal area was PFt, providing evidence for a possible homology of this region to macaque area PF. The observation and imitation networks differed particularly with respect to the involvement of Broca's area: whereas both networks involved a caudo-dorsal part of BA 44, activation during observation was most consistent in a more rostro-dorsal location, i.e., dorsal BA 45, while activation during imitation was most consistent in a more ventro-caudal aspect, i.e., caudal BA 44. The present meta-analysis thus summarizes and amends previous descriptions of the human brain networks related to action observation and imitation.", "author" : [ { "dropping-particle" : "", "family" : "Caspers", "given" : "Svenja", "non-dropping-particle" : "", "parse-names" : false, "suffix" : "" }, { "dropping-particle" : "", "family" : "Zilles", "given" : "Karl", "non-dropping-particle" : "", "parse-names" : false, "suffix" : "" }, { "dropping-particle" : "", "family" : "Laird", "given" : "Angela R", "non-dropping-particle" : "", "parse-names" : false, "suffix" : "" }, { "dropping-particle" : "", "family" : "Eickhoff", "given" : "Simon B", "non-dropping-particle" : "", "parse-names" : false, "suffix" : "" } ], "container-title" : "NeuroImage", "id" : "ITEM-1", "issue" : "3", "issued" : { "date-parts" : [ [ "2010", "4", "15" ] ] }, "page" : "1148-67", "title" : "ALE meta-analysis of action observation and imitation in the human brain.", "type" : "article-journal", "volume" : "50" }, "uris" : [ "http://www.mendeley.com/documents/?uuid=a925a6c5-a957-4cdb-8778-cd652c495eaf" ] } ], "mendeley" : { "formattedCitation" : "(Caspers et al., 2010)", "plainTextFormattedCitation" : "(Caspers et al., 2010)", "previouslyFormattedCitation" : "(Caspers et al., 2010)" }, "properties" : { "noteIndex" : 0 }, "schema" : "https://github.com/citation-style-language/schema/raw/master/csl-citation.json" }</w:instrText>
      </w:r>
      <w:r w:rsidRPr="00341B41">
        <w:fldChar w:fldCharType="separate"/>
      </w:r>
      <w:r w:rsidR="004C1B53" w:rsidRPr="00341B41">
        <w:rPr>
          <w:noProof/>
        </w:rPr>
        <w:t>(Caspers et al., 2010)</w:t>
      </w:r>
      <w:r w:rsidRPr="00341B41">
        <w:fldChar w:fldCharType="end"/>
      </w:r>
      <w:r w:rsidRPr="00341B41">
        <w:t>. It is possible that expert players can anticipate based on visual familiarity</w:t>
      </w:r>
      <w:r w:rsidR="005E714A" w:rsidRPr="00341B41">
        <w:t>, as well as motor familiarity. S</w:t>
      </w:r>
      <w:r w:rsidRPr="00341B41">
        <w:t>ome research has suggested motor familiarity to be particularly important. For instance, expert players are able to successful</w:t>
      </w:r>
      <w:r w:rsidR="003A1970" w:rsidRPr="00341B41">
        <w:t>ly</w:t>
      </w:r>
      <w:r w:rsidRPr="00341B41">
        <w:t xml:space="preserve"> anticipate actions displayed via point-light displays. These set-ups remove all visual information from a scene, leaving behind only pure biological motion information. Using point-light display stimuli, expert players still show greater </w:t>
      </w:r>
      <w:r w:rsidR="005E714A" w:rsidRPr="00341B41">
        <w:t>fronto-parietal AON</w:t>
      </w:r>
      <w:r w:rsidRPr="00341B41">
        <w:t xml:space="preserve"> activity than novice players, and remain significantly more accurate </w:t>
      </w:r>
      <w:r w:rsidRPr="00341B41">
        <w:fldChar w:fldCharType="begin" w:fldLock="1"/>
      </w:r>
      <w:r w:rsidRPr="00341B41">
        <w:instrText>ADDIN CSL_CITATION { "citationItems" : [ { "id" : "ITEM-1",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"ITEM-1",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"mendeley" : { "formattedCitation" : "(Wright et al., 2011)", "plainTextFormattedCitation" : "(Wright et al., 2011)", "previouslyFormattedCitation" : "(Wright et al., 2011)" }, "properties" : { "noteIndex" : 0 }, "schema" : "https://github.com/citation-style-language/schema/raw/master/csl-citation.json" }</w:instrText>
      </w:r>
      <w:r w:rsidRPr="00341B41">
        <w:fldChar w:fldCharType="separate"/>
      </w:r>
      <w:r w:rsidRPr="00341B41">
        <w:rPr>
          <w:noProof/>
        </w:rPr>
        <w:t>(Wright et al., 2011)</w:t>
      </w:r>
      <w:r w:rsidRPr="00341B41">
        <w:fldChar w:fldCharType="end"/>
      </w:r>
      <w:r w:rsidRPr="00341B41">
        <w:t xml:space="preserve">. </w:t>
      </w:r>
      <w:proofErr w:type="spellStart"/>
      <w:r w:rsidRPr="00341B41">
        <w:t>Cacioppo</w:t>
      </w:r>
      <w:proofErr w:type="spellEnd"/>
      <w:r w:rsidRPr="00341B41">
        <w:t xml:space="preserve"> et al (2014) showed that if the observed player is unable to plan the direction of their serve in advance, expert tennis players were less accurate at anticipating the serves direction. This lower accuracy to non-initially intended serves was associated with lower </w:t>
      </w:r>
      <w:r w:rsidR="005E714A" w:rsidRPr="00341B41">
        <w:t>fronto-parietal AON</w:t>
      </w:r>
      <w:r w:rsidRPr="00341B41">
        <w:t xml:space="preserve"> activations. Poorer anticipation </w:t>
      </w:r>
      <w:r w:rsidRPr="00341B41">
        <w:lastRenderedPageBreak/>
        <w:t xml:space="preserve">ability during non-initially intended serves may be due to the fact that in these trials, the outcome of the serve was incongruous with the kinematic information presented to participants, meaning that the construction of an internal model of that serve was less accurate, or indeed more difficult overall, potentially due to a lack of any clear kinematic cues. Finally, expert player’s </w:t>
      </w:r>
      <w:r w:rsidR="00C14EC4" w:rsidRPr="00341B41">
        <w:t>AON</w:t>
      </w:r>
      <w:r w:rsidRPr="00341B41">
        <w:t xml:space="preserve"> activations have been shown not to differ when anticipating the outcome of a shot, and when anticipating the correct motor response to produce. This shows that there is a close coupling in the brain of an expert athlete between anticipating the outcome of an action, and the preparation of a motor response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"mendeley" : { "formattedCitation" : "(Balser, Lorey, Pilgramm, Stark, et al., 2014)", "plainTextFormattedCitation" : "(Balser, Lorey, Pilgramm, Stark, et al., 2014)", "previouslyFormattedCitation" : "(Balser, Lorey, Pilgramm, Stark, et al., 2014)" }, "properties" : { "noteIndex" : 0 }, "schema" : "https://github.com/citation-style-language/schema/raw/master/csl-citation.json" }</w:instrText>
      </w:r>
      <w:r w:rsidRPr="00341B41">
        <w:fldChar w:fldCharType="separate"/>
      </w:r>
      <w:r w:rsidRPr="00341B41">
        <w:rPr>
          <w:noProof/>
        </w:rPr>
        <w:t>(Balser, Lorey, Pilgramm, Stark, et al., 2014)</w:t>
      </w:r>
      <w:r w:rsidRPr="00341B41">
        <w:fldChar w:fldCharType="end"/>
      </w:r>
      <w:r w:rsidR="00C14EC4" w:rsidRPr="00341B41">
        <w:t xml:space="preserve">. </w:t>
      </w:r>
    </w:p>
    <w:p w14:paraId="583FF58C" w14:textId="02C528BC" w:rsidR="00C14EC4" w:rsidRPr="00341B41" w:rsidRDefault="00C14EC4" w:rsidP="00C14EC4">
      <w:pPr>
        <w:ind w:firstLine="720"/>
      </w:pPr>
      <w:r w:rsidRPr="00341B41">
        <w:t xml:space="preserve">Whilst these studies have made important insights into the neural correlates of action anticipation in athletes, there are a number of limitations to this research. Firstly, a number of the studies used uncorrected significance tests when inferring regional activation differences between groups </w:t>
      </w:r>
      <w:r w:rsidRPr="00341B41">
        <w:fldChar w:fldCharType="begin" w:fldLock="1"/>
      </w:r>
      <w:r w:rsidR="000849A7" w:rsidRPr="00341B41">
        <w:instrText>ADDIN CSL_CITATION { "citationItems" : [ { "id" : "ITEM-1",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"ITEM-1", "issue" : "2", "issued" : { "date-parts" : [ [ "2010", "1", "27" ] ] }, "page" : "94-8", "title" : "Functional MRI reveals expert-novice differences during sport-related anticipation.", "type" : "article-journal", "volume" : "21" }, "uris" : [ "http://www.mendeley.com/documents/?uuid=725596c1-c912-41b6-83c3-6d654c4bff23" ] }, { "id" : "ITEM-2",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"ITEM-2",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"ITEM-3", "itemData" : { "DOI" : "10.1111/j.1460-9568.2012.08104.x", "author" : [ { "dropping-particle" : "", "family" : "Abreu", "given" : "A M", "non-dropping-particle" : "", "parse-names" : false, "suffix" : "" }, { "dropping-particle" : "", "family" : "Macaluso", "given" : "E", "non-dropping-particle" : "", "parse-names" : false, "suffix" : "" }, { "dropping-particle" : "", "family" : "Azevedo", "given" : "R T", "non-dropping-particle" : "", "parse-names" : false, "suffix" : "" }, { "dropping-particle" : "", "family" : "Cesari", "given" : "P", "non-dropping-particle" : "", "parse-names" : false, "suffix" : "" }, { "dropping-particle" : "", "family" : "Urgesi", "given" : "C", "non-dropping-particle" : "", "parse-names" : false, "suffix" : "" }, { "dropping-particle" : "", "family" : "Aglioti", "given" : "S M", "non-dropping-particle" : "", "parse-names" : false, "suffix" : "" } ], "container-title" : "European Journal of Neuroscience", "id" : "ITEM-3", "issued" : { "date-parts" : [ [ "2012" ] ] }, "page" : "1646-1654", "title" : "Action anticipation beyond the action observation network : a functional magnetic resonance imaging study in expert basketball players", "type" : "article-journal", "volume" : "35" }, "uris" : [ "http://www.mendeley.com/documents/?uuid=15a1c74f-9fd4-42b3-93f4-377fad110826" ] }, { "id" : "ITEM-4",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"ITEM-4", "issue" : "819", "issued" : { "date-parts" : [ [ "2013", "1" ] ] }, "title" : "Using action observation to study superior motor performance: a pilot fMRI study.", "type" : "article-journal", "volume" : "7" }, "uris" : [ "http://www.mendeley.com/documents/?uuid=e1f8c226-7951-40e3-be78-1ab8a0624f37" ] } ], "mendeley" : { "formattedCitation" : "(Abreu et al., 2012; Olsson &amp; Lundstr\u00f6m, 2013; Wright et al., 2010, 2011)", "plainTextFormattedCitation" : "(Abreu et al., 2012; Olsson &amp; Lundstr\u00f6m, 2013; Wright et al., 2010, 2011)", "previouslyFormattedCitation" : "(Abreu et al., 2012; Olsson &amp; Lundstr\u00f6m, 2013; Wright et al., 2010, 2011)" }, "properties" : { "noteIndex" : 0 }, "schema" : "https://github.com/citation-style-language/schema/raw/master/csl-citation.json" }</w:instrText>
      </w:r>
      <w:r w:rsidRPr="00341B41">
        <w:fldChar w:fldCharType="separate"/>
      </w:r>
      <w:r w:rsidRPr="00341B41">
        <w:rPr>
          <w:noProof/>
        </w:rPr>
        <w:t>(Abreu et al., 2012; Olsson &amp; Lundström, 2013; Wright et al., 2010, 2011)</w:t>
      </w:r>
      <w:r w:rsidRPr="00341B41">
        <w:fldChar w:fldCharType="end"/>
      </w:r>
      <w:r w:rsidRPr="00341B41">
        <w:t xml:space="preserve">. This is problematic because of the risk of Type I errors i.e. false positives occurring in the data </w:t>
      </w:r>
      <w:r w:rsidRPr="00341B41">
        <w:fldChar w:fldCharType="begin" w:fldLock="1"/>
      </w:r>
      <w:r w:rsidRPr="00341B41">
        <w:instrText>ADDIN CSL_CITATION { "citationItems" : [ { "id" : "ITEM-1", "itemData" : { "DOI" : "10.1093/scan/nsp052", "ISBN" : "1749-5024 (Electronic)\\n1749-5016 (Linking)", "ISSN" : "17495016", "PMID" : "20035017", "abstract" : "Statistical thresholding (i.e. P-values) in fMRI research has become increasingly conservative over the past decade in an attempt to diminish Type I errors (i.e. false alarms) to a level traditionally allowed in behavioral science research. In this article, we examine the unintended negative consequences of this single-minded devotion to Type I errors: increased Type II errors (i.e. missing true effects), a bias toward studying large rather than small effects, a bias toward observing sensory and motor processes rather than complex cognitive and affective processes and deficient meta-analyses. Power analyses indicate that the reductions in acceptable P-values over time are producing dramatic increases in the Type II error rate. Moreover, the push for a mapwide false discovery rate (FDR) of 0.05 is based on the assumption that this is the FDR in most behavioral research; however, this is an inaccurate assessment of the conventions in actual behavioral research. We report simulations demonstrating that combined intensity and cluster size thresholds such as P &lt; 0.005 with a 10 voxel extent produce a desirable balance between Types I and II error rates. This joint threshold produces high but acceptable Type II error rates and produces a FDR that is comparable to the effective FDR in typical behavioral science articles (while a 20 voxel extent threshold produces an actual FDR of 0.05 with relatively common imaging parameters). We recommend a greater focus on replication and meta-analysis rather than emphasizing single studies as the unit of analysis for establishing scientific truth. From this perspective, Type I errors are self-erasing because they will not replicate, thus allowing for more lenient thresholding to avoid Type II errors.", "author" : [ { "dropping-particle" : "", "family" : "Lieberman", "given" : "Matthew D.", "non-dropping-particle" : "", "parse-names" : false, "suffix" : "" }, { "dropping-particle" : "", "family" : "Cunningham", "given" : "William A.", "non-dropping-particle" : "", "parse-names" : false, "suffix" : "" } ], "container-title" : "Social Cognitive and Affective Neuroscience", "id" : "ITEM-1", "issue" : "4", "issued" : { "date-parts" : [ [ "2009" ] ] }, "page" : "423-428", "title" : "Type I and Type II error concerns in fMRI research: Re-balancing the scale", "type" : "article-journal", "volume" : "4" }, "uris" : [ "http://www.mendeley.com/documents/?uuid=9c0d27af-cfc6-4318-b166-0fcbfaa4aeb4" ] } ], "mendeley" : { "formattedCitation" : "(Lieberman &amp; Cunningham, 2009)", "plainTextFormattedCitation" : "(Lieberman &amp; Cunningham, 2009)", "previouslyFormattedCitation" : "(Lieberman &amp; Cunningham, 2009)" }, "properties" : { "noteIndex" : 0 }, "schema" : "https://github.com/citation-style-language/schema/raw/master/csl-citation.json" }</w:instrText>
      </w:r>
      <w:r w:rsidRPr="00341B41">
        <w:fldChar w:fldCharType="separate"/>
      </w:r>
      <w:r w:rsidRPr="00341B41">
        <w:rPr>
          <w:noProof/>
        </w:rPr>
        <w:t>(Lieberman &amp; Cunningham, 2009)</w:t>
      </w:r>
      <w:r w:rsidRPr="00341B41">
        <w:fldChar w:fldCharType="end"/>
      </w:r>
      <w:r w:rsidRPr="00341B41">
        <w:t xml:space="preserve">. </w:t>
      </w:r>
    </w:p>
    <w:p w14:paraId="13CD20EB" w14:textId="207999F6" w:rsidR="00C14EC4" w:rsidRPr="00341B41" w:rsidRDefault="00C14EC4" w:rsidP="00C14EC4">
      <w:pPr>
        <w:ind w:firstLine="720"/>
      </w:pPr>
      <w:r w:rsidRPr="00341B41">
        <w:t xml:space="preserve">A second limitation was discussed in a review </w:t>
      </w:r>
      <w:r w:rsidR="002C7C46" w:rsidRPr="00341B41">
        <w:t>of the literature by Smith (2015</w:t>
      </w:r>
      <w:r w:rsidRPr="00341B41">
        <w:t xml:space="preserve">). They were critical of the fact that many studies make conclusions that go beyond the observed data, and many studies were not adequately driven by theory </w:t>
      </w:r>
      <w:r w:rsidRPr="00341B41">
        <w:fldChar w:fldCharType="begin" w:fldLock="1"/>
      </w:r>
      <w:r w:rsidR="00907792" w:rsidRPr="00341B41">
        <w:instrText>ADDIN CSL_CITATION { "citationItems" : [ { "id" : "ITEM-1", "itemData" : { "DOI" : "10.1016/j.neubiorev.2015.11.007", "ISBN" : "4018742193", "ISSN" : "01497634", "PMID" : "26616736", "abstract" : "The purpose of this study was to provide a systematic review of action anticipation studies using functional neuroimaging or brain stimulation during a sport-specific anticipation task. A total of 15 studies from 2008 to 2014 were evaluated and are reported in four sections: expert-novice samples, action anticipation tasks, neuroimaging and stimulation techniques, and key findings. Investigators examined a wide range of action anticipation scenarios specific to eight different sports and utilized functional magnetic resonance imaging (fMRI), electroencephalogram (EEG), and transcranial magnetic stimulation (TMS). Expert-novice comparisons were commonly used to investigate differences in action anticipation performance and neurophysiology. Experts tended to outperform novices, and an extensive array of brain structures were reported to be involved differently for experts and novices during action anticipation. However, these neurophysiological findings were generally inconsistent across the studies reviewed. The discussion focuses on strengths and four key limitations. The conclusion posits remaining questions and recommendations for future research.", "author" : [ { "dropping-particle" : "", "family" : "Smith", "given" : "Daniel M.", "non-dropping-particle" : "", "parse-names" : false, "suffix" : "" } ], "container-title" : "Neuroscience and Biobehavioural Reviews", "id" : "ITEM-1", "issued" : { "date-parts" : [ [ "2015" ] ] }, "page" : "115-120", "publisher" : "Elsevier Ltd", "title" : "Neurophysiology of action anticipation in athletes: A systematic review", "type" : "article-journal", "volume" : "60" }, "uris" : [ "http://www.mendeley.com/documents/?uuid=f9764006-7473-47c4-95ab-7ee1197852d5" ] } ], "mendeley" : { "formattedCitation" : "(Smith, 2015)", "plainTextFormattedCitation" : "(Smith, 2015)", "previouslyFormattedCitation" : "(Smith, 2015)" }, "properties" : { "noteIndex" : 0 }, "schema" : "https://github.com/citation-style-language/schema/raw/master/csl-citation.json" }</w:instrText>
      </w:r>
      <w:r w:rsidRPr="00341B41">
        <w:fldChar w:fldCharType="separate"/>
      </w:r>
      <w:r w:rsidR="00384056" w:rsidRPr="00341B41">
        <w:rPr>
          <w:noProof/>
        </w:rPr>
        <w:t>(Smith, 2015)</w:t>
      </w:r>
      <w:r w:rsidRPr="00341B41">
        <w:fldChar w:fldCharType="end"/>
      </w:r>
      <w:r w:rsidRPr="00341B41">
        <w:t>. For instance, although the AON was consistently implicated in expert action anticipation, a whole range of</w:t>
      </w:r>
      <w:r w:rsidR="00CC15CF" w:rsidRPr="00341B41">
        <w:t xml:space="preserve"> other</w:t>
      </w:r>
      <w:r w:rsidRPr="00341B41">
        <w:t xml:space="preserve"> brain areas were</w:t>
      </w:r>
      <w:r w:rsidR="00CC15CF" w:rsidRPr="00341B41">
        <w:t xml:space="preserve"> also</w:t>
      </w:r>
      <w:r w:rsidRPr="00341B41">
        <w:t xml:space="preserve"> implicated, including frontal, temporal, occipital, and sub-cortical regions. Furthermore, Smith’s review found that no single brain structure was identified to be related to expert action anticipation across more than half of </w:t>
      </w:r>
      <w:r w:rsidRPr="00341B41">
        <w:lastRenderedPageBreak/>
        <w:t xml:space="preserve">the studies. Many studies employed whole-brain analyses without adequate hypotheses regarding the expected differences in the regions involved </w:t>
      </w:r>
      <w:r w:rsidRPr="00341B41">
        <w:fldChar w:fldCharType="begin" w:fldLock="1"/>
      </w:r>
      <w:r w:rsidR="00907792" w:rsidRPr="00341B41">
        <w:instrText>ADDIN CSL_CITATION { "citationItems" : [ { "id" : "ITEM-1", "itemData" : { "DOI" : "10.1016/j.neubiorev.2015.11.007", "ISBN" : "4018742193", "ISSN" : "01497634", "PMID" : "26616736", "abstract" : "The purpose of this study was to provide a systematic review of action anticipation studies using functional neuroimaging or brain stimulation during a sport-specific anticipation task. A total of 15 studies from 2008 to 2014 were evaluated and are reported in four sections: expert-novice samples, action anticipation tasks, neuroimaging and stimulation techniques, and key findings. Investigators examined a wide range of action anticipation scenarios specific to eight different sports and utilized functional magnetic resonance imaging (fMRI), electroencephalogram (EEG), and transcranial magnetic stimulation (TMS). Expert-novice comparisons were commonly used to investigate differences in action anticipation performance and neurophysiology. Experts tended to outperform novices, and an extensive array of brain structures were reported to be involved differently for experts and novices during action anticipation. However, these neurophysiological findings were generally inconsistent across the studies reviewed. The discussion focuses on strengths and four key limitations. The conclusion posits remaining questions and recommendations for future research.", "author" : [ { "dropping-particle" : "", "family" : "Smith", "given" : "Daniel M.", "non-dropping-particle" : "", "parse-names" : false, "suffix" : "" } ], "container-title" : "Neuroscience and Biobehavioural Reviews", "id" : "ITEM-1", "issued" : { "date-parts" : [ [ "2015" ] ] }, "page" : "115-120", "publisher" : "Elsevier Ltd", "title" : "Neurophysiology of action anticipation in athletes: A systematic review", "type" : "article-journal", "volume" : "60" }, "uris" : [ "http://www.mendeley.com/documents/?uuid=f9764006-7473-47c4-95ab-7ee1197852d5" ] } ], "mendeley" : { "formattedCitation" : "(Smith, 2015)", "plainTextFormattedCitation" : "(Smith, 2015)", "previouslyFormattedCitation" : "(Smith, 2015)" }, "properties" : { "noteIndex" : 0 }, "schema" : "https://github.com/citation-style-language/schema/raw/master/csl-citation.json" }</w:instrText>
      </w:r>
      <w:r w:rsidRPr="00341B41">
        <w:fldChar w:fldCharType="separate"/>
      </w:r>
      <w:r w:rsidR="00384056" w:rsidRPr="00341B41">
        <w:rPr>
          <w:noProof/>
        </w:rPr>
        <w:t>(Smith, 2015)</w:t>
      </w:r>
      <w:r w:rsidRPr="00341B41">
        <w:fldChar w:fldCharType="end"/>
      </w:r>
      <w:r w:rsidRPr="00341B41">
        <w:t xml:space="preserve">. </w:t>
      </w:r>
    </w:p>
    <w:p w14:paraId="7F84A60B" w14:textId="409B578B" w:rsidR="0038461F" w:rsidRPr="00341B41" w:rsidRDefault="00C14EC4" w:rsidP="00C14EC4">
      <w:pPr>
        <w:ind w:firstLine="720"/>
      </w:pPr>
      <w:r w:rsidRPr="00341B41">
        <w:t xml:space="preserve">These methodological limitations may have contributed to some contradictory findings being reported. For instance, pre-frontal regions were found to show stronger activations in experts in some studies </w:t>
      </w:r>
      <w:r w:rsidRPr="00341B41">
        <w:fldChar w:fldCharType="begin" w:fldLock="1"/>
      </w:r>
      <w:r w:rsidR="000849A7" w:rsidRPr="00341B41">
        <w:instrText>ADDIN CSL_CITATION { "citationItems" : [ { "id" : "ITEM-1",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"ITEM-1", "issue" : "2", "issued" : { "date-parts" : [ [ "2010", "1", "27" ] ] }, "page" : "94-8", "title" : "Functional MRI reveals expert-novice differences during sport-related anticipation.", "type" : "article-journal", "volume" : "21" }, "uris" : [ "http://www.mendeley.com/documents/?uuid=725596c1-c912-41b6-83c3-6d654c4bff23" ] }, { "id" : "ITEM-2",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"ITEM-2",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"ITEM-3",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"ITEM-3",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"(Wright et al., 2010, 2011, 2013)", "plainTextFormattedCitation" : "(Wright et al., 2010, 2011, 2013)", "previouslyFormattedCitation" : "(Wright et al., 2010, 2011, 2013)" }, "properties" : { "noteIndex" : 0 }, "schema" : "https://github.com/citation-style-language/schema/raw/master/csl-citation.json" }</w:instrText>
      </w:r>
      <w:r w:rsidRPr="00341B41">
        <w:fldChar w:fldCharType="separate"/>
      </w:r>
      <w:r w:rsidRPr="00341B41">
        <w:rPr>
          <w:noProof/>
        </w:rPr>
        <w:t>(Wright et al., 2010, 2011, 2013)</w:t>
      </w:r>
      <w:r w:rsidRPr="00341B41">
        <w:fldChar w:fldCharType="end"/>
      </w:r>
      <w:r w:rsidRPr="00341B41">
        <w:t xml:space="preserve">, whilst other studies show stronger activations in novices </w:t>
      </w:r>
      <w:r w:rsidRPr="00341B41">
        <w:fldChar w:fldCharType="begin" w:fldLock="1"/>
      </w:r>
      <w:r w:rsidR="000849A7" w:rsidRPr="00341B41">
        <w:instrText>ADDIN CSL_CITATION { "citationItems" : [ { "id" : "ITEM-1", "itemData" : { "DOI" : "10.1111/j.1460-9568.2012.08104.x", "author" : [ { "dropping-particle" : "", "family" : "Abreu", "given" : "A M", "non-dropping-particle" : "", "parse-names" : false, "suffix" : "" }, { "dropping-particle" : "", "family" : "Macaluso", "given" : "E", "non-dropping-particle" : "", "parse-names" : false, "suffix" : "" }, { "dropping-particle" : "", "family" : "Azevedo", "given" : "R T", "non-dropping-particle" : "", "parse-names" : false, "suffix" : "" }, { "dropping-particle" : "", "family" : "Cesari", "given" : "P", "non-dropping-particle" : "", "parse-names" : false, "suffix" : "" }, { "dropping-particle" : "", "family" : "Urgesi", "given" : "C", "non-dropping-particle" : "", "parse-names" : false, "suffix" : "" }, { "dropping-particle" : "", "family" : "Aglioti", "given" : "S M", "non-dropping-particle" : "", "parse-names" : false, "suffix" : "" } ], "container-title" : "European Journal of Neuroscience", "id" : "ITEM-1", "issued" : { "date-parts" : [ [ "2012" ] ] }, "page" : "1646-1654", "title" : "Action anticipation beyond the action observation network : a functional magnetic resonance imaging study in expert basketball players", "type" : "article-journal", "volume" : "35" }, "uris" : [ "http://www.mendeley.com/documents/?uuid=15a1c74f-9fd4-42b3-93f4-377fad110826" ] }, { "id" : "ITEM-2",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"ITEM-2", "issue" : "819", "issued" : { "date-parts" : [ [ "2013", "1" ] ] }, "title" : "Using action observation to study superior motor performance: a pilot fMRI study.", "type" : "article-journal", "volume" : "7" }, "uris" : [ "http://www.mendeley.com/documents/?uuid=e1f8c226-7951-40e3-be78-1ab8a0624f37" ] } ], "mendeley" : { "formattedCitation" : "(Abreu et al., 2012; Olsson &amp; Lundstr\u00f6m, 2013)", "plainTextFormattedCitation" : "(Abreu et al., 2012; Olsson &amp; Lundstr\u00f6m, 2013)", "previouslyFormattedCitation" : "(Abreu et al., 2012; Olsson &amp; Lundstr\u00f6m, 2013)" }, "properties" : { "noteIndex" : 0 }, "schema" : "https://github.com/citation-style-language/schema/raw/master/csl-citation.json" }</w:instrText>
      </w:r>
      <w:r w:rsidRPr="00341B41">
        <w:fldChar w:fldCharType="separate"/>
      </w:r>
      <w:r w:rsidRPr="00341B41">
        <w:rPr>
          <w:noProof/>
        </w:rPr>
        <w:t>(Abreu et al., 2012; Olsson &amp; Lundström, 2013)</w:t>
      </w:r>
      <w:r w:rsidRPr="00341B41">
        <w:fldChar w:fldCharType="end"/>
      </w:r>
      <w:r w:rsidRPr="00341B41">
        <w:t xml:space="preserve">. Similar findings were reported with respect to the visual cortex </w:t>
      </w:r>
      <w:r w:rsidRPr="00341B41">
        <w:fldChar w:fldCharType="begin" w:fldLock="1"/>
      </w:r>
      <w:r w:rsidR="000849A7" w:rsidRPr="00341B41">
        <w:instrText>ADDIN CSL_CITATION { "citationItems" : [ { "id" : "ITEM-1", "itemData" : { "ISSN" : "1543-2904", "PMID" : "23404883", "abstract" : "The aim of this study was to examine the neural bases for perceptual-cognitive superiority in a soccer anticipation task using functional magnetic resonance imaging (fMRI). Thirty-nine participants lay in an MRI scanner while performing a video-based task in which they predicted an oncoming opponent's movements. Video clips were occluded at four time points, and participants were grouped according to in-task performance. Early occlusion reduced prediction accuracy significantly for all participants, as did the opponent's execution of a deceptive maneuver; however, high-skill participants were significantly more accurate than their low-skill counterparts under deceptive conditions. This perceptual-cognitive superiority was associated with greater activation of cortical and subcortical structures involved in executive function and oculomotor control. The contributions of the present findings to an existing neural model of anticipation in sport are highlighted.", "author" : [ { "dropping-particle" : "", "family" : "Bishop", "given" : "Daniel T", "non-dropping-particle" : "", "parse-names" : false, "suffix" : "" }, { "dropping-particle" : "", "family" : "Wright", "given" : "Michael J", "non-dropping-particle" : "", "parse-names" : false, "suffix" : "" }, { "dropping-particle" : "", "family" : "Jackson", "given" : "Robin C", "non-dropping-particle" : "", "parse-names" : false, "suffix" : "" }, { "dropping-particle" : "", "family" : "Abernethy", "given" : "Bruce", "non-dropping-particle" : "", "parse-names" : false, "suffix" : "" } ], "container-title" : "Journal of Sport and Exercise Psychology", "id" : "ITEM-1", "issue" : "1", "issued" : { "date-parts" : [ [ "2013", "2" ] ] }, "page" : "98-109", "title" : "Neural bases for anticipation skill in soccer: an FMRI study.", "type" : "article-journal", "volume" : "35" }, "uris" : [ "http://www.mendeley.com/documents/?uuid=69ed83ce-3f40-4be2-a5fd-e55e3e631108" ] }, { "id" : "ITEM-2", "itemData" : { "DOI" : "10.1371/journal.pone.0064195", "ISSN" : "1932-6203", "PMID" : "23704980", "abstract" : "Generating predictions during action observation is essential for efficient navigation through our social environment. With age, the sensitivity in action prediction declines. In younger adults, the action observation network (AON), consisting of premotor, parietal and occipitotemporal cortices, has been implicated in transforming executed and observed actions into a common code. Much less is known about age-related changes in the neural representation of observed actions. Using fMRI, the present study measured brain activity in younger and older adults during the prediction of temporarily occluded actions (figure skating elements and simple movement exercises). All participants were highly familiar with the movement exercises whereas only some participants were experienced figure skaters. With respect to the AON, the results confirm that this network was preferentially engaged for the more familiar movement exercises. Compared to younger adults, older adults recruited visual regions to perform the task and, additionally, the hippocampus and caudate when the observed actions were familiar to them. Thus, instead of effectively exploiting the sensorimotor matching properties of the AON, older adults seemed to rely predominantly on the visual dynamics of the observed actions to perform the task. Our data further suggest that the caudate played an important role during the prediction of the less familiar figure skating elements in better-performing groups. Together, these findings show that action prediction engages a distributed network in the brain, which is modulated by the content of the observed actions and the age and experience of the observer.", "author" : [ { "dropping-particle" : "", "family" : "Diersch", "given" : "Nadine", "non-dropping-particle" : "", "parse-names" : false, "suffix" : "" }, { "dropping-particle" : "", "family" : "Mueller", "given" : "Karsten", "non-dropping-particle" : "", "parse-names" : false, "suffix" : "" }, { "dropping-particle" : "", "family" : "Cross", "given" : "Emily S", "non-dropping-particle" : "", "parse-names" : false, "suffix" : "" }, { "dropping-particle" : "", "family" : "Stadler", "given" : "Waltraud", "non-dropping-particle" : "", "parse-names" : false, "suffix" : "" }, { "dropping-particle" : "", "family" : "Rieger", "given" : "Martina", "non-dropping-particle" : "", "parse-names" : false, "suffix" : "" }, { "dropping-particle" : "", "family" : "Sch\u00fctz-Bosbach", "given" : "Simone", "non-dropping-particle" : "", "parse-names" : false, "suffix" : "" } ], "container-title" : "PLoS ONE", "id" : "ITEM-2", "issue" : "5", "issued" : { "date-parts" : [ [ "2013", "1" ] ] }, "page" : "e64195", "title" : "Action prediction in younger versus older adults: neural correlates of motor familiarity.", "type" : "article-journal", "volume" : "8" }, "uris" : [ "http://www.mendeley.com/documents/?uuid=61db7098-a1c4-4432-bc01-08c3b44e8362" ] }, { "id" : "ITEM-3",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"ITEM-3", "issue" : "819", "issued" : { "date-parts" : [ [ "2013", "1" ] ] }, "title" : "Using action observation to study superior motor performance: a pilot fMRI study.", "type" : "article-journal", "volume" : "7" }, "uris" : [ "http://www.mendeley.com/documents/?uuid=e1f8c226-7951-40e3-be78-1ab8a0624f37" ] } ], "mendeley" : { "formattedCitation" : "(Bishop et al., 2013; Diersch et al., 2013; Olsson &amp; Lundstr\u00f6m, 2013)", "plainTextFormattedCitation" : "(Bishop et al., 2013; Diersch et al., 2013; Olsson &amp; Lundstr\u00f6m, 2013)", "previouslyFormattedCitation" : "(Bishop et al., 2013; Diersch et al., 2013; Olsson &amp; Lundstr\u00f6m, 2013)" }, "properties" : { "noteIndex" : 0 }, "schema" : "https://github.com/citation-style-language/schema/raw/master/csl-citation.json" }</w:instrText>
      </w:r>
      <w:r w:rsidRPr="00341B41">
        <w:fldChar w:fldCharType="separate"/>
      </w:r>
      <w:r w:rsidRPr="00341B41">
        <w:rPr>
          <w:noProof/>
        </w:rPr>
        <w:t>(Bishop et al., 2013; Diersch et al., 2013; Olsson &amp; Lundström, 2013)</w:t>
      </w:r>
      <w:r w:rsidRPr="00341B41">
        <w:fldChar w:fldCharType="end"/>
      </w:r>
      <w:r w:rsidRPr="00341B41">
        <w:t xml:space="preserve">. Claims about the meanings of these results are also not consistent between studies. For example, in one study that found greater activation in the visual cortex in experts, this finding was explained as being due to expert player’s superior reading of the observed kinematics </w:t>
      </w:r>
      <w:r w:rsidRPr="00341B41">
        <w:fldChar w:fldCharType="begin" w:fldLock="1"/>
      </w:r>
      <w:r w:rsidRPr="00341B41">
        <w:instrText>ADDIN CSL_CITATION { "citationItems" : [ { "id" : "ITEM-1", "itemData" : { "DOI" : "10.1111/j.1460-9568.2012.08104.x", "author" : [ { "dropping-particle" : "", "family" : "Abreu", "given" : "A M", "non-dropping-particle" : "", "parse-names" : false, "suffix" : "" }, { "dropping-particle" : "", "family" : "Macaluso", "given" : "E", "non-dropping-particle" : "", "parse-names" : false, "suffix" : "" }, { "dropping-particle" : "", "family" : "Azevedo", "given" : "R T", "non-dropping-particle" : "", "parse-names" : false, "suffix" : "" }, { "dropping-particle" : "", "family" : "Cesari", "given" : "P", "non-dropping-particle" : "", "parse-names" : false, "suffix" : "" }, { "dropping-particle" : "", "family" : "Urgesi", "given" : "C", "non-dropping-particle" : "", "parse-names" : false, "suffix" : "" }, { "dropping-particle" : "", "family" : "Aglioti", "given" : "S M", "non-dropping-particle" : "", "parse-names" : false, "suffix" : "" } ], "container-title" : "European Journal of Neuroscience", "id" : "ITEM-1", "issued" : { "date-parts" : [ [ "2012" ] ] }, "page" : "1646-1654", "title" : "Action anticipation beyond the action observation network : a functional magnetic resonance imaging study in expert basketball players", "type" : "article-journal", "volume" : "35" }, "uris" : [ "http://www.mendeley.com/documents/?uuid=15a1c74f-9fd4-42b3-93f4-377fad110826" ] } ], "mendeley" : { "formattedCitation" : "(Abreu et al., 2012)", "plainTextFormattedCitation" : "(Abreu et al., 2012)", "previouslyFormattedCitation" : "(Abreu et al., 2012)" }, "properties" : { "noteIndex" : 0 }, "schema" : "https://github.com/citation-style-language/schema/raw/master/csl-citation.json" }</w:instrText>
      </w:r>
      <w:r w:rsidRPr="00341B41">
        <w:fldChar w:fldCharType="separate"/>
      </w:r>
      <w:r w:rsidRPr="00341B41">
        <w:rPr>
          <w:noProof/>
        </w:rPr>
        <w:t>(Abreu et al., 2012)</w:t>
      </w:r>
      <w:r w:rsidRPr="00341B41">
        <w:fldChar w:fldCharType="end"/>
      </w:r>
      <w:r w:rsidRPr="00341B41">
        <w:t xml:space="preserve">. However, in another study that found reduced visual cortex activity in experts, it was suggested as being due to the experts not having to rely on a visual search strategy </w:t>
      </w:r>
      <w:r w:rsidRPr="00341B41">
        <w:fldChar w:fldCharType="begin" w:fldLock="1"/>
      </w:r>
      <w:r w:rsidR="000849A7" w:rsidRPr="00341B41">
        <w:instrText>ADDIN CSL_CITATION { "citationItems" : [ { "id" : "ITEM-1",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"ITEM-1", "issue" : "819", "issued" : { "date-parts" : [ [ "2013", "1" ] ] }, "title" : "Using action observation to study superior motor performance: a pilot fMRI study.", "type" : "article-journal", "volume" : "7" }, "uris" : [ "http://www.mendeley.com/documents/?uuid=e1f8c226-7951-40e3-be78-1ab8a0624f37" ] } ], "mendeley" : { "formattedCitation" : "(Olsson &amp; Lundstr\u00f6m, 2013)", "plainTextFormattedCitation" : "(Olsson &amp; Lundstr\u00f6m, 2013)", "previouslyFormattedCitation" : "(Olsson &amp; Lundstr\u00f6m, 2013)" }, "properties" : { "noteIndex" : 0 }, "schema" : "https://github.com/citation-style-language/schema/raw/master/csl-citation.json" }</w:instrText>
      </w:r>
      <w:r w:rsidRPr="00341B41">
        <w:fldChar w:fldCharType="separate"/>
      </w:r>
      <w:r w:rsidRPr="00341B41">
        <w:rPr>
          <w:noProof/>
        </w:rPr>
        <w:t>(Olsson &amp; Lundström, 2013)</w:t>
      </w:r>
      <w:r w:rsidRPr="00341B41">
        <w:fldChar w:fldCharType="end"/>
      </w:r>
      <w:r w:rsidRPr="00341B41">
        <w:t xml:space="preserve">. The exploratory nature of many of these studies, i.e. using whole brain analyses often without clear hypotheses, could be contributing to this issue </w:t>
      </w:r>
      <w:r w:rsidRPr="00341B41">
        <w:fldChar w:fldCharType="begin" w:fldLock="1"/>
      </w:r>
      <w:r w:rsidR="00907792" w:rsidRPr="00341B41">
        <w:instrText>ADDIN CSL_CITATION { "citationItems" : [ { "id" : "ITEM-1", "itemData" : { "DOI" : "10.1016/j.neubiorev.2015.11.007", "ISBN" : "4018742193", "ISSN" : "01497634", "PMID" : "26616736", "abstract" : "The purpose of this study was to provide a systematic review of action anticipation studies using functional neuroimaging or brain stimulation during a sport-specific anticipation task. A total of 15 studies from 2008 to 2014 were evaluated and are reported in four sections: expert-novice samples, action anticipation tasks, neuroimaging and stimulation techniques, and key findings. Investigators examined a wide range of action anticipation scenarios specific to eight different sports and utilized functional magnetic resonance imaging (fMRI), electroencephalogram (EEG), and transcranial magnetic stimulation (TMS). Expert-novice comparisons were commonly used to investigate differences in action anticipation performance and neurophysiology. Experts tended to outperform novices, and an extensive array of brain structures were reported to be involved differently for experts and novices during action anticipation. However, these neurophysiological findings were generally inconsistent across the studies reviewed. The discussion focuses on strengths and four key limitations. The conclusion posits remaining questions and recommendations for future research.", "author" : [ { "dropping-particle" : "", "family" : "Smith", "given" : "Daniel M.", "non-dropping-particle" : "", "parse-names" : false, "suffix" : "" } ], "container-title" : "Neuroscience and Biobehavioural Reviews", "id" : "ITEM-1", "issued" : { "date-parts" : [ [ "2015" ] ] }, "page" : "115-120", "publisher" : "Elsevier Ltd", "title" : "Neurophysiology of action anticipation in athletes: A systematic review", "type" : "article-journal", "volume" : "60" }, "uris" : [ "http://www.mendeley.com/documents/?uuid=f9764006-7473-47c4-95ab-7ee1197852d5" ] } ], "mendeley" : { "formattedCitation" : "(Smith, 2015)", "plainTextFormattedCitation" : "(Smith, 2015)", "previouslyFormattedCitation" : "(Smith, 2015)" }, "properties" : { "noteIndex" : 0 }, "schema" : "https://github.com/citation-style-language/schema/raw/master/csl-citation.json" }</w:instrText>
      </w:r>
      <w:r w:rsidRPr="00341B41">
        <w:fldChar w:fldCharType="separate"/>
      </w:r>
      <w:r w:rsidR="00384056" w:rsidRPr="00341B41">
        <w:rPr>
          <w:noProof/>
        </w:rPr>
        <w:t>(Smith, 2015)</w:t>
      </w:r>
      <w:r w:rsidRPr="00341B41">
        <w:fldChar w:fldCharType="end"/>
      </w:r>
      <w:r w:rsidRPr="00341B41">
        <w:t>.</w:t>
      </w:r>
      <w:r w:rsidR="0038461F" w:rsidRPr="00341B41">
        <w:t xml:space="preserve"> </w:t>
      </w:r>
    </w:p>
    <w:p w14:paraId="0847F6AC" w14:textId="4316ACA4" w:rsidR="00C14EC4" w:rsidRPr="00341B41" w:rsidRDefault="0038461F" w:rsidP="00C14EC4">
      <w:pPr>
        <w:ind w:firstLine="720"/>
      </w:pPr>
      <w:r w:rsidRPr="00341B41">
        <w:t xml:space="preserve">As well as </w:t>
      </w:r>
      <w:r w:rsidR="00BF0762" w:rsidRPr="00341B41">
        <w:t>these limitations, Smith’s (2015</w:t>
      </w:r>
      <w:r w:rsidRPr="00341B41">
        <w:t>) review revealed that very little research into expert anticipation has been conducted using electroencephalography (EEG). However, EEG represents an alternative method to studying brain function that offers a number of advantages over fMRI in studying the neural basis of action anticipation.</w:t>
      </w:r>
    </w:p>
    <w:p w14:paraId="02B6A62D" w14:textId="28466FD6" w:rsidR="0038461F" w:rsidRPr="00341B41" w:rsidRDefault="0038461F" w:rsidP="0038461F">
      <w:pPr>
        <w:pStyle w:val="Heading2"/>
      </w:pPr>
      <w:bookmarkStart w:id="28" w:name="_Toc486260844"/>
      <w:r w:rsidRPr="00341B41">
        <w:t>1.8.</w:t>
      </w:r>
      <w:r w:rsidRPr="00341B41">
        <w:tab/>
        <w:t>Studying action anticipation using EEG</w:t>
      </w:r>
      <w:bookmarkEnd w:id="28"/>
    </w:p>
    <w:p w14:paraId="3D7DDFFA" w14:textId="77777777" w:rsidR="00CE45B9" w:rsidRPr="00341B41" w:rsidRDefault="0038461F" w:rsidP="00CE45B9">
      <w:r w:rsidRPr="00341B41">
        <w:t xml:space="preserve">EEG records the potentials that arise from the temporal and spatial summation of post-synaptic potentials from large populations of cortical pyramidal neurons. These potential </w:t>
      </w:r>
      <w:r w:rsidRPr="00341B41">
        <w:lastRenderedPageBreak/>
        <w:t>differences can be measured via electrodes placed on the scalp. This differs from fMRI which measures neural activity indirectly via changes in blood oxygenation. Because of this, fMRI has a poor temporal resolution; in the magnitude of seconds, whereas EEG can detect changes in brain activity in the order of milliseconds. This is important for the study of action anticipation in sports, because the anticipatory window available for athletes in which they must understand the intention of an opponent based on their kinematics is very short, around 1-1.5 seconds. Therefore, to understand the temporal dynamics of brain activity ongoing during this crucial period of rapid action understanding, EEG provides a clear enough temporal resolution to achieve this, giving it an inherent advantage over fMRI in this particular research topic.</w:t>
      </w:r>
      <w:r w:rsidR="001A0B60" w:rsidRPr="00341B41">
        <w:t xml:space="preserve"> </w:t>
      </w:r>
    </w:p>
    <w:p w14:paraId="48DBAA30" w14:textId="21065C0E" w:rsidR="00CE45B9" w:rsidRPr="00341B41" w:rsidRDefault="001A0B60" w:rsidP="00CE45B9">
      <w:pPr>
        <w:ind w:firstLine="720"/>
      </w:pPr>
      <w:r w:rsidRPr="00341B41">
        <w:t xml:space="preserve">A second relative advantage of EEG over fMRI is that EEG is lightweight and portable, and has the potential to be used as a mobile brain recording device, something not possible with fMRI. It has been suggested that EEG may potentially be used as a device to record brain activity during sporting tasks </w:t>
      </w:r>
      <w:r w:rsidRPr="00341B41">
        <w:fldChar w:fldCharType="begin" w:fldLock="1"/>
      </w:r>
      <w:r w:rsidRPr="00341B41">
        <w:instrText>ADDIN CSL_CITATION { "citationItems" : [ { "id" : "ITEM-1", "itemData" : { "DOI" : "10.1016/j.neubiorev.2015.02.014", "ISSN" : "01497634", "author" : [ { "dropping-particle" : "", "family" : "Park", "given" : "Joanne L.", "non-dropping-particle" : "", "parse-names" : false, "suffix" : "" }, { "dropping-particle" : "", "family" : "Fairweather", "given" : "Malcolm M.", "non-dropping-particle" : "", "parse-names" : false, "suffix" : "" }, { "dropping-particle" : "", "family" : "Donaldson", "given" : "David I.", "non-dropping-particle" : "", "parse-names" : false, "suffix" : "" } ], "container-title" : "Neuroscience and Biobehavioural Reviews", "id" : "ITEM-1", "issued" : { "date-parts" : [ [ "2015" ] ] }, "page" : "117-130", "publisher" : "Elsevier Ltd", "title" : "Making the case for mobile cognition: EEG and sports performance", "type" : "article-journal", "volume" : "52" }, "uris" : [ "http://www.mendeley.com/documents/?uuid=19bd5e2c-fa52-4042-9962-ea2e1f01e996" ] } ], "mendeley" : { "formattedCitation" : "(J. L. Park, Fairweather, &amp; Donaldson, 2015)", "manualFormatting" : "(Park, Fairweather, &amp; Donaldson, 2015)", "plainTextFormattedCitation" : "(J. L. Park, Fairweather, &amp; Donaldson, 2015)", "previouslyFormattedCitation" : "(J. L. Park, Fairweather, &amp; Donaldson, 2015)" }, "properties" : { "noteIndex" : 0 }, "schema" : "https://github.com/citation-style-language/schema/raw/master/csl-citation.json" }</w:instrText>
      </w:r>
      <w:r w:rsidRPr="00341B41">
        <w:fldChar w:fldCharType="separate"/>
      </w:r>
      <w:r w:rsidRPr="00341B41">
        <w:rPr>
          <w:noProof/>
        </w:rPr>
        <w:t>(Park, Fairweather, &amp; Donaldson, 2015)</w:t>
      </w:r>
      <w:r w:rsidRPr="00341B41">
        <w:fldChar w:fldCharType="end"/>
      </w:r>
      <w:r w:rsidRPr="00341B41">
        <w:t xml:space="preserve">. The importance of this is that it makes the application of laboratory based EEG studies to real-world tasks and skills easier, and in the future it will be possible to test theories developed through experimental work in more realistic settings </w:t>
      </w:r>
      <w:r w:rsidRPr="00341B41">
        <w:fldChar w:fldCharType="begin" w:fldLock="1"/>
      </w:r>
      <w:r w:rsidRPr="00341B41">
        <w:instrText>ADDIN CSL_CITATION { "citationItems" : [ { "id" : "ITEM-1", "itemData" : { "DOI" : "10.1016/j.cub.2014.08.003", "ISSN" : "09609822", "author" : [ { "dropping-particle" : "", "family" : "Walsh", "given" : "Vincent", "non-dropping-particle" : "", "parse-names" : false, "suffix" : "" } ], "container-title" : "Current Biology", "id" : "ITEM-1", "issue" : "18", "issued" : { "date-parts" : [ [ "2014", "9" ] ] }, "page" : "R859-R860", "publisher" : "Elsevier", "title" : "Is sport the brain\u2019s biggest challenge?", "type" : "article-journal", "volume" : "24" }, "uris" : [ "http://www.mendeley.com/documents/?uuid=571edec4-886d-4564-b096-000884731081" ] } ], "mendeley" : { "formattedCitation" : "(Walsh, 2014)", "plainTextFormattedCitation" : "(Walsh, 2014)", "previouslyFormattedCitation" : "(Walsh, 2014)" }, "properties" : { "noteIndex" : 0 }, "schema" : "https://github.com/citation-style-language/schema/raw/master/csl-citation.json" }</w:instrText>
      </w:r>
      <w:r w:rsidRPr="00341B41">
        <w:fldChar w:fldCharType="separate"/>
      </w:r>
      <w:r w:rsidRPr="00341B41">
        <w:rPr>
          <w:noProof/>
        </w:rPr>
        <w:t>(Walsh, 2014)</w:t>
      </w:r>
      <w:r w:rsidRPr="00341B41">
        <w:fldChar w:fldCharType="end"/>
      </w:r>
      <w:r w:rsidRPr="00341B41">
        <w:t>.</w:t>
      </w:r>
      <w:r w:rsidR="00CE45B9" w:rsidRPr="00341B41">
        <w:t xml:space="preserve"> </w:t>
      </w:r>
    </w:p>
    <w:p w14:paraId="2A25D400" w14:textId="77777777" w:rsidR="00CE45B9" w:rsidRPr="00341B41" w:rsidRDefault="00CE45B9" w:rsidP="00CE45B9">
      <w:pPr>
        <w:ind w:firstLine="720"/>
      </w:pPr>
      <w:r w:rsidRPr="00341B41">
        <w:t xml:space="preserve">To date, only two EEG studies have investigated expert action anticipation, and neither have looked at the possible role of the motor system in this skill. In one study, it was shown that expert badminton players show a larger and earlier P300 event-related potential (ERP) component, meaning a positive deflection occurring approximately 300ms after stimulus, compared to novices during an anticipation task </w:t>
      </w:r>
      <w:r w:rsidRPr="00341B41">
        <w:fldChar w:fldCharType="begin" w:fldLock="1"/>
      </w:r>
      <w:r w:rsidRPr="00341B41">
        <w:instrText>ADDIN CSL_CITATION { "citationItems" : [ { "id" : "ITEM-1", "itemData" : { "DOI" : "10.1016/j.neulet.2011.01.074", "ISSN" : "1872-7972", "PMID" : "21300138", "abstract" : "The ability to predict the trajectory of a ball based on the opponent's body kinematics has been shown to be critical to high-performing athletes in many sports. However, little is known about the neural correlates underlying such superior ability in action anticipation. The present event-related potential study compared brain responses from professional badminton players and non-player controls when they watched video clips of badminton games and predicted a ball's landing position. Replicating literature findings, the players made significantly more accurate judgments than the controls and showed better action anticipation. Correspondingly, they showed enlarged amplitudes of two ERP components, a P300 peaking around 350ms post-stimulus with a parietal scalp distribution and a P2 peaking around 250ms with a posterior-occipital distribution. The P300 effect was interpreted to reflect primed access and/or directing of attention to game-related memory representations in the players facilitating their online judgment of related actions. The P2 effect was suggested to reflect some generic learning effects. The results identify clear neural responses that differentiate between different levels of action anticipation associated with sports expertise.", "author" : [ { "dropping-particle" : "", "family" : "Jin", "given" : "Hua", "non-dropping-particle" : "", "parse-names" : false, "suffix" : "" }, { "dropping-particle" : "", "family" : "Xu", "given" : "Guiping", "non-dropping-particle" : "", "parse-names" : false, "suffix" : "" }, { "dropping-particle" : "", "family" : "Zhang", "given" : "John X", "non-dropping-particle" : "", "parse-names" : false, "suffix" : "" }, { "dropping-particle" : "", "family" : "Gao", "given" : "Hongwei", "non-dropping-particle" : "", "parse-names" : false, "suffix" : "" }, { "dropping-particle" : "", "family" : "Ye", "given" : "Zuoer", "non-dropping-particle" : "", "parse-names" : false, "suffix" : "" }, { "dropping-particle" : "", "family" : "Wang", "given" : "Pin", "non-dropping-particle" : "", "parse-names" : false, "suffix" : "" }, { "dropping-particle" : "", "family" : "Lin", "given" : "Huiyan", "non-dropping-particle" : "", "parse-names" : false, "suffix" : "" }, { "dropping-particle" : "", "family" : "Mo", "given" : "Lei", "non-dropping-particle" : "", "parse-names" : false, "suffix" : "" }, { "dropping-particle" : "", "family" : "Lin", "given" : "Chong-De", "non-dropping-particle" : "", "parse-names" : false, "suffix" : "" } ], "container-title" : "Neuroscience Letters", "id" : "ITEM-1", "issue" : "3", "issued" : { "date-parts" : [ [ "2011", "4", "4" ] ] }, "page" : "139-44", "publisher" : "Elsevier Ireland Ltd", "title" : "Event-related potential effects of superior action anticipation in professional badminton players.", "type" : "article-journal", "volume" : "492" }, "uris" : [ "http://www.mendeley.com/documents/?uuid=79fc4ad1-0874-461c-9e3c-00762e3585bc" ] } ], "mendeley" : { "formattedCitation" : "(Jin et al., 2011)", "plainTextFormattedCitation" : "(Jin et al., 2011)", "previouslyFormattedCitation" : "(Jin et al., 2011)" }, "properties" : { "noteIndex" : 0 }, "schema" : "https://github.com/citation-style-language/schema/raw/master/csl-citation.json" }</w:instrText>
      </w:r>
      <w:r w:rsidRPr="00341B41">
        <w:fldChar w:fldCharType="separate"/>
      </w:r>
      <w:r w:rsidRPr="00341B41">
        <w:rPr>
          <w:noProof/>
        </w:rPr>
        <w:t>(Jin et al., 2011)</w:t>
      </w:r>
      <w:r w:rsidRPr="00341B41">
        <w:fldChar w:fldCharType="end"/>
      </w:r>
      <w:r w:rsidRPr="00341B41">
        <w:t xml:space="preserve">. The P300 is believed to reflect stimulus evaluation with the latency associated with time required for </w:t>
      </w:r>
      <w:r w:rsidRPr="00341B41">
        <w:lastRenderedPageBreak/>
        <w:t xml:space="preserve">processes such as pattern recognition, classification, and memory template matching to occur </w:t>
      </w:r>
      <w:r w:rsidRPr="00341B41">
        <w:fldChar w:fldCharType="begin" w:fldLock="1"/>
      </w:r>
      <w:r w:rsidRPr="00341B41">
        <w:instrText>ADDIN CSL_CITATION { "citationItems" : [ { "id" : "ITEM-1", "itemData" : { "ISSN" : "0301-0511", "PMID" : "9083643", "abstract" : "In this review studies are evaluated that have utilized middle-latency and late components of the event-related potential (ERP) as indices of the activation of processing resources. Processing resources are defined as energetical systems that modulate cognitive processes or data processing systems. An essential element of the resource conceptualization is the idea that processing structures receive not only information input but also input from these energetical systems. It is argued further that the principal role of these systems is to provide the 'gain' for the data processing systems. In reviewing these studies special attention is paid to factors affecting the amplitude of ERP components in single- and dual-task studies, and to the inferences that can be drawn about which particular types of processing resources are reflected in these changes in component amplitudes. Finally, a working model is presented relating middle-latency and late ERP components to specific perceptual, perceptual-central and central processing resources.", "author" : [ { "dropping-particle" : "", "family" : "Kok", "given" : "a", "non-dropping-particle" : "", "parse-names" : false, "suffix" : "" } ], "container-title" : "Biological Psychology", "id" : "ITEM-1", "issue" : "1-3", "issued" : { "date-parts" : [ [ "1997", "3", "21" ] ] }, "page" : "19-56", "title" : "Event-related-potential (ERP) reflections of mental resources: a review and synthesis.", "type" : "article-journal", "volume" : "45" }, "uris" : [ "http://www.mendeley.com/documents/?uuid=4d72a701-4990-4f4f-8527-42bd5472f9bc" ] } ], "mendeley" : { "formattedCitation" : "(Kok, 1997)", "plainTextFormattedCitation" : "(Kok, 1997)", "previouslyFormattedCitation" : "(Kok, 1997)" }, "properties" : { "noteIndex" : 0 }, "schema" : "https://github.com/citation-style-language/schema/raw/master/csl-citation.json" }</w:instrText>
      </w:r>
      <w:r w:rsidRPr="00341B41">
        <w:fldChar w:fldCharType="separate"/>
      </w:r>
      <w:r w:rsidRPr="00341B41">
        <w:rPr>
          <w:noProof/>
        </w:rPr>
        <w:t>(Kok, 1997)</w:t>
      </w:r>
      <w:r w:rsidRPr="00341B41">
        <w:fldChar w:fldCharType="end"/>
      </w:r>
      <w:r w:rsidRPr="00341B41">
        <w:t xml:space="preserve">. P300 amplitude has also been associated with event categorisation </w:t>
      </w:r>
      <w:r w:rsidRPr="00341B41">
        <w:fldChar w:fldCharType="begin" w:fldLock="1"/>
      </w:r>
      <w:r w:rsidRPr="00341B41">
        <w:instrText>ADDIN CSL_CITATION { "citationItems" : [ { "id" : "ITEM-1", "itemData" : { "ISSN" : "0048-5772", "PMID" : "11352145", "abstract" : "The present review focuses on the utility of the amplitude of P3 of as a measure of processing capacity and mental workload. The paper starts with a brief outline of the conceptual framework underlying the relationship between P3 amplitude and task demands, and the cognitive task manipulations that determine demands on capacity. P3 amplitude results are then discussed on the basis of an extensive review of the relevant literature. It is concluded that although it has often been assumed that P3 amplitude depends on the capacity for processing task relevant stimuli, the utility of P3 amplitude as a sensitive and diagnostic measure of processing capacity remains limited. The major factor that prompts this conclusion is that the two principal task variables that have been used to manipulate capacity allocation, namely task difficulty and task emphasis, have opposite effects on the amplitude of P3. I suggest that this is because, in many tasks, an increase in difficulty transforms the structure or actual content of the flow of information in the processing systems, thereby interfering with the very processes that underlie P3 generation. Finally, in an attempt to theoretically integrate the results of the reviewed studies, it is proposed that P3 amplitude reflects activation of elements in a event-categorization network that is controlled by the joint operation of attention and working memory.", "author" : [ { "dropping-particle" : "", "family" : "Kok", "given" : "a", "non-dropping-particle" : "", "parse-names" : false, "suffix" : "" } ], "container-title" : "Psychophysiology", "id" : "ITEM-1", "issue" : "3", "issued" : { "date-parts" : [ [ "2001", "5" ] ] }, "page" : "557-77", "title" : "On the utility of P3 amplitude as a measure of processing capacity.", "type" : "article-journal", "volume" : "38" }, "uris" : [ "http://www.mendeley.com/documents/?uuid=b884a593-2084-470b-8f6c-9fb48d6eed42" ] } ], "mendeley" : { "formattedCitation" : "(Kok, 2001)", "plainTextFormattedCitation" : "(Kok, 2001)", "previouslyFormattedCitation" : "(Kok, 2001)" }, "properties" : { "noteIndex" : 0 }, "schema" : "https://github.com/citation-style-language/schema/raw/master/csl-citation.json" }</w:instrText>
      </w:r>
      <w:r w:rsidRPr="00341B41">
        <w:fldChar w:fldCharType="separate"/>
      </w:r>
      <w:r w:rsidRPr="00341B41">
        <w:rPr>
          <w:noProof/>
        </w:rPr>
        <w:t>(Kok, 2001)</w:t>
      </w:r>
      <w:r w:rsidRPr="00341B41">
        <w:fldChar w:fldCharType="end"/>
      </w:r>
      <w:r w:rsidRPr="00341B41">
        <w:t xml:space="preserve">. As such, faster and larger P300 ERPs in expert players during an anticipation task was attributed to experts directing attention to specific memory representations, which in turn facilitates their judgment of opponent actions. A limitation of this study was that the stimulus provided to players was recorded from a spectator perspective, and as such is not representative of the information available to players during real-match situations. </w:t>
      </w:r>
    </w:p>
    <w:p w14:paraId="17D7B230" w14:textId="3F5775B5" w:rsidR="00CE45B9" w:rsidRPr="00341B41" w:rsidRDefault="00CE45B9" w:rsidP="00CE45B9">
      <w:pPr>
        <w:ind w:firstLine="720"/>
      </w:pPr>
      <w:r w:rsidRPr="00341B41">
        <w:t xml:space="preserve">In a second study also using an ERP approach, expertise and anticipation in tango dancing was investigated. In the experimental task, participants watched scenes of tango dancers. At a key scene, participants were asked to select the next correct action in the dance sequence, from a choice of two alternatives. The anticipation period was defined as being from -250ms until the point of choosing the correct next step </w:t>
      </w:r>
      <w:r w:rsidRPr="00341B41">
        <w:fldChar w:fldCharType="begin" w:fldLock="1"/>
      </w:r>
      <w:r w:rsidRPr="00341B41">
        <w:instrText>ADDIN CSL_CITATION { "citationItems" : [ { "id" : "ITEM-1", "itemData" : { "DOI" : "10.1016/j.neuroimage.2014.05.005", "ISSN" : "1095-9572", "PMID" : "24830835", "abstract" : "Predictive theories of action observation propose that we use our own motor system as a guide for anticipating and understanding other people's actions through the generation of context-based expectations. According to this view, people should be better in predicting and interpreting those actions that are present in their own motor repertoire compared to those that are not. We recorded high-density event-related potentials (ERPs: P300, N400 and Slow Wave, SW) and source estimation in 80 subjects separated by their level of expertise (experts, beginners and na\u00efves) as they observed realistic videos of Tango steps with different degrees of execution correctness. We also performed path analysis to infer causal relationships between ongoing anticipatory brain activity, evoked semantic responses, expertise measures and behavioral performance. We found that anticipatory activity, with sources in a fronto-parieto-occipital network, early discriminated between groups according to their level of expertise. Furthermore, this early activity significantly predicted subsequent semantic integration indexed by semantic responses (N400 and SW, sourced in temporal and motor regions) which also predicted motor expertise. In addition, motor expertise was a good predictor of behavioral performance. Our results show that neural and temporal dynamics underlying contextual action anticipation and comprehension can be interpreted in terms of successive levels of contextual prediction that are significantly modulated by subject's prior experience.", "author" : [ { "dropping-particle" : "", "family" : "Amoruso", "given" : "Luc\u00eda", "non-dropping-particle" : "", "parse-names" : false, "suffix" : "" }, { "dropping-particle" : "", "family" : "Sede\u00f1o", "given" : "Lucas", "non-dropping-particle" : "", "parse-names" : false, "suffix" : "" }, { "dropping-particle" : "", "family" : "Huepe", "given" : "David", "non-dropping-particle" : "", "parse-names" : false, "suffix" : "" }, { "dropping-particle" : "", "family" : "Tomio", "given" : "Ailin", "non-dropping-particle" : "", "parse-names" : false, "suffix" : "" }, { "dropping-particle" : "", "family" : "Kamienkowski", "given" : "Juan", "non-dropping-particle" : "", "parse-names" : false, "suffix" : "" }, { "dropping-particle" : "", "family" : "Hurtado", "given" : "Esteban", "non-dropping-particle" : "", "parse-names" : false, "suffix" : "" }, { "dropping-particle" : "", "family" : "Cardona", "given" : "Juan Felipe", "non-dropping-particle" : "", "parse-names" : false, "suffix" : "" }, { "dropping-particle" : "", "family" : "Alvarez Gonz\u00e1lez", "given" : "Miguel \u00c1ngel", "non-dropping-particle" : "", "parse-names" : false, "suffix" : "" }, { "dropping-particle" : "", "family" : "Rieznik", "given" : "Andr\u00e9s", "non-dropping-particle" : "", "parse-names" : false, "suffix" : "" }, { "dropping-particle" : "", "family" : "Sigman", "given" : "Mariano", "non-dropping-particle" : "", "parse-names" : false, "suffix" : "" }, { "dropping-particle" : "", "family" : "Manes", "given" : "Facundo", "non-dropping-particle" : "", "parse-names" : false, "suffix" : "" }, { "dropping-particle" : "", "family" : "Ib\u00e1\u00f1ez", "given" : "Agust\u00edn", "non-dropping-particle" : "", "parse-names" : false, "suffix" : "" } ], "container-title" : "NeuroImage", "id" : "ITEM-1", "issued" : { "date-parts" : [ [ "2014", "9" ] ] }, "page" : "366-85", "publisher" : "Elsevier Inc.", "title" : "Time to Tango: Expertise and contextual anticipation during action observation.", "type" : "article-journal", "volume" : "98" }, "uris" : [ "http://www.mendeley.com/documents/?uuid=d0c7d501-07cf-40b2-9357-a3c11ecd7c7c" ] } ], "mendeley" : { "formattedCitation" : "(Amoruso et al., 2014)", "plainTextFormattedCitation" : "(Amoruso et al., 2014)", "previouslyFormattedCitation" : "(Amoruso et al., 2014)" }, "properties" : { "noteIndex" : 0 }, "schema" : "https://github.com/citation-style-language/schema/raw/master/csl-citation.json" }</w:instrText>
      </w:r>
      <w:r w:rsidRPr="00341B41">
        <w:fldChar w:fldCharType="separate"/>
      </w:r>
      <w:r w:rsidRPr="00341B41">
        <w:rPr>
          <w:noProof/>
        </w:rPr>
        <w:t>(Amoruso et al., 2014)</w:t>
      </w:r>
      <w:r w:rsidRPr="00341B41">
        <w:fldChar w:fldCharType="end"/>
      </w:r>
      <w:r w:rsidRPr="00341B41">
        <w:t>. The results showed a greater negatively in the ERP for expert tango dancers compared to novice controls during the anticipatory period. Source localisation suggested expertise-related differences in the right motor cortex, the left middle occipital cortex, the left EBA, and the anterior right orbitofrontal cortex. A path analysis model suggested that this anticipatory activity predicted later semantic integration as indexed by P300, and also N400 and slow-wave (SW) ERP components. In other words, the anticipatory period provides an opportunity for early cue utilisation (through kinematics) that then enables expert players to match current information to existing memory representations of similar situations, that can then be used to anticipate</w:t>
      </w:r>
      <w:r w:rsidR="00970C87" w:rsidRPr="00341B41">
        <w:t>.</w:t>
      </w:r>
    </w:p>
    <w:p w14:paraId="554C0BC7" w14:textId="4BAA856D" w:rsidR="00896184" w:rsidRPr="00341B41" w:rsidRDefault="00896184" w:rsidP="00896184">
      <w:pPr>
        <w:ind w:firstLine="720"/>
      </w:pPr>
      <w:r w:rsidRPr="00341B41">
        <w:t xml:space="preserve">These studies support fMRI findings that clear expertise-related differences occur in neural activity during action observation and anticipation. However, EEG studies to date </w:t>
      </w:r>
      <w:r w:rsidRPr="00341B41">
        <w:lastRenderedPageBreak/>
        <w:t xml:space="preserve">have typically focused on group differences in regards to domain-specific memory structures and semantic integration, whilst fMRI studies have provided evidence that group differences arise in action observation system. No research to date has directly assessed the role of these networks using EEG, despite the advantages offered by EEG as described above. </w:t>
      </w:r>
    </w:p>
    <w:p w14:paraId="67CD8468" w14:textId="62358E45" w:rsidR="00896184" w:rsidRPr="00341B41" w:rsidRDefault="005E6BAB" w:rsidP="005E6BAB">
      <w:pPr>
        <w:pStyle w:val="Heading3"/>
      </w:pPr>
      <w:bookmarkStart w:id="29" w:name="_Toc486260845"/>
      <w:r w:rsidRPr="00341B41">
        <w:t>1.8.1.</w:t>
      </w:r>
      <w:r w:rsidRPr="00341B41">
        <w:tab/>
        <w:t>Measuring motor system activity using EEG</w:t>
      </w:r>
      <w:bookmarkEnd w:id="29"/>
    </w:p>
    <w:p w14:paraId="42E3FAFF" w14:textId="77777777" w:rsidR="000849A7" w:rsidRPr="00341B41" w:rsidRDefault="005E6BAB" w:rsidP="005E6BAB">
      <w:r w:rsidRPr="00341B41">
        <w:t xml:space="preserve">EEG provides reliable indicators of </w:t>
      </w:r>
      <w:r w:rsidR="000849A7" w:rsidRPr="00341B41">
        <w:t xml:space="preserve">motor system, via event-related changes in cortical ‘sensorimotor’ oscillations. Specifically, mu (8-13Hz) and beta (15-25Hz) oscillations recorded typically from central EEG scalp electrode sites </w:t>
      </w:r>
      <w:r w:rsidR="000849A7" w:rsidRPr="00341B41">
        <w:fldChar w:fldCharType="begin" w:fldLock="1"/>
      </w:r>
      <w:r w:rsidR="000849A7" w:rsidRPr="00341B41">
        <w:instrText>ADDIN CSL_CITATION { "citationItems" : [ { "id" : "ITEM-1", "itemData" : { "DOI" : "10.1016/j.brainresrev.2005.04.005", "PMID" : "15925412", "abstract" : "Existing evidence indicates that mu and other alpha-like rhythms are independent phenomena because of differences in source generation, sensitivity to sensory events, bilateral coherence, frequency, and power. Although mu suppression and enhancement echo sensorimotor processing in frontoparietal networks, they are also sensitive to cognitive and affective influences and likely reflect more than an idling brain state. Mu rhythms are present at early stages of human development and in other mammalian species. They exhibit adaptive and dynamically changing properties, including frequency acceleration and posterior-to-anterior shifts in focus. Furthermore, individuals can learn to control mu rhythms volitionally in a very short period of time. This raises questions about the mu rhythm's open neural architecture and ability to respond to cognitive, affective, and motor imagery, implying an even greater developmental and functional role than has previously been ascribed to it. Recent studies have suggested that mu rhythms reflect downstream modulation of motor cortex by prefrontal mirror neurons, i.e., cells that may play a critical role in imitation learning and the ability to understand the actions of others. It is proposed that mu rhythms represent an important information processing function that links perception and action-specifically, the transformation of \"seeing\" and \"hearing\" into \"doing.\" In a broader context, this transformation function results from an entrainment/gating mechanism in which multiple alpha networks (visual-, auditory-, and somatosensory-centered domains), typically producing rhythmic oscillations in a locally independent manner, become coupled and entrained. A global or 'diffuse and distributed alpha system' comes into existence when these independent sources of alpha become coherently engaged in transforming perception to action.", "author" : [ { "dropping-particle" : "", "family" : "Pineda", "given" : "J. A", "non-dropping-particle" : "", "parse-names" : false, "suffix" : "" } ], "container-title" : "Brain Research Reviews", "id" : "ITEM-1", "issue" : "1", "issued" : { "date-parts" : [ [ "2005", "12", "1" ] ] }, "page" : "57-68", "title" : "The functional significance of mu rhythms: translating \"seeing\" and \"hearing\" into \"doing\".", "type" : "article-journal", "volume" : "50" }, "uris" : [ "http://www.mendeley.com/documents/?uuid=7e856d86-32af-4cdd-8f64-6b8f40f48b6b" ] } ], "mendeley" : { "formattedCitation" : "(Pineda, 2005)", "plainTextFormattedCitation" : "(Pineda, 2005)", "previouslyFormattedCitation" : "(Pineda, 2005)" }, "properties" : { "noteIndex" : 0 }, "schema" : "https://github.com/citation-style-language/schema/raw/master/csl-citation.json" }</w:instrText>
      </w:r>
      <w:r w:rsidR="000849A7" w:rsidRPr="00341B41">
        <w:fldChar w:fldCharType="separate"/>
      </w:r>
      <w:r w:rsidR="000849A7" w:rsidRPr="00341B41">
        <w:rPr>
          <w:noProof/>
        </w:rPr>
        <w:t>(Pineda, 2005)</w:t>
      </w:r>
      <w:r w:rsidR="000849A7" w:rsidRPr="00341B41">
        <w:fldChar w:fldCharType="end"/>
      </w:r>
      <w:r w:rsidR="000849A7" w:rsidRPr="00341B41">
        <w:t xml:space="preserve">. The mu rhythm was originally considered to represent an ‘idling’ state in the brain </w:t>
      </w:r>
      <w:r w:rsidR="000849A7" w:rsidRPr="00341B41">
        <w:fldChar w:fldCharType="begin" w:fldLock="1"/>
      </w:r>
      <w:r w:rsidR="000849A7" w:rsidRPr="00341B41">
        <w:instrText>ADDIN CSL_CITATION { "citationItems" : [ { "id" : "ITEM-1", "itemData" : { "author" : [ { "dropping-particle" : "", "family" : "Chase", "given" : "M.H.", "non-dropping-particle" : "", "parse-names" : false, "suffix" : "" }, { "dropping-particle" : "", "family" : "Harper", "given" : "R.M.", "non-dropping-particle" : "", "parse-names" : false, "suffix" : "" } ], "container-title" : "Electroencephalography and Clinical Neurophysiology", "id" : "ITEM-1", "issued" : { "date-parts" : [ [ "1971" ] ] }, "page" : "85-92", "title" : "Somatomotor and visceromotor correlates of operantly conditioned 12-14 C-SEC sensorimotor activity", "type" : "article-journal", "volume" : "31" }, "uris" : [ "http://www.mendeley.com/documents/?uuid=7a4235ba-3c6c-4898-bc9f-39c851236429" ] }, { "id" : "ITEM-2", "itemData" : { "author" : [ { "dropping-particle" : "", "family" : "Pfurtscheller", "given" : "G", "non-dropping-particle" : "", "parse-names" : false, "suffix" : "" }, { "dropping-particle" : "", "family" : "Stancak Jr", "given" : "A", "non-dropping-particle" : "", "parse-names" : false, "suffix" : "" }, { "dropping-particle" : "", "family" : "Neuper", "given" : "C", "non-dropping-particle" : "", "parse-names" : false, "suffix" : "" } ], "container-title" : "International Journal of Psychophysiology", "id" : "ITEM-2", "issued" : { "date-parts" : [ [ "1996" ] ] }, "page" : "39-46", "title" : "Event-related synchronization (ERS) in the alpha band - An electrophysiological correlate of cortical idling", "type" : "article-journal", "volume" : "24" }, "uris" : [ "http://www.mendeley.com/documents/?uuid=9115a448-a450-47e7-a2b6-07a55b901870" ] } ], "mendeley" : { "formattedCitation" : "(Chase &amp; Harper, 1971; Pfurtscheller, Stancak Jr, &amp; Neuper, 1996)", "plainTextFormattedCitation" : "(Chase &amp; Harper, 1971; Pfurtscheller, Stancak Jr, &amp; Neuper, 1996)", "previouslyFormattedCitation" : "(Chase &amp; Harper, 1971; Pfurtscheller, Stancak Jr, &amp; Neuper, 1996)" }, "properties" : { "noteIndex" : 0 }, "schema" : "https://github.com/citation-style-language/schema/raw/master/csl-citation.json" }</w:instrText>
      </w:r>
      <w:r w:rsidR="000849A7" w:rsidRPr="00341B41">
        <w:fldChar w:fldCharType="separate"/>
      </w:r>
      <w:r w:rsidR="000849A7" w:rsidRPr="00341B41">
        <w:rPr>
          <w:noProof/>
        </w:rPr>
        <w:t>(Chase &amp; Harper, 1971; Pfurtscheller, Stancak Jr, &amp; Neuper, 1996)</w:t>
      </w:r>
      <w:r w:rsidR="000849A7" w:rsidRPr="00341B41">
        <w:fldChar w:fldCharType="end"/>
      </w:r>
      <w:r w:rsidR="000849A7" w:rsidRPr="00341B41">
        <w:t xml:space="preserve">, however more recently it has been suggested to play an important functional role in linking perception and action </w:t>
      </w:r>
      <w:r w:rsidR="000849A7" w:rsidRPr="00341B41">
        <w:fldChar w:fldCharType="begin" w:fldLock="1"/>
      </w:r>
      <w:r w:rsidR="000849A7" w:rsidRPr="00341B41">
        <w:instrText>ADDIN CSL_CITATION { "citationItems" : [ { "id" : "ITEM-1", "itemData" : { "DOI" : "10.1016/j.brainresrev.2005.04.005", "PMID" : "15925412", "abstract" : "Existing evidence indicates that mu and other alpha-like rhythms are independent phenomena because of differences in source generation, sensitivity to sensory events, bilateral coherence, frequency, and power. Although mu suppression and enhancement echo sensorimotor processing in frontoparietal networks, they are also sensitive to cognitive and affective influences and likely reflect more than an idling brain state. Mu rhythms are present at early stages of human development and in other mammalian species. They exhibit adaptive and dynamically changing properties, including frequency acceleration and posterior-to-anterior shifts in focus. Furthermore, individuals can learn to control mu rhythms volitionally in a very short period of time. This raises questions about the mu rhythm's open neural architecture and ability to respond to cognitive, affective, and motor imagery, implying an even greater developmental and functional role than has previously been ascribed to it. Recent studies have suggested that mu rhythms reflect downstream modulation of motor cortex by prefrontal mirror neurons, i.e., cells that may play a critical role in imitation learning and the ability to understand the actions of others. It is proposed that mu rhythms represent an important information processing function that links perception and action-specifically, the transformation of \"seeing\" and \"hearing\" into \"doing.\" In a broader context, this transformation function results from an entrainment/gating mechanism in which multiple alpha networks (visual-, auditory-, and somatosensory-centered domains), typically producing rhythmic oscillations in a locally independent manner, become coupled and entrained. A global or 'diffuse and distributed alpha system' comes into existence when these independent sources of alpha become coherently engaged in transforming perception to action.", "author" : [ { "dropping-particle" : "", "family" : "Pineda", "given" : "J. A", "non-dropping-particle" : "", "parse-names" : false, "suffix" : "" } ], "container-title" : "Brain Research Reviews", "id" : "ITEM-1", "issue" : "1", "issued" : { "date-parts" : [ [ "2005", "12", "1" ] ] }, "page" : "57-68", "title" : "The functional significance of mu rhythms: translating \"seeing\" and \"hearing\" into \"doing\".", "type" : "article-journal", "volume" : "50" }, "uris" : [ "http://www.mendeley.com/documents/?uuid=7e856d86-32af-4cdd-8f64-6b8f40f48b6b" ] } ], "mendeley" : { "formattedCitation" : "(Pineda, 2005)", "plainTextFormattedCitation" : "(Pineda, 2005)", "previouslyFormattedCitation" : "(Pineda, 2005)" }, "properties" : { "noteIndex" : 0 }, "schema" : "https://github.com/citation-style-language/schema/raw/master/csl-citation.json" }</w:instrText>
      </w:r>
      <w:r w:rsidR="000849A7" w:rsidRPr="00341B41">
        <w:fldChar w:fldCharType="separate"/>
      </w:r>
      <w:r w:rsidR="000849A7" w:rsidRPr="00341B41">
        <w:rPr>
          <w:noProof/>
        </w:rPr>
        <w:t>(Pineda, 2005)</w:t>
      </w:r>
      <w:r w:rsidR="000849A7" w:rsidRPr="00341B41">
        <w:fldChar w:fldCharType="end"/>
      </w:r>
      <w:r w:rsidR="000849A7" w:rsidRPr="00341B41">
        <w:t>.</w:t>
      </w:r>
    </w:p>
    <w:p w14:paraId="3B7DBFD8" w14:textId="3F20DB0F" w:rsidR="005E6BAB" w:rsidRPr="00341B41" w:rsidRDefault="000849A7" w:rsidP="000849A7">
      <w:pPr>
        <w:ind w:firstLine="720"/>
      </w:pPr>
      <w:r w:rsidRPr="00341B41">
        <w:t xml:space="preserve">Mu rhythm activity is typically assessed via event-related (de)synchronisation (ERD/ERS) analysis </w:t>
      </w:r>
      <w:r w:rsidRPr="00341B41">
        <w:fldChar w:fldCharType="begin" w:fldLock="1"/>
      </w:r>
      <w:r w:rsidRPr="00341B41">
        <w:instrText>ADDIN CSL_CITATION { "citationItems" : [ { "id" : "ITEM-1", "itemData" : { "ISSN" : "1388-2457", "PMID" : "10576479", "abstract" : "An internally or externally paced event results not only in the generation of an event-related potential (ERP) but also in a change in the ongoing EEG/MEG in form of an event-related desynchronization (ERD) or event-related synchronization (ERS). The ERP on the one side and the ERD/ERS on the other side are different responses of neuronal structures in the brain. While the former is phase-locked, the latter is not phase-locked to the event. The most important difference between both phenomena is that the ERD/ERS is highly frequency band-specific, whereby either the same or different locations on the scalp can display ERD and ERS simultaneously. Quantification of ERD/ERS in time and space is demonstrated on data from a number of movement experiments.", "author" : [ { "dropping-particle" : "", "family" : "Pfurtscheller", "given" : "G", "non-dropping-particle" : "", "parse-names" : false, "suffix" : "" }, { "dropping-particle" : "", "family" : "Lopes da Silva", "given" : "F H", "non-dropping-particle" : "", "parse-names" : false, "suffix" : "" } ], "container-title" : "Clinical Neurophysiology", "id" : "ITEM-1", "issue" : "11", "issued" : { "date-parts" : [ [ "1999", "11" ] ] }, "page" : "1842-57", "title" : "Event-related EEG/MEG synchronization and desynchronization: basic principles.", "type" : "article-journal", "volume" : "110" }, "uris" : [ "http://www.mendeley.com/documents/?uuid=d6481284-9558-44e2-ba76-89d4e2ab07a5" ] } ], "mendeley" : { "formattedCitation" : "(Pfurtscheller &amp; Lopes da Silva, 1999)", "plainTextFormattedCitation" : "(Pfurtscheller &amp; Lopes da Silva, 1999)", "previouslyFormattedCitation" : "(Pfurtscheller &amp; Lopes da Silva, 1999)" }, "properties" : { "noteIndex" : 0 }, "schema" : "https://github.com/citation-style-language/schema/raw/master/csl-citation.json" }</w:instrText>
      </w:r>
      <w:r w:rsidRPr="00341B41">
        <w:fldChar w:fldCharType="separate"/>
      </w:r>
      <w:r w:rsidRPr="00341B41">
        <w:rPr>
          <w:noProof/>
        </w:rPr>
        <w:t>(Pfurtscheller &amp; Lopes da Silva, 1999)</w:t>
      </w:r>
      <w:r w:rsidRPr="00341B41">
        <w:fldChar w:fldCharType="end"/>
      </w:r>
      <w:r w:rsidRPr="00341B41">
        <w:t xml:space="preserve">. In this approach, the power of a signal at a frequency of interest during an event period is compared to the power of the signal during a baseline condition. An increase in power relative to the baseline represents event-related synchronisation (ERS) and indicates deactivation in the cortical region generating the oscillation, whilst a reduction in power relative to the baseline represents event-related </w:t>
      </w:r>
      <w:proofErr w:type="spellStart"/>
      <w:r w:rsidRPr="00341B41">
        <w:t>desynchronisation</w:t>
      </w:r>
      <w:proofErr w:type="spellEnd"/>
      <w:r w:rsidRPr="00341B41">
        <w:t xml:space="preserve"> (ERD) and indicates cortical activation at the generator of the signal.</w:t>
      </w:r>
    </w:p>
    <w:p w14:paraId="5EFEE276" w14:textId="77777777" w:rsidR="000849A7" w:rsidRPr="00341B41" w:rsidRDefault="000849A7" w:rsidP="000849A7">
      <w:pPr>
        <w:ind w:firstLine="720"/>
      </w:pPr>
      <w:r w:rsidRPr="00341B41">
        <w:t xml:space="preserve">The mu rhythm has been shown to share many properties of the fronto-parietal regions of the AON. For example, a meta-analysis found that mu ERD reliably occurs </w:t>
      </w:r>
      <w:r w:rsidRPr="00341B41">
        <w:lastRenderedPageBreak/>
        <w:t xml:space="preserve">during both the execution and observation of goal-directed actions, reflecting fronto-parietal AON activity </w:t>
      </w:r>
      <w:r w:rsidRPr="00341B41">
        <w:fldChar w:fldCharType="begin" w:fldLock="1"/>
      </w:r>
      <w:r w:rsidRPr="00341B41">
        <w:instrText>ADDIN CSL_CITATION { "citationItems" : [ { "id" : "ITEM-1", "itemData" : { "author" : [ { "dropping-particle" : "", "family" : "Fox", "given" : "Nathan A", "non-dropping-particle" : "", "parse-names" : false, "suffix" : "" }, { "dropping-particle" : "", "family" : "Bakermans-Kranenburg", "given" : "M.J", "non-dropping-particle" : "", "parse-names" : false, "suffix" : "" }, { "dropping-particle" : "", "family" : "Yoo", "given" : "Kathryn H", "non-dropping-particle" : "", "parse-names" : false, "suffix" : "" }, { "dropping-particle" : "", "family" : "Bowman", "given" : "L.C", "non-dropping-particle" : "", "parse-names" : false, "suffix" : "" }, { "dropping-particle" : "", "family" : "Cannon", "given" : "Erin N",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"Ijzenoom", "given" : "M.H", "non-dropping-particle" : "van", "parse-names" : false, "suffix" : "" } ], "container-title" : "Psychological Bulletin", "id" : "ITEM-1", "issue" : "3", "issued" : { "date-parts" : [ [ "2016" ] ] }, "page" : "291-313", "title" : "Assessing human mirror activity with EEG mu rhythm : A meta-analysis", "type" : "article-journal", "volume" : "142" }, "uris" : [ "http://www.mendeley.com/documents/?uuid=460e0145-3f1d-43b0-9b07-b04aa6132f1b" ] } ], "mendeley" : { "formattedCitation" : "(Fox et al., 2016)", "plainTextFormattedCitation" : "(Fox et al., 2016)", "previouslyFormattedCitation" : "(Fox et al., 2016)" }, "properties" : { "noteIndex" : 0 }, "schema" : "https://github.com/citation-style-language/schema/raw/master/csl-citation.json" }</w:instrText>
      </w:r>
      <w:r w:rsidRPr="00341B41">
        <w:fldChar w:fldCharType="separate"/>
      </w:r>
      <w:r w:rsidRPr="00341B41">
        <w:rPr>
          <w:noProof/>
        </w:rPr>
        <w:t>(Fox et al., 2016)</w:t>
      </w:r>
      <w:r w:rsidRPr="00341B41">
        <w:fldChar w:fldCharType="end"/>
      </w:r>
      <w:r w:rsidRPr="00341B41">
        <w:t xml:space="preserve">. Combined EEG and fMRI recordings have shown a negative relationship between mu ERD and the blood oxygen level dependent (BOLD) signal in fronto-parietal AON regions during action observation </w:t>
      </w:r>
      <w:r w:rsidRPr="00341B41">
        <w:fldChar w:fldCharType="begin" w:fldLock="1"/>
      </w:r>
      <w:r w:rsidRPr="00341B41">
        <w:instrText>ADDIN CSL_CITATION { "citationItems" : [ { "id" : "ITEM-1", "itemData" : { "DOI" : "10.1523/JNEUROSCI.0963-11.2011", "ISBN" : "0270-6474, 0270-6474", "ISSN" : "0270-6474, 0270-6474", "PMID" : "21976509", "abstract" : "The discovery of mirror neurons in the monkey, that fire during both the execution and the observation of the same action, sparked great interest in studying the human equivalent. For over a decade, both functional magnetic resonance imaging (fMRI) and electroencephalography (EEG) have been used to quantify activity in the human mirror neuron system (MNS)\u2014yet, little is still known about how fMRI and EEG measures of the MNS relate to each other. To test the frequent assumption that regions of the MNS as evidenced by fMRI are the origin of the suppression of the EEG \u03bc-rhythm during both action execution and observation, we recorded EEG and BOLD-fMRI signals simultaneously while participants observed and executed actions. We found that the suppression of the \u03bc-rhythm in EEG covaried with BOLD activity in typical MNS regions, inferior parietal lobe (IPL), dorsal premotor (dPM) and primary somatosensory cortex (BA2), during both action observation and execution. In contrast, in BA44, only nonoverlapping voxels correlated with \u03bc-suppression during observation and execution. These findings provide direct support for the notion that \u03bc-suppression is a valid indicator of MNS activity in BA2, IPL, and dPM, but argues against the idea that mirror neurons in BA44 are the prime source of \u03bc-suppression. These results shed light on the neural basis of \u03bc-suppression and provide a basis for integrating more closely the flourishing but often separate literatures on the MNS using fMRI and EEG. (PsycINFO Database Record (c) 2011 APA, all rights reserved)(journal abstract)", "author" : [ { "dropping-particle" : "", "family" : "Arnstein", "given" : "Dan", "non-dropping-particle" : "", "parse-names" : false, "suffix" : "" }, { "dropping-particle" : "", "family" : "Cui", "given" : "Fang", "non-dropping-particle" : "", "parse-names" : false, "suffix" : "" }, { "dropping-particle" : "", "family" : "Keysers", "given" : "Christian", "non-dropping-particle" : "", "parse-names" : false, "suffix" : "" }, { "dropping-particle" : "", "family" : "Maurits", "given" : "Natasha M", "non-dropping-particle" : "", "parse-names" : false, "suffix" : "" }, { "dropping-particle" : "", "family" : "Gazzola", "given" : "Valeria", "non-dropping-particle" : "", "parse-names" : false, "suffix" : "" } ], "container-title" : "The Journal of Neuroscience", "id" : "ITEM-1", "issue" : "40", "issued" : { "date-parts" : [ [ "2011" ] ] }, "page" : "14243-14249", "title" : "\u03bc-suppression during action observation and execution correlates with BOLD in dorsal premotor, inferior parietal, and SI cortices.", "type" : "article-journal", "volume" : "31" }, "uris" : [ "http://www.mendeley.com/documents/?uuid=42a03424-5dd8-4b9d-8e3a-e403a54fbf30" ] }, { "id" : "ITEM-2", "itemData" : { "DOI" : "10.1002/hbm.20585", "ISBN" : "1097-0193 (Electronic)\\r1065-9471 (Linking)", "ISSN" : "10659471", "PMID" : "18465747", "abstract" : "Similar to the posterior alpha rhythm, pericentral (Rolandic) EEG rhythms in the alpha and beta frequency range are referred to as \"idle rhythms\" indicating a \"resting state\" of the respective system. The precise function of these rhythms is not clear. We used simultaneous EEG-fMRI during a bimanual motor task to localize brain areas involved in Rolandic alpha and beta EEG rhythms. The identification of these rhythms in the MR environment was achieved by a blind source separation algorithm. Rhythm \"strength\", i.e. spectral power determined by wavelet analysis, inversely correlated most strongly with the fMRI-BOLD signal in the postcentral cortex for the Rolandic alpha (mu) rhythm and in the precentral cortex for the Rolandic beta rhythm. FMRI correlates of Rolandic alpha and beta rhythms were distinct from those associated with the posterior \"classical\" alpha rhythm, which correlated inversely with the BOLD signal in the occipital cortex. An inverse correlation with the BOLD signal in the respective sensory area seems to be a general feature of \"idle rhythms\".", "author" : [ { "dropping-particle" : "", "family" : "Ritter", "given" : "Petra", "non-dropping-particle" : "", "parse-names" : false, "suffix" : "" }, { "dropping-particle" : "", "family" : "Moosmann", "given" : "Matthias", "non-dropping-particle" : "", "parse-names" : false, "suffix" : "" }, { "dropping-particle" : "", "family" : "Villringer", "given" : "Arno", "non-dropping-particle" : "", "parse-names" : false, "suffix" : "" } ], "container-title" : "Human Brain Mapping", "id" : "ITEM-2", "issue" : "4", "issued" : { "date-parts" : [ [ "2009" ] ] }, "page" : "1168-1187", "title" : "Rolandic alpha and beta EEG rhythms' strengths are inversely related to fMRI-BOLD signal in primary somatosensory and motor cortex", "type" : "article-journal", "volume" : "30" }, "uris" : [ "http://www.mendeley.com/documents/?uuid=934d244e-34e4-4d44-bc25-10c103da2e8e" ] } ], "mendeley" : { "formattedCitation" : "(Arnstein, Cui, Keysers, Maurits, &amp; Gazzola, 2011; Ritter, Moosmann, &amp; Villringer, 2009)", "plainTextFormattedCitation" : "(Arnstein, Cui, Keysers, Maurits, &amp; Gazzola, 2011; Ritter, Moosmann, &amp; Villringer, 2009)", "previouslyFormattedCitation" : "(Arnstein, Cui, Keysers, Maurits, &amp; Gazzola, 2011; Ritter, Moosmann, &amp; Villringer, 2009)" }, "properties" : { "noteIndex" : 0 }, "schema" : "https://github.com/citation-style-language/schema/raw/master/csl-citation.json" }</w:instrText>
      </w:r>
      <w:r w:rsidRPr="00341B41">
        <w:fldChar w:fldCharType="separate"/>
      </w:r>
      <w:r w:rsidRPr="00341B41">
        <w:rPr>
          <w:noProof/>
        </w:rPr>
        <w:t>(Arnstein, Cui, Keysers, Maurits, &amp; Gazzola, 2011; Ritter, Moosmann, &amp; Villringer, 2009)</w:t>
      </w:r>
      <w:r w:rsidRPr="00341B41">
        <w:fldChar w:fldCharType="end"/>
      </w:r>
      <w:r w:rsidRPr="00341B41">
        <w:t xml:space="preserve">. </w:t>
      </w:r>
    </w:p>
    <w:p w14:paraId="4A14D6ED" w14:textId="331EE9E5" w:rsidR="000849A7" w:rsidRPr="00341B41" w:rsidRDefault="000849A7" w:rsidP="000849A7">
      <w:pPr>
        <w:ind w:firstLine="720"/>
      </w:pPr>
      <w:r w:rsidRPr="00341B41">
        <w:t xml:space="preserve">The neural generator of the mu rhythm is believed to be in the sensorimotor cortex </w:t>
      </w:r>
      <w:r w:rsidRPr="00341B41">
        <w:fldChar w:fldCharType="begin" w:fldLock="1"/>
      </w:r>
      <w:r w:rsidR="004F3B44" w:rsidRPr="00341B41">
        <w:instrText>ADDIN CSL_CITATION { "citationItems" : [ { "id" : "ITEM-1", "itemData" : { "DOI" : "10.1073/pnas.95.25.15061", "ISBN" : "0027-8424 (Print)", "ISSN" : "0027-8424", "PMID" : "9844015", "abstract" : "The monkey premotor cortex contains neurons that discharge during action execution and during observation of actions made by others. Transcranial magnetic stimulation experiments suggest that a similar observation/execution matching system also is present in humans. We recorded neuromagnetic oscillatory activity of the human precentral cortex from 10 healthy volunteers while (i) they had no task to perform, (ii) they were manipulating a small object, and (iii) they were observing another individual performing the same task. The left and right median nerves were stimulated alternately (interstimulus interval, 1.5 s) at intensities exceeding motor threshold, and the poststimulus rebound of the rolandic 15- to 25-Hz activity was quantified. In agreement with previous studies, the rebound was strongly suppressed bilaterally during object manipulation. Most interestingly, the rebound also was significantly diminished during action observation (31-46% of the suppression during object manipulation). Control experiments, in which subjects were instructed to observe stationary or moving stimuli, confirmed the specificity of the suppression effect. Because the recorded 15- to 25-Hz activity is known to originate mainly in the precentral motor cortex, we concluded that the human primary motor cortex is activated during observation as well as execution of motor tasks. These findings have implications for a better understanding of the machinery underlying action recognition in humans.", "author" : [ { "dropping-particle" : "", "family" : "Hari", "given" : "Riitta", "non-dropping-particle" : "", "parse-names" : false, "suffix" : "" }, { "dropping-particle" : "", "family" : "Forss", "given" : "N", "non-dropping-particle" : "", "parse-names" : false, "suffix" : "" }, { "dropping-particle" : "", "family" : "Avikainen", "given" : "S", "non-dropping-particle" : "", "parse-names" : false, "suffix" : "" }, { "dropping-particle" : "", "family" : "Kirveskari", "given" : "E", "non-dropping-particle" : "", "parse-names" : false, "suffix" : "" }, { "dropping-particle" : "", "family" : "Salenius", "given" : "S", "non-dropping-particle" : "", "parse-names" : false, "suffix" : "" }, { "dropping-particle" : "", "family" : "Rizzolatti", "given" : "Giacomo", "non-dropping-particle" : "", "parse-names" : false, "suffix" : "" } ], "container-title" : "Proceedings of the National Academy of Sciences", "id" : "ITEM-1", "issue" : "25", "issued" : { "date-parts" : [ [ "1998" ] ] }, "page" : "15061-5", "title" : "Activation of human primary motor cortex during action observation: a neuromagnetic study.", "type" : "article-journal", "volume" : "95" }, "uris" : [ "http://www.mendeley.com/documents/?uuid=91120e99-787f-46ef-85ed-c736668a796a" ] } ], "mendeley" : { "formattedCitation" : "(Hari et al., 1998)", "plainTextFormattedCitation" : "(Hari et al., 1998)", "previouslyFormattedCitation" : "(Hari et al., 1998)" }, "properties" : { "noteIndex" : 0 }, "schema" : "https://github.com/citation-style-language/schema/raw/master/csl-citation.json" }</w:instrText>
      </w:r>
      <w:r w:rsidRPr="00341B41">
        <w:fldChar w:fldCharType="separate"/>
      </w:r>
      <w:r w:rsidRPr="00341B41">
        <w:rPr>
          <w:noProof/>
        </w:rPr>
        <w:t>(Hari et al., 1998)</w:t>
      </w:r>
      <w:r w:rsidRPr="00341B41">
        <w:fldChar w:fldCharType="end"/>
      </w:r>
      <w:r w:rsidRPr="00341B41">
        <w:t xml:space="preserve">. A study using </w:t>
      </w:r>
      <w:proofErr w:type="spellStart"/>
      <w:r w:rsidRPr="00341B41">
        <w:t>electrocorticography</w:t>
      </w:r>
      <w:proofErr w:type="spellEnd"/>
      <w:r w:rsidRPr="00341B41">
        <w:t xml:space="preserve"> (</w:t>
      </w:r>
      <w:proofErr w:type="spellStart"/>
      <w:r w:rsidRPr="00341B41">
        <w:t>ECoG</w:t>
      </w:r>
      <w:proofErr w:type="spellEnd"/>
      <w:r w:rsidRPr="00341B41">
        <w:t xml:space="preserve">) examined cortical oscillations in somatosensory, motor, pre-motor and pre-frontal areas during both movement execution and observation </w:t>
      </w:r>
      <w:r w:rsidRPr="00341B41">
        <w:fldChar w:fldCharType="begin" w:fldLock="1"/>
      </w:r>
      <w:r w:rsidRPr="00341B41">
        <w:instrText>ADDIN CSL_CITATION { "citationItems" : [ { "id" : "ITEM-1", "itemData" : { "DOI" : "10.1016/j.clinph.2015.04.068", "ISSN" : "1872-8952", "PMID" : "26038115", "abstract" : "OBJECTIVE: In the present study, we tested the hypothesis that both movement execution and observation induce parallel modulations of alpha, beta, and gamma electrocorticographic (ECoG) rhythms in primary somatosensory (Brodmann area 1-2, BA1-2), primary motor (BA4), ventral premotor (BA6), and prefrontal (BA44 and BA45, part of putative human mirror neuron system underlying the understanding of actions of other people) areas.\\n\\nMETHODS: ECoG activity was recorded in drug-resistant epileptic patients during the execution of actions to reach and grasp common objects according to their affordances, as well as during the observation of the same actions performed by an experimenter.\\n\\nRESULTS: Both action execution and observation induced a desynchronization of alpha and beta rhythms in BA1-2, BA4, BA6, BA44 and BA45, which was generally higher in amplitude during the former than the latter condition. Action execution also induced a major synchronization of gamma rhythms in BA4 and BA6, again more during the execution of an action than during its observation.\\n\\nCONCLUSION: Human primary sensorimotor, premotor, and prefrontal areas do generate alpha, beta, and gamma rhythms and differently modulate them during action execution and observation. Gamma rhythms of motor areas are especially involved in action execution.\\n\\nSIGNIFICANCE: Oscillatory activity of neural populations in sensorimotor, premotor and prefrontal (part of human mirror neuron system) areas represents and distinguishes own actions from those of other people. This methodological approach might be used for a neurophysiological diagnostic imaging of social cognition in epileptic patients.", "author" : [ { "dropping-particle" : "", "family" : "Babiloni", "given" : "Claudio", "non-dropping-particle" : "", "parse-names" : false, "suffix" : "" }, { "dropping-particle" : "", "family" : "Percio", "given" : "Claudio", "non-dropping-particle" : "Del", "parse-names" : false, "suffix" : "" }, { "dropping-particle" : "", "family" : "Vecchio", "given" : "Fabrizio", "non-dropping-particle" : "", "parse-names" : false, "suffix" : "" }, { "dropping-particle" : "", "family" : "Sebastiano", "given" : "Fabio", "non-dropping-particle" : "", "parse-names" : false, "suffix" : "" }, { "dropping-particle" : "", "family" : "Gennaro", "given" : "Giancarlo", "non-dropping-particle" : "Di", "parse-names" : false, "suffix" : "" }, { "dropping-particle" : "", "family" : "Quarato", "given" : "Pier P", "non-dropping-particle" : "", "parse-names" : false, "suffix" : "" }, { "dropping-particle" : "", "family" : "Morace", "given" : "Roberta", "non-dropping-particle" : "", "parse-names" : false, "suffix" : "" }, { "dropping-particle" : "", "family" : "Pavone", "given" : "Luigi", "non-dropping-particle" : "", "parse-names" : false, "suffix" : "" }, { "dropping-particle" : "", "family" : "Soricelli", "given" : "Andrea", "non-dropping-particle" : "", "parse-names" : false, "suffix" : "" }, { "dropping-particle" : "", "family" : "Noce", "given" : "Giuseppe", "non-dropping-particle" : "", "parse-names" : false, "suffix" : "" }, { "dropping-particle" : "", "family" : "Esposito", "given" : "Vincenzo", "non-dropping-particle" : "", "parse-names" : false, "suffix" : "" }, { "dropping-particle" : "", "family" : "Rossini", "given" : "Paolo Maria", "non-dropping-particle" : "", "parse-names" : false, "suffix" : "" }, { "dropping-particle" : "", "family" : "Gallese", "given" : "Vittorio", "non-dropping-particle" : "", "parse-names" : false, "suffix" : "" }, { "dropping-particle" : "", "family" : "Mirabella", "given" : "Giovanni", "non-dropping-particle" : "", "parse-names" : false, "suffix" : "" } ], "container-title" : "Clinical Neurophysiology", "id" : "ITEM-1", "issue" : "1", "issued" : { "date-parts" : [ [ "2015" ] ] }, "page" : "1-14", "publisher" : "International Federation of Clinical Neurophysiology", "title" : "Alpha, beta and gamma electrocorticographic rhythms in somatosensory, motor, premotor and prefrontal cortical areas differ in movement execution and observation in humans.", "type" : "article-journal", "volume" : "127" }, "uris" : [ "http://www.mendeley.com/documents/?uuid=c59d37d1-78d2-4a80-b52f-2de4a7172aee" ] } ], "mendeley" : { "formattedCitation" : "(Babiloni et al., 2015)", "plainTextFormattedCitation" : "(Babiloni et al., 2015)", "previouslyFormattedCitation" : "(Babiloni et al., 2015)" }, "properties" : { "noteIndex" : 0 }, "schema" : "https://github.com/citation-style-language/schema/raw/master/csl-citation.json" }</w:instrText>
      </w:r>
      <w:r w:rsidRPr="00341B41">
        <w:fldChar w:fldCharType="separate"/>
      </w:r>
      <w:r w:rsidRPr="00341B41">
        <w:rPr>
          <w:noProof/>
        </w:rPr>
        <w:t>(Babiloni et al., 2015)</w:t>
      </w:r>
      <w:r w:rsidRPr="00341B41">
        <w:fldChar w:fldCharType="end"/>
      </w:r>
      <w:r w:rsidRPr="00341B41">
        <w:t xml:space="preserve">. </w:t>
      </w:r>
      <w:proofErr w:type="spellStart"/>
      <w:r w:rsidRPr="00341B41">
        <w:t>ECoG</w:t>
      </w:r>
      <w:proofErr w:type="spellEnd"/>
      <w:r w:rsidRPr="00341B41">
        <w:t xml:space="preserve"> involves placing electrodes directly onto the surface of the cortex, usually in drug-resistant epileptic patients who are undergoing brain surgery, and as such provides the excellent spatial resolution needed to demonstrate the cortical generator of oscillatory activity. This study showed mu ERD to both action execution and action observation, with a stronger ERD to execution compared to observation, a finding replicated with EEG data. Crucially, </w:t>
      </w:r>
      <w:r w:rsidR="00030804" w:rsidRPr="00341B41">
        <w:t>this</w:t>
      </w:r>
      <w:r w:rsidRPr="00341B41">
        <w:t xml:space="preserve"> study showed that the mu ERD was generated from cortical areas encompassing the fronto-parietal AON. This supports previous </w:t>
      </w:r>
      <w:proofErr w:type="spellStart"/>
      <w:r w:rsidRPr="00341B41">
        <w:t>ECoG</w:t>
      </w:r>
      <w:proofErr w:type="spellEnd"/>
      <w:r w:rsidRPr="00341B41">
        <w:t xml:space="preserve"> research which has shown the mu rhythm to be generated in the sensorimotor cortex </w:t>
      </w:r>
      <w:r w:rsidRPr="00341B41">
        <w:fldChar w:fldCharType="begin" w:fldLock="1"/>
      </w:r>
      <w:r w:rsidRPr="00341B41">
        <w:instrText>ADDIN CSL_CITATION { "citationItems" : [ { "id" : "ITEM-1", "itemData" : { "DOI" : "10.1093/brain/121.12.2271", "ISBN" : "0006-8950 (Print)", "ISSN" : "0006-8950", "PMID" : "9874480", "abstract" : "Human scalp EEG studies have shown that event-related desynchronization (ERD) in the alpha (8-13 Hz) and beta (15-25 Hz) bands may be used to detect functional activation of sensorimotor cortex. However, in most previous studies somatotopy has not been examined in detail and brief, self-paced movements, focusing on the planning of motor output, have been used. We recorded electrocorticographic (ECoG) signals in five clinical subjects during a visual-motor decision task that was designed to activate the representations of different body parts in sensorimotor cortex. To focus more on execution of motor output than on its planning, subjects were instructed to make sustained isometric muscle contractions in different body parts (tongue protrusion, fist-clenching or foot dorsiflexion) in response to randomized visual stimuli depicting each action. ECoG spectral analysis utilized a mixed-effects analysis of variance model in which within-trial temporal dependencies were taken into account, and the magnitude and statistical significance of alpha and beta ERDs were mapped onto a surface rendering of each subject's brain MRI. Cortical electrical stimulation was performed in all subjects for clinical purposes, and the resulting maps of sensorimotor function were compared with those generated by ECoG spectral analysis. During the early phases of the motor responses, alpha ERD commonly occurred in a diffuse spatial pattern that was not somatotopically specific. During the late phases, the spatial pattern of alpha ERD usually became more focused and somatotopically specific. Maps of alpha ERD were closer to cortical stimulation maps when alpha ERD was sustained throughout the late phases of the motor responses. Thus, the topography of alpha ERD more resembled traditional somatotopy when its temporal profile approximated that of the motor response. The topography of beta ERD was often more discrete and somatotopically specific than that of alpha ERD, but beta ERD was often transient and sometimes absent. Sometimes, unilateral limb movement produced sustained alpha and beta ERD over bilateral sensorimotor cortices, with overlapping patterns for different body parts. The topographical spread of alpha ERD beyond expected functional-anatomical boundaries during early (and sometimes late) phases of motor responses invites a re-examination of traditional assumptions about sensorimotor functional neuroanatomy, as well as the role of alpha ERD as an index of cortical activat\u2026", "author" : [ { "dropping-particle" : "", "family" : "Crone", "given" : "N E", "non-dropping-particle" : "", "parse-names" : false, "suffix" : "" }, { "dropping-particle" : "", "family" : "Crone", "given" : "N E", "non-dropping-particle" : "", "parse-names" : false, "suffix" : "" }, { "dropping-particle" : "", "family" : "Miglioretti", "given" : "D L", "non-dropping-particle" : "", "parse-names" : false, "suffix" : "" }, { "dropping-particle" : "", "family" : "Miglioretti", "given" : "D L", "non-dropping-particle" : "", "parse-names" : false, "suffix" : "" }, { "dropping-particle" : "", "family" : "Gordon", "given" : "B", "non-dropping-particle" : "", "parse-names" : false, "suffix" : "" }, { "dropping-particle" : "", "family" : "Gordon", "given" : "B", "non-dropping-particle" : "", "parse-names" : false, "suffix" : "" }, { "dropping-particle" : "", "family" : "Sieracki", "given" : "J M", "non-dropping-particle" : "", "parse-names" : false, "suffix" : "" }, { "dropping-particle" : "", "family" : "Sieracki", "given" : "J M", "non-dropping-particle" : "", "parse-names" : false, "suffix" : "" }, { "dropping-particle" : "", "family" : "Wilson", "given" : "M T", "non-dropping-particle" : "", "parse-names" : false, "suffix" : "" }, { "dropping-particle" : "", "family" : "Wilson", "given" : "M T", "non-dropping-particle" : "", "parse-names" : false, "suffix" : "" }, { "dropping-particle" : "", "family" : "Uematsu", "given" : "S", "non-dropping-particle" : "", "parse-names" : false, "suffix" : "" }, { "dropping-particle" : "", "family" : "Uematsu", "given" : "S", "non-dropping-particle" : "", "parse-names" : false, "suffix" : "" }, { "dropping-particle" : "", "family" : "Lesser", "given" : "R P", "non-dropping-particle" : "", "parse-names" : false, "suffix" : "" }, { "dropping-particle" : "", "family" : "Lesser", "given" : "R P", "non-dropping-particle" : "", "parse-names" : false, "suffix" : "" } ], "container-title" : "Brain", "id" : "ITEM-1", "issued" : { "date-parts" : [ [ "1998" ] ] }, "page" : "2271-99", "title" : "Functional mapping of human sensorimotor cortex with electrocorticographic spectral analysis. I. Alpha and beta event-related desynchronization.", "type" : "article-journal", "volume" : "121 ( Pt 1" }, "uris" : [ "http://www.mendeley.com/documents/?uuid=57388c8a-0de6-4437-be95-f41ae391d424" ] }, { "id" : "ITEM-2", "itemData" : { "DOI" : "10.1523/JNEUROSCI.3886-06.2007", "ISSN" : "1529-2401", "PMID" : "17329441", "abstract" : "In the first large study of its kind, we quantified changes in electrocorticographic signals associated with motor movement across 22 subjects with subdural electrode arrays placed for identification of seizure foci. Patients underwent a 5-7 d monitoring period with array placement, before seizure focus resection, and during this time they participated in the study. An interval-based motor-repetition task produced consistent and quantifiable spectral shifts that were mapped on a Talairach-standardized template cortex. Maps were created independently for a high-frequency band (HFB) (76-100 Hz) and a low-frequency band (LFB) (8-32 Hz) for several different movement modalities in each subject. The power in relevant electrodes consistently decreased in the LFB with movement, whereas the power in the HFB consistently increased. In addition, the HFB changes were more focal than the LFB changes. Sites of power changes corresponded to stereotactic locations in sensorimotor cortex and to the results of individual clinical electrical cortical mapping. Sensorimotor representation was found to be somatotopic, localized in stereotactic space to rolandic cortex, and typically followed the classic homunculus with limited extrarolandic representation.", "author" : [ { "dropping-particle" : "", "family" : "Miller", "given" : "Kai J", "non-dropping-particle" : "", "parse-names" : false, "suffix" : "" }, { "dropping-particle" : "", "family" : "Leuthardt", "given" : "Eric C", "non-dropping-particle" : "", "parse-names" : false, "suffix" : "" }, { "dropping-particle" : "", "family" : "Schalk", "given" : "Gerwin", "non-dropping-particle" : "", "parse-names" : false, "suffix" : "" }, { "dropping-particle" : "", "family" : "Rao", "given" : "Rajesh P N", "non-dropping-particle" : "", "parse-names" : false, "suffix" : "" }, { "dropping-particle" : "", "family" : "Anderson", "given" : "Nicholas R", "non-dropping-particle" : "", "parse-names" : false, "suffix" : "" }, { "dropping-particle" : "", "family" : "Moran", "given" : "Daniel W", "non-dropping-particle" : "", "parse-names" : false, "suffix" : "" }, { "dropping-particle" : "", "family" : "Miller", "given" : "John W", "non-dropping-particle" : "", "parse-names" : false, "suffix" : "" }, { "dropping-particle" : "", "family" : "Ojemann", "given" : "Jeffrey G", "non-dropping-particle" : "", "parse-names" : false, "suffix" : "" } ], "container-title" : "The Journal of Neuroscience", "id" : "ITEM-2", "issue" : "9", "issued" : { "date-parts" : [ [ "2007" ] ] }, "page" : "2424-32", "title" : "Spectral changes in cortical surface potentials during motor movement.", "type" : "article-journal", "volume" : "27" }, "uris" : [ "http://www.mendeley.com/documents/?uuid=2e8a0823-f701-4ecf-9bfc-68dcf17f730d" ] } ], "mendeley" : { "formattedCitation" : "(Crone et al., 1998; Miller et al., 2007)", "plainTextFormattedCitation" : "(Crone et al., 1998; Miller et al., 2007)", "previouslyFormattedCitation" : "(Crone et al., 1998; Miller et al., 2007)" }, "properties" : { "noteIndex" : 0 }, "schema" : "https://github.com/citation-style-language/schema/raw/master/csl-citation.json" }</w:instrText>
      </w:r>
      <w:r w:rsidRPr="00341B41">
        <w:fldChar w:fldCharType="separate"/>
      </w:r>
      <w:r w:rsidRPr="00341B41">
        <w:rPr>
          <w:noProof/>
        </w:rPr>
        <w:t>(Crone et al., 1998; Miller et al., 2007)</w:t>
      </w:r>
      <w:r w:rsidRPr="00341B41">
        <w:fldChar w:fldCharType="end"/>
      </w:r>
      <w:r w:rsidRPr="00341B41">
        <w:t>.</w:t>
      </w:r>
    </w:p>
    <w:p w14:paraId="7722C4E0" w14:textId="6DACDE48" w:rsidR="000849A7" w:rsidRPr="00341B41" w:rsidRDefault="000849A7" w:rsidP="000849A7">
      <w:pPr>
        <w:ind w:firstLine="720"/>
      </w:pPr>
      <w:r w:rsidRPr="00341B41">
        <w:t xml:space="preserve">Mu activity can be divided into functionally specific subtypes. During the execution of different movement types, low frequency mu (8-10Hz) shows a widespread movement-type non-specific activity pattern, which is suggested to be indicative of a </w:t>
      </w:r>
      <w:proofErr w:type="spellStart"/>
      <w:r w:rsidRPr="00341B41">
        <w:t>somatotopically</w:t>
      </w:r>
      <w:proofErr w:type="spellEnd"/>
      <w:r w:rsidRPr="00341B41">
        <w:t xml:space="preserve"> non-specific activation, and related to more general attentional processes </w:t>
      </w:r>
      <w:r w:rsidRPr="00341B41">
        <w:fldChar w:fldCharType="begin" w:fldLock="1"/>
      </w:r>
      <w:r w:rsidRPr="00341B41">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"mendeley" : { "formattedCitation" : "(Pfurtscheller, Neuper, &amp; Krausz, 2000)", "plainTextFormattedCitation" : "(Pfurtscheller, Neuper, &amp; Krausz, 2000)", "previouslyFormattedCitation" : "(Pfurtscheller, Neuper, &amp; Krausz, 2000)" }, "properties" : { "noteIndex" : 0 }, "schema" : "https://github.com/citation-style-language/schema/raw/master/csl-citation.json" }</w:instrText>
      </w:r>
      <w:r w:rsidRPr="00341B41">
        <w:fldChar w:fldCharType="separate"/>
      </w:r>
      <w:r w:rsidRPr="00341B41">
        <w:rPr>
          <w:noProof/>
        </w:rPr>
        <w:t>(Pfurtscheller, Neuper, &amp; Krausz, 2000)</w:t>
      </w:r>
      <w:r w:rsidRPr="00341B41">
        <w:fldChar w:fldCharType="end"/>
      </w:r>
      <w:r w:rsidRPr="00341B41">
        <w:t xml:space="preserve">. Higher frequency mu (11-13Hz) on the other hand shows a focused, movement-type specific pattern suggesting activation of </w:t>
      </w:r>
      <w:proofErr w:type="spellStart"/>
      <w:r w:rsidRPr="00341B41">
        <w:t>somatotopically</w:t>
      </w:r>
      <w:proofErr w:type="spellEnd"/>
      <w:r w:rsidRPr="00341B41">
        <w:t xml:space="preserve"> specific </w:t>
      </w:r>
      <w:r w:rsidRPr="00341B41">
        <w:lastRenderedPageBreak/>
        <w:t xml:space="preserve">cortical networks during goal directed movements </w:t>
      </w:r>
      <w:r w:rsidRPr="00341B41">
        <w:fldChar w:fldCharType="begin" w:fldLock="1"/>
      </w:r>
      <w:r w:rsidRPr="00341B41">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xml:space="preserve">. Thus far, researchers have only focused on action execution, however an important question is whether this same distinction is observed during observation tasks. </w:t>
      </w:r>
    </w:p>
    <w:p w14:paraId="1BD8523D" w14:textId="567018E7" w:rsidR="000849A7" w:rsidRPr="00341B41" w:rsidRDefault="000849A7" w:rsidP="000849A7">
      <w:pPr>
        <w:ind w:firstLine="720"/>
      </w:pPr>
      <w:r w:rsidRPr="00341B41">
        <w:t>Sensorimotor beta (~15-25Hz)</w:t>
      </w:r>
      <w:r w:rsidR="002039AB" w:rsidRPr="00341B41">
        <w:t xml:space="preserve"> oscillations</w:t>
      </w:r>
      <w:r w:rsidRPr="00341B41">
        <w:t xml:space="preserve"> </w:t>
      </w:r>
      <w:r w:rsidR="00425817" w:rsidRPr="00341B41">
        <w:t>have</w:t>
      </w:r>
      <w:r w:rsidRPr="00341B41">
        <w:t xml:space="preserve"> been shown to have similar properties to the mu rhythm </w:t>
      </w:r>
      <w:r w:rsidRPr="00341B41">
        <w:fldChar w:fldCharType="begin" w:fldLock="1"/>
      </w:r>
      <w:r w:rsidRPr="00341B41">
        <w:instrText>ADDIN CSL_CITATION { "citationItems" : [ { "id" : "ITEM-1", "itemData" : { "DOI" : "10.1007/s00221-009-2062-4", "ISBN" : "1432-1106 (Electronic)\\r0014-4819 (Linking)", "ISSN" : "0896-0267", "PMID" : "10791681", "abstract" : "People can learn to control the 8-12 Hz mu rhythm and/or the 18-25 Hz beta rhythm in the EEG recorded over sensorimotor cortex and use it to control a cursor on a video screen. Subjects often report using motor imagery to control cursor movement, particularly early in training. We compared in untrained subjects the EEG topographies associated with actual hand movement to those associated with imagined hand movement. Sixty-four EEG channels were recorded while each of 33 adults moved left- or right-hand or imagined doing so. Frequency-specific differences between movement or imagery and rest, and between right- and left-hand movement or imagery, were evaluated by scalp topographies of voltage and r spectra, and principal component analysis. Both movement and imagery were associated with mu and beta rhythm desynchronization. The mu topographies showed bilateral foci of desynchronization over sensorimotor cortices, while the beta topographies showed peak desynchronization over the vertex. Both mu and beta rhythm left/right differences showed bilateral central foci that were stronger on the right side. The independence of mu and beta rhythms was demonstrated by differences for movement and imagery for the subjects as a group and by principal components analysis. The results indicated that the effects of imagery were not simply an attenuated version of the effects of movement. They supply evidence that motor imagery could play an important role in EEG-based communication, and suggest that mu and beta rhythms might provide independent control signals.", "author" : [ { "dropping-particle" : "", "family" : "McFarland", "given" : "D J", "non-dropping-particle" : "", "parse-names" : false, "suffix" : "" }, { "dropping-particle" : "", "family" : "Miner", "given" : "L a", "non-dropping-particle" : "", "parse-names" : false, "suffix" : "" }, { "dropping-particle" : "", "family" : "Vaughan", "given" : "T M", "non-dropping-particle" : "", "parse-names" : false, "suffix" : "" }, { "dropping-particle" : "", "family" : "Wolpaw", "given" : "J R", "non-dropping-particle" : "", "parse-names" : false, "suffix" : "" } ], "container-title" : "Brain Topography", "id" : "ITEM-1", "issue" : "3", "issued" : { "date-parts" : [ [ "2000" ] ] }, "page" : "177-186", "title" : "Mu and beta rhythm topographies during motor imagery and actual movements.", "type" : "article-journal", "volume" : "12" }, "uris" : [ "http://www.mendeley.com/documents/?uuid=7ae8887e-16b9-4cb3-9365-761cff4a69e5" ] } ], "mendeley" : { "formattedCitation" : "(McFarland, Miner, Vaughan, &amp; Wolpaw, 2000)", "plainTextFormattedCitation" : "(McFarland, Miner, Vaughan, &amp; Wolpaw, 2000)", "previouslyFormattedCitation" : "(McFarland, Miner, Vaughan, &amp; Wolpaw, 2000)" }, "properties" : { "noteIndex" : 0 }, "schema" : "https://github.com/citation-style-language/schema/raw/master/csl-citation.json" }</w:instrText>
      </w:r>
      <w:r w:rsidRPr="00341B41">
        <w:fldChar w:fldCharType="separate"/>
      </w:r>
      <w:r w:rsidRPr="00341B41">
        <w:rPr>
          <w:noProof/>
        </w:rPr>
        <w:t>(McFarland, Miner, Vaughan, &amp; Wolpaw, 2000)</w:t>
      </w:r>
      <w:r w:rsidRPr="00341B41">
        <w:fldChar w:fldCharType="end"/>
      </w:r>
      <w:r w:rsidRPr="00341B41">
        <w:t xml:space="preserve">. Greater beta ERD is found during goal-directed actions compared to non-goal directed actions </w:t>
      </w:r>
      <w:r w:rsidRPr="00341B41">
        <w:fldChar w:fldCharType="begin" w:fldLock="1"/>
      </w:r>
      <w:r w:rsidRPr="00341B41">
        <w:instrText>ADDIN CSL_CITATION { "citationItems" : [ { "id" : "ITEM-1", "itemData" : { "DOI" : "10.1016/j.neuroimage.2004.06.010", "ISBN" : "10538119", "ISSN" : "10538119", "PMID" : "15325365", "abstract" : "Tool use is a characteristic human trait, requiring motor skills that are largely learned by imitation. A neural system that supports imitation and action understanding by directly matching observed actions and their motor counterparts has been found in the human premotor and motor cortices. To test whether this \"mirror-neuron system\" (MNS) would be activated by observation of tool use, we recorded neuromagnetic oscillatory activity from the primary motor cortex of 10 healthy subjects while they observed the experimenter to use chopsticks in a goal-directed and non-goal-directed manner. The left and right median nerves were stimulated alternatingly, and the poststimulus rebounds of the ???20-Hz motor-cortex rhythms were quantified. Compared with the rest condition, the level of the ???20-Hz rhythm was suppressed during observation of both types of tool use, indicating activation of the primary motor cortex. The suppression was on average 15-17% stronger during observation of goal-directed than non-goal-directed tool use, and this difference correlated positively with the frequency of subjects' chopstick use during the last year. These results support the view that the motor-cortex activation is related to the observer's ability to understand and imitate motor acts. ?? 2004 Elsevier Inc. All rights reserved.", "author" : [ { "dropping-particle" : "", "family" : "J\u00e4rvel\u00e4inen", "given" : "S", "non-dropping-particle" : "", "parse-names" : false, "suffix" : "" }, { "dropping-particle" : "", "family" : "Sch\u00fcrmann", "given" : "M", "non-dropping-particle" : "", "parse-names" : false, "suffix" : "" }, { "dropping-particle" : "", "family" : "Hari", "given" : "Riitta", "non-dropping-particle" : "", "parse-names" : false, "suffix" : "" } ], "container-title" : "NeuroImage", "id" : "ITEM-1", "issue" : "1", "issued" : { "date-parts" : [ [ "2004" ] ] }, "page" : "187-192", "title" : "Activation of the human primary motor cortex during observation of tool use", "type" : "article-journal", "volume" : "23" }, "uris" : [ "http://www.mendeley.com/documents/?uuid=b17f3314-7421-4067-9ede-faf448756f17" ] } ], "mendeley" : { "formattedCitation" : "(J\u00e4rvel\u00e4inen, Sch\u00fcrmann, &amp; Hari, 2004)", "plainTextFormattedCitation" : "(J\u00e4rvel\u00e4inen, Sch\u00fcrmann, &amp; Hari, 2004)", "previouslyFormattedCitation" : "(J\u00e4rvel\u00e4inen, Sch\u00fcrmann, &amp; Hari, 2004)" }, "properties" : { "noteIndex" : 0 }, "schema" : "https://github.com/citation-style-language/schema/raw/master/csl-citation.json" }</w:instrText>
      </w:r>
      <w:r w:rsidRPr="00341B41">
        <w:fldChar w:fldCharType="separate"/>
      </w:r>
      <w:r w:rsidRPr="00341B41">
        <w:rPr>
          <w:noProof/>
        </w:rPr>
        <w:t>(Järveläinen, Schürmann, &amp; Hari, 2004)</w:t>
      </w:r>
      <w:r w:rsidRPr="00341B41">
        <w:fldChar w:fldCharType="end"/>
      </w:r>
      <w:r w:rsidRPr="00341B41">
        <w:t xml:space="preserve">. Beta activity is also generated in central motor areas, and in non-motor pre-frontal areas </w:t>
      </w:r>
      <w:r w:rsidRPr="00341B41">
        <w:fldChar w:fldCharType="begin" w:fldLock="1"/>
      </w:r>
      <w:r w:rsidRPr="00341B41">
        <w:instrText>ADDIN CSL_CITATION { "citationItems" : [ { "id" : "ITEM-1", "itemData" : { "DOI" : "10.1523/JNEUROSCI.5371-13.2015", "ISBN" : "0950-5849", "ISSN" : "0270-6474", "PMID" : "25632138", "abstract" : "The short-lasting attenuation of brain oscillations is termed event-related desynchronization (ERD). It is frequently found in the alpha and beta bands in humans during generation, observation, and imagery of movement and is considered to reflect cortical motor activity and action-perception coupling. The shared information driving ERD in all these motor-related behaviors is unknown.Weinvestigated whether particular laws governing production and perception of curved movement may account for the attenuation of alpha and beta rhythms. Human movement appears to be governed by relatively few kinematic laws of motion. One dominant law in biological motion kinematics is the 2/3 power law (PL), which imposes a strong dependency of movement speed on curvature and is prominent in action- perception coupling. Here we directly examined whether the 2/3 PL elicits ERD during motion observation by characterizing the spatio- temporalsignature of ERD. ERDs were measured while human subjects observed a cloud of dots moving along elliptical trajectories either complying with or violating the 2/3 PL. We found that ERD within both frequency bands was consistently stronger, arose faster, and was more widespread while observing motion obeying the 2/3 PL. An activity pattern showing clear 2/3 PL preference and lying within the alpha band was observed exclusively above central motor areas, whereas 2/3 PL preference in the beta band was observed in additional prefrontal\u2013central cortical sites. Our findings reveal that compliance with the 2/3 PL is sufficient to elicit a selective ERD response in the human brain.", "author" : [ { "dropping-particle" : "", "family" : "Meirovitch", "given" : "Yaron", "non-dropping-particle" : "", "parse-names" : false, "suffix" : "" }, { "dropping-particle" : "", "family" : "Harris", "given" : "Hila", "non-dropping-particle" : "", "parse-names" : false, "suffix" : "" }, { "dropping-particle" : "", "family" : "Dayan", "given" : "E.", "non-dropping-particle" : "", "parse-names" : false, "suffix" : "" }, { "dropping-particle" : "", "family" : "Arieli", "given" : "Amos", "non-dropping-particle" : "", "parse-names" : false, "suffix" : "" }, { "dropping-particle" : "", "family" : "Flash", "given" : "Tamar", "non-dropping-particle" : "", "parse-names" : false, "suffix" : "" } ], "container-title" : "The Journal of Neuroscience", "id" : "ITEM-1", "issue" : "4", "issued" : { "date-parts" : [ [ "2015" ] ] }, "page" : "1627-1637", "title" : "Alpha and Beta Band Event-Related Desynchronization Reflects Kinematic Regularities", "type" : "article-journal", "volume" : "35" }, "uris" : [ "http://www.mendeley.com/documents/?uuid=a0404d8e-5d86-4a40-b201-8cc97ab5250b" ] }, { "id" : "ITEM-2", "itemData" : { "DOI" : "10.1016/j.clinph.2015.04.068", "ISSN" : "1872-8952", "PMID" : "26038115", "abstract" : "OBJECTIVE: In the present study, we tested the hypothesis that both movement execution and observation induce parallel modulations of alpha, beta, and gamma electrocorticographic (ECoG) rhythms in primary somatosensory (Brodmann area 1-2, BA1-2), primary motor (BA4), ventral premotor (BA6), and prefrontal (BA44 and BA45, part of putative human mirror neuron system underlying the understanding of actions of other people) areas.\\n\\nMETHODS: ECoG activity was recorded in drug-resistant epileptic patients during the execution of actions to reach and grasp common objects according to their affordances, as well as during the observation of the same actions performed by an experimenter.\\n\\nRESULTS: Both action execution and observation induced a desynchronization of alpha and beta rhythms in BA1-2, BA4, BA6, BA44 and BA45, which was generally higher in amplitude during the former than the latter condition. Action execution also induced a major synchronization of gamma rhythms in BA4 and BA6, again more during the execution of an action than during its observation.\\n\\nCONCLUSION: Human primary sensorimotor, premotor, and prefrontal areas do generate alpha, beta, and gamma rhythms and differently modulate them during action execution and observation. Gamma rhythms of motor areas are especially involved in action execution.\\n\\nSIGNIFICANCE: Oscillatory activity of neural populations in sensorimotor, premotor and prefrontal (part of human mirror neuron system) areas represents and distinguishes own actions from those of other people. This methodological approach might be used for a neurophysiological diagnostic imaging of social cognition in epileptic patients.", "author" : [ { "dropping-particle" : "", "family" : "Babiloni", "given" : "Claudio", "non-dropping-particle" : "", "parse-names" : false, "suffix" : "" }, { "dropping-particle" : "", "family" : "Percio", "given" : "Claudio", "non-dropping-particle" : "Del", "parse-names" : false, "suffix" : "" }, { "dropping-particle" : "", "family" : "Vecchio", "given" : "Fabrizio", "non-dropping-particle" : "", "parse-names" : false, "suffix" : "" }, { "dropping-particle" : "", "family" : "Sebastiano", "given" : "Fabio", "non-dropping-particle" : "", "parse-names" : false, "suffix" : "" }, { "dropping-particle" : "", "family" : "Gennaro", "given" : "Giancarlo", "non-dropping-particle" : "Di", "parse-names" : false, "suffix" : "" }, { "dropping-particle" : "", "family" : "Quarato", "given" : "Pier P", "non-dropping-particle" : "", "parse-names" : false, "suffix" : "" }, { "dropping-particle" : "", "family" : "Morace", "given" : "Roberta", "non-dropping-particle" : "", "parse-names" : false, "suffix" : "" }, { "dropping-particle" : "", "family" : "Pavone", "given" : "Luigi", "non-dropping-particle" : "", "parse-names" : false, "suffix" : "" }, { "dropping-particle" : "", "family" : "Soricelli", "given" : "Andrea", "non-dropping-particle" : "", "parse-names" : false, "suffix" : "" }, { "dropping-particle" : "", "family" : "Noce", "given" : "Giuseppe", "non-dropping-particle" : "", "parse-names" : false, "suffix" : "" }, { "dropping-particle" : "", "family" : "Esposito", "given" : "Vincenzo", "non-dropping-particle" : "", "parse-names" : false, "suffix" : "" }, { "dropping-particle" : "", "family" : "Rossini", "given" : "Paolo Maria", "non-dropping-particle" : "", "parse-names" : false, "suffix" : "" }, { "dropping-particle" : "", "family" : "Gallese", "given" : "Vittorio", "non-dropping-particle" : "", "parse-names" : false, "suffix" : "" }, { "dropping-particle" : "", "family" : "Mirabella", "given" : "Giovanni", "non-dropping-particle" : "", "parse-names" : false, "suffix" : "" } ], "container-title" : "Clinical Neurophysiology", "id" : "ITEM-2", "issue" : "1", "issued" : { "date-parts" : [ [ "2015" ] ] }, "page" : "1-14", "publisher" : "International Federation of Clinical Neurophysiology", "title" : "Alpha, beta and gamma electrocorticographic rhythms in somatosensory, motor, premotor and prefrontal cortical areas differ in movement execution and observation in humans.", "type" : "article-journal", "volume" : "127" }, "uris" : [ "http://www.mendeley.com/documents/?uuid=c59d37d1-78d2-4a80-b52f-2de4a7172aee" ] } ], "mendeley" : { "formattedCitation" : "(Babiloni et al., 2015; Meirovitch, Harris, Dayan, Arieli, &amp; Flash, 2015)", "plainTextFormattedCitation" : "(Babiloni et al., 2015; Meirovitch, Harris, Dayan, Arieli, &amp; Flash, 2015)", "previouslyFormattedCitation" : "(Babiloni et al., 2015; Meirovitch, Harris, Dayan, Arieli, &amp; Flash, 2015)" }, "properties" : { "noteIndex" : 0 }, "schema" : "https://github.com/citation-style-language/schema/raw/master/csl-citation.json" }</w:instrText>
      </w:r>
      <w:r w:rsidRPr="00341B41">
        <w:fldChar w:fldCharType="separate"/>
      </w:r>
      <w:r w:rsidRPr="00341B41">
        <w:rPr>
          <w:noProof/>
        </w:rPr>
        <w:t>(Babiloni et al., 2015; Meirovitch, Harris, Dayan, Arieli, &amp; Flash, 2015)</w:t>
      </w:r>
      <w:r w:rsidRPr="00341B41">
        <w:fldChar w:fldCharType="end"/>
      </w:r>
      <w:r w:rsidRPr="00341B41">
        <w:t>. Some studies have reported differences in functioning between the mu and beta rhythm activity. One study using a motor imagery task found that mu activity was modulated by task demand, with relative ERS as task demand increased</w:t>
      </w:r>
      <w:r w:rsidR="00425817" w:rsidRPr="00341B41">
        <w:t xml:space="preserve"> </w:t>
      </w:r>
      <w:r w:rsidRPr="00341B41">
        <w:fldChar w:fldCharType="begin" w:fldLock="1"/>
      </w:r>
      <w:r w:rsidRPr="00341B41">
        <w:instrText>ADDIN CSL_CITATION { "citationItems" : [ { "id" : "ITEM-1", "itemData" : { "DOI" : "10.1523/JNEUROSCI.2039-14.2014", "ISSN" : "0270-6474", "author" : [ { "dropping-particle" : "", "family" : "Brinkman", "given" : "L.", "non-dropping-particle" : "", "parse-names" : false, "suffix" : "" }, { "dropping-particle" : "", "family" : "Stolk", "given" : "a.", "non-dropping-particle" : "", "parse-names" : false, "suffix" : "" }, { "dropping-particle" : "", "family" : "Dijkerman", "given" : "H. C.", "non-dropping-particle" : "", "parse-names" : false, "suffix" : "" }, { "dropping-particle" : "", "family" : "Lange", "given" : "F. P.", "non-dropping-particle" : "de", "parse-names" : false, "suffix" : "" }, { "dropping-particle" : "", "family" : "Toni", "given" : "I.", "non-dropping-particle" : "", "parse-names" : false, "suffix" : "" } ], "container-title" : "The Journal of Neuroscience", "id" : "ITEM-1", "issue" : "44", "issued" : { "date-parts" : [ [ "2014", "10", "29" ] ] }, "page" : "14783-14792", "title" : "Distinct Roles for Alpha- and Beta-Band Oscillations during Mental Simulation of Goal-Directed Actions", "type" : "article-journal", "volume" : "34" }, "uris" : [ "http://www.mendeley.com/documents/?uuid=5f23a262-b223-49d8-9e22-c7b192af54a4" ] } ], "mendeley" : { "formattedCitation" : "(Brinkman, Stolk, Dijkerman, de Lange, &amp; Toni, 2014)", "plainTextFormattedCitation" : "(Brinkman, Stolk, Dijkerman, de Lange, &amp; Toni, 2014)", "previouslyFormattedCitation" : "(Brinkman, Stolk, Dijkerman, de Lange, &amp; Toni, 2014)" }, "properties" : { "noteIndex" : 0 }, "schema" : "https://github.com/citation-style-language/schema/raw/master/csl-citation.json" }</w:instrText>
      </w:r>
      <w:r w:rsidRPr="00341B41">
        <w:fldChar w:fldCharType="separate"/>
      </w:r>
      <w:r w:rsidRPr="00341B41">
        <w:rPr>
          <w:noProof/>
        </w:rPr>
        <w:t>(Brinkman, Stolk, Dijkerman, de Lange, &amp; Toni, 2014)</w:t>
      </w:r>
      <w:r w:rsidRPr="00341B41">
        <w:fldChar w:fldCharType="end"/>
      </w:r>
      <w:r w:rsidRPr="00341B41">
        <w:t>. This did not occur for beta activity, and suggests that mu activity is related more to resource allocation by a disengagement of task-irrelevant cortical regions, whilst beta activity is related to the computation of movement parameter</w:t>
      </w:r>
      <w:r w:rsidR="00425817" w:rsidRPr="00341B41">
        <w:t>s</w:t>
      </w:r>
      <w:r w:rsidRPr="00341B41">
        <w:t>. These differences however haven’t been investigated in action observation tasks.</w:t>
      </w:r>
    </w:p>
    <w:p w14:paraId="47435791" w14:textId="016DFF53" w:rsidR="007C0578" w:rsidRPr="00341B41" w:rsidRDefault="007C0578" w:rsidP="007C0578">
      <w:pPr>
        <w:ind w:firstLine="720"/>
      </w:pPr>
      <w:r w:rsidRPr="00341B41">
        <w:t xml:space="preserve">There has been little research to date into differences between low and high beta band frequencies. A recent study however has linked upper beta band (20-30Hz) ERD to </w:t>
      </w:r>
      <w:r w:rsidR="000D66FE" w:rsidRPr="00341B41">
        <w:t>PMC</w:t>
      </w:r>
      <w:r w:rsidRPr="00341B41">
        <w:t xml:space="preserve"> activity reflecting the outcome of a comparison between possible outcomes prior to producing an appropriate motor command </w:t>
      </w:r>
      <w:r w:rsidRPr="00341B41">
        <w:fldChar w:fldCharType="begin" w:fldLock="1"/>
      </w:r>
      <w:r w:rsidRPr="00341B41">
        <w:instrText>ADDIN CSL_CITATION { "citationItems" : [ { "id" : "ITEM-1", "itemData" : { "DOI" : "doi:10.1162/jocn_a_00932", "abstract" : "Comparisons of sequentially presented vibrotactile frequencies have been extensively studied using electrophysiological recordings in nonhuman primates. Although neural signatures for working memory aspects of such tasks were recently also identified in human oscillatory EEG activity, homologue correlates of the comparison process are yet unknown. Here, we recorded EEG activity while participants decided which of two sequentially presented vibrotactile stimuli had a higher frequency. Because choices in this type of task are known to be systematically biased by the time-order effect, we applied Bayesian modeling to account for individual choice behavior. Using model-based EEG analysis, we found that upper beta band amplitude (\u223c20\u201330 Hz) was modulated by participants' choices. The modulation emerged \u223c750 msec before a behavioral response was given and was source-localized to premotor areas.Importantly, the choice-dependent modulation of beta band amplitude was invariant to different motor response mappings and reflected the categorical outcome of the subjective comparison between the two frequencies. Consistently, this pattern was evident for both correct and incorrect trials, indicating that the beta band amplitude mirrors the internal representation of the comparison outcome. Our data complement previous findings in nonhuman primates and corroborate that the beta band activity in premotor areas reflects the categorical outcome of a sensory comparison prior to translation into an effector-specific motor command.", "author" : [ { "dropping-particle" : "", "family" : "Herding", "given" : "Jan", "non-dropping-particle" : "", "parse-names" : false, "suffix" : "" }, { "dropping-particle" : "", "family" : "Spitzer", "given" : "Bernhard", "non-dropping-particle" : "", "parse-names" : false, "suffix" : "" }, { "dropping-particle" : "", "family" : "Blankenburg", "given" : "Felix", "non-dropping-particle" : "", "parse-names" : false, "suffix" : "" } ], "container-title" : "Journal of Cognitive Neuroscience", "id" : "ITEM-1", "issued" : { "date-parts" : [ [ "2016" ] ] }, "title" : "Upper beta band ascillations in the human premotor cortex encode subjective choices in a vibrotactile comparison task", "type" : "article-journal" }, "uris" : [ "http://www.mendeley.com/documents/?uuid=3d3f7fd0-b8ae-4ccd-9e7a-39d540d14752" ] } ], "mendeley" : { "formattedCitation" : "(Herding, Spitzer, &amp; Blankenburg, 2016)", "plainTextFormattedCitation" : "(Herding, Spitzer, &amp; Blankenburg, 2016)", "previouslyFormattedCitation" : "(Herding, Spitzer, &amp; Blankenburg, 2016)" }, "properties" : { "noteIndex" : 0 }, "schema" : "https://github.com/citation-style-language/schema/raw/master/csl-citation.json" }</w:instrText>
      </w:r>
      <w:r w:rsidRPr="00341B41">
        <w:fldChar w:fldCharType="separate"/>
      </w:r>
      <w:r w:rsidRPr="00341B41">
        <w:rPr>
          <w:noProof/>
        </w:rPr>
        <w:t>(Herding, Spitzer, &amp; Blankenburg, 2016)</w:t>
      </w:r>
      <w:r w:rsidRPr="00341B41">
        <w:fldChar w:fldCharType="end"/>
      </w:r>
      <w:r w:rsidRPr="00341B41">
        <w:t>. Whilst some differences may be present, currently it appears that both mu and beta oscillations can be used as EEG measures of motor system activity during action observation and anticipation tasks.</w:t>
      </w:r>
    </w:p>
    <w:p w14:paraId="2C77EFFD" w14:textId="46B655DF" w:rsidR="007C0578" w:rsidRPr="00341B41" w:rsidRDefault="007C0578" w:rsidP="007C0578">
      <w:pPr>
        <w:pStyle w:val="Heading4"/>
      </w:pPr>
      <w:r w:rsidRPr="00341B41">
        <w:lastRenderedPageBreak/>
        <w:t>1.8.1.1.   Expertise modulation of mu and beta oscillations</w:t>
      </w:r>
    </w:p>
    <w:p w14:paraId="4AE823E8" w14:textId="32A6F1DE" w:rsidR="007C0578" w:rsidRPr="00341B41" w:rsidRDefault="007C0578" w:rsidP="007C0578">
      <w:r w:rsidRPr="00341B41">
        <w:t xml:space="preserve">As argued previously, if the motor system is involved in aiding action understanding, this activity should be modulated by the amount of expertise one has in the observed action. Mu and beta activity do appear to be modulated by motor expertise during action observation. In one study, expert performers were trained to perform a novel action to pick up a toy. A second group comprised of expert watchers, who had experience in observing the action being performed, but had no actual motor experience. A third group of novices had no prior experience with the action </w:t>
      </w:r>
      <w:r w:rsidRPr="00341B41">
        <w:fldChar w:fldCharType="begin" w:fldLock="1"/>
      </w:r>
      <w:r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fldChar w:fldCharType="separate"/>
      </w:r>
      <w:r w:rsidRPr="00341B41">
        <w:rPr>
          <w:noProof/>
        </w:rPr>
        <w:t>(Cannon et al., 2014)</w:t>
      </w:r>
      <w:r w:rsidRPr="00341B41">
        <w:fldChar w:fldCharType="end"/>
      </w:r>
      <w:r w:rsidRPr="00341B41">
        <w:t>. It was found that during action observation, mu ERD was greatest in the group who had had prior motor experience with the action, compared with the group of expert watche</w:t>
      </w:r>
      <w:r w:rsidR="00204EC1" w:rsidRPr="00341B41">
        <w:t>r</w:t>
      </w:r>
      <w:r w:rsidRPr="00341B41">
        <w:t>s and controls. Interestingly, there were no significant group differenc</w:t>
      </w:r>
      <w:r w:rsidR="004243E6" w:rsidRPr="00341B41">
        <w:t>es in the beta band. The author</w:t>
      </w:r>
      <w:r w:rsidRPr="00341B41">
        <w:t xml:space="preserve">s suggested this could be due to the simplicity of the actions being observed, and that the beta band responds to more complex kinematic stimuli </w:t>
      </w:r>
      <w:r w:rsidRPr="00341B41">
        <w:fldChar w:fldCharType="begin" w:fldLock="1"/>
      </w:r>
      <w:r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fldChar w:fldCharType="separate"/>
      </w:r>
      <w:r w:rsidRPr="00341B41">
        <w:rPr>
          <w:noProof/>
        </w:rPr>
        <w:t>(Cannon et al., 2014)</w:t>
      </w:r>
      <w:r w:rsidRPr="00341B41">
        <w:fldChar w:fldCharType="end"/>
      </w:r>
      <w:r w:rsidRPr="00341B41">
        <w:t>. In this study, a group of motor experts were developed by brief training periods before the experimental action observation session. For example, the expert performer group had 150 practice trials prior to the action observation experiment. As such, this study didn’t show how mu ERD during action observation is modulated by the long-term motor expertise that athletes have developed through years of intensive training.</w:t>
      </w:r>
    </w:p>
    <w:p w14:paraId="2833C1DC" w14:textId="77777777" w:rsidR="004F3B44" w:rsidRPr="00341B41" w:rsidRDefault="004F3B44" w:rsidP="004F3B44">
      <w:pPr>
        <w:rPr>
          <w:rFonts w:cs="Times New Roman"/>
        </w:rPr>
      </w:pPr>
      <w:r w:rsidRPr="00341B41">
        <w:tab/>
        <w:t xml:space="preserve">In a study of dancers, experts with at least 4 years’ experience, and non-dancer controls, observed dance sequences </w:t>
      </w:r>
      <w:r w:rsidRPr="00341B41">
        <w:fldChar w:fldCharType="begin" w:fldLock="1"/>
      </w:r>
      <w:r w:rsidRPr="00341B41">
        <w:instrText>ADDIN CSL_CITATION { "citationItems" : [ { "id" : "ITEM-1",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"ITEM-1", "issue" : "12", "issued" : { "date-parts" : [ [ "2008" ] ] }, "page" : "3380-3384", "title" : "Expertise in dance modulates alpha/beta event-related desynchronization during action observation", "type" : "article-journal", "volume" : "27" }, "uris" : [ "http://www.mendeley.com/documents/?uuid=c2a43f47-aaef-4a12-80c1-a869c17e8baf" ] } ], "mendeley" : { "formattedCitation" : "(Orgs, Dombrowski, Heil, &amp; Jansen-Osmann, 2008)", "plainTextFormattedCitation" : "(Orgs, Dombrowski, Heil, &amp; Jansen-Osmann, 2008)", "previouslyFormattedCitation" : "(Orgs, Dombrowski, Heil, &amp; Jansen-Osmann, 2008)" }, "properties" : { "noteIndex" : 0 }, "schema" : "https://github.com/citation-style-language/schema/raw/master/csl-citation.json" }</w:instrText>
      </w:r>
      <w:r w:rsidRPr="00341B41">
        <w:fldChar w:fldCharType="separate"/>
      </w:r>
      <w:r w:rsidRPr="00341B41">
        <w:rPr>
          <w:noProof/>
        </w:rPr>
        <w:t>(Orgs, Dombrowski, Heil, &amp; Jansen-Osmann, 2008)</w:t>
      </w:r>
      <w:r w:rsidRPr="00341B41">
        <w:fldChar w:fldCharType="end"/>
      </w:r>
      <w:r w:rsidRPr="00341B41">
        <w:t xml:space="preserve">. They found that during action observation, there was significantly greater ERD in both the mu and beta bands in the expert dancer group, compared to the novices. The fact that greater ERD was found in both frequency bands lends support to the suggestion that beta </w:t>
      </w:r>
      <w:r w:rsidRPr="00341B41">
        <w:lastRenderedPageBreak/>
        <w:t xml:space="preserve">band activity is related to processing of complex kinematic stimuli </w:t>
      </w:r>
      <w:r w:rsidRPr="00341B41">
        <w:fldChar w:fldCharType="begin" w:fldLock="1"/>
      </w:r>
      <w:r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fldChar w:fldCharType="separate"/>
      </w:r>
      <w:r w:rsidRPr="00341B41">
        <w:rPr>
          <w:noProof/>
        </w:rPr>
        <w:t>(Cannon et al., 2014)</w:t>
      </w:r>
      <w:r w:rsidRPr="00341B41">
        <w:fldChar w:fldCharType="end"/>
      </w:r>
      <w:r w:rsidRPr="00341B41">
        <w:t xml:space="preserve">. </w:t>
      </w:r>
      <w:r w:rsidRPr="00341B41">
        <w:rPr>
          <w:rFonts w:cs="Times New Roman"/>
        </w:rPr>
        <w:t xml:space="preserve">Relatedly, other work has examined 8-10Hz mu ERD during the observation of table tennis shots in participants of varying levels of expertise </w:t>
      </w:r>
      <w:r w:rsidRPr="00341B41">
        <w:rPr>
          <w:rFonts w:cs="Times New Roman"/>
        </w:rPr>
        <w:fldChar w:fldCharType="begin" w:fldLock="1"/>
      </w:r>
      <w:r w:rsidRPr="00341B41">
        <w:rPr>
          <w:rFonts w:cs="Times New Roman"/>
        </w:rPr>
        <w:instrText>ADDIN CSL_CITATION { "citationItems" : [ { "id" : "ITEM-1",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"ITEM-1",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"(Wolf et al., 2014)", "plainTextFormattedCitation" : "(Wolf et al., 2014)", "previouslyFormattedCitation" : "(Wolf et al., 2014)" }, "properties" : { "noteIndex" : 0 }, "schema" : "https://github.com/citation-style-language/schema/raw/master/csl-citation.json" }</w:instrText>
      </w:r>
      <w:r w:rsidRPr="00341B41">
        <w:rPr>
          <w:rFonts w:cs="Times New Roman"/>
        </w:rPr>
        <w:fldChar w:fldCharType="separate"/>
      </w:r>
      <w:r w:rsidRPr="00341B41">
        <w:rPr>
          <w:rFonts w:cs="Times New Roman"/>
          <w:noProof/>
        </w:rPr>
        <w:t>(Wolf et al., 2014)</w:t>
      </w:r>
      <w:r w:rsidRPr="00341B41">
        <w:rPr>
          <w:rFonts w:cs="Times New Roman"/>
        </w:rPr>
        <w:fldChar w:fldCharType="end"/>
      </w:r>
      <w:r w:rsidRPr="00341B41">
        <w:rPr>
          <w:rFonts w:cs="Times New Roman"/>
        </w:rPr>
        <w:t xml:space="preserve">. </w:t>
      </w:r>
      <w:r w:rsidRPr="00341B41">
        <w:t xml:space="preserve">Participants watched trials of an expert player performing a table tennis serve. Each trial lasted approximately 7 seconds, and consisted of a preparatory period where the player threw the ball in the air, and a movement phase where they struck the ball with their racket. Professional, junior academy, and novice players observed these actions. They found significantly greater 8-10Hz mu ERD between the expert and novice group, primarily late in the movement phase. There were no significant differences found between professionals and junior academy players, nor between the junior academy and novice players. As a control analysis, the authors also looked at occipital alpha ERD, finding no differences between the groups </w:t>
      </w:r>
      <w:r w:rsidRPr="00341B41">
        <w:fldChar w:fldCharType="begin" w:fldLock="1"/>
      </w:r>
      <w:r w:rsidRPr="00341B41">
        <w:instrText>ADDIN CSL_CITATION { "citationItems" : [ { "id" : "ITEM-1",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"ITEM-1",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"(Wolf et al., 2014)", "plainTextFormattedCitation" : "(Wolf et al., 2014)", "previouslyFormattedCitation" : "(Wolf et al., 2014)" }, "properties" : { "noteIndex" : 0 }, "schema" : "https://github.com/citation-style-language/schema/raw/master/csl-citation.json" }</w:instrText>
      </w:r>
      <w:r w:rsidRPr="00341B41">
        <w:fldChar w:fldCharType="separate"/>
      </w:r>
      <w:r w:rsidRPr="00341B41">
        <w:rPr>
          <w:noProof/>
        </w:rPr>
        <w:t>(Wolf et al., 2014)</w:t>
      </w:r>
      <w:r w:rsidRPr="00341B41">
        <w:fldChar w:fldCharType="end"/>
      </w:r>
      <w:r w:rsidRPr="00341B41">
        <w:t xml:space="preserve">. </w:t>
      </w:r>
      <w:r w:rsidRPr="00341B41">
        <w:rPr>
          <w:rFonts w:cs="Times New Roman"/>
        </w:rPr>
        <w:t xml:space="preserve">This study only investigated the low-mu frequency band, so it is unclear if significant group differences occurred in the high-mu band, or the beta band. This is important based on suggestions from action execution studies which have shown that low-mu activity is related to non-specific movements </w:t>
      </w:r>
      <w:r w:rsidRPr="00341B41">
        <w:rPr>
          <w:rFonts w:cs="Times New Roman"/>
        </w:rPr>
        <w:fldChar w:fldCharType="begin" w:fldLock="1"/>
      </w:r>
      <w:r w:rsidRPr="00341B41">
        <w:rPr>
          <w:rFonts w:cs="Times New Roman"/>
        </w:rPr>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rPr>
          <w:rFonts w:cs="Times New Roman"/>
        </w:rPr>
        <w:fldChar w:fldCharType="separate"/>
      </w:r>
      <w:r w:rsidRPr="00341B41">
        <w:rPr>
          <w:rFonts w:cs="Times New Roman"/>
          <w:noProof/>
        </w:rPr>
        <w:t>(Fumuro et al., 2015; Pfurtscheller et al., 2000)</w:t>
      </w:r>
      <w:r w:rsidRPr="00341B41">
        <w:rPr>
          <w:rFonts w:cs="Times New Roman"/>
        </w:rPr>
        <w:fldChar w:fldCharType="end"/>
      </w:r>
      <w:r w:rsidRPr="00341B41">
        <w:rPr>
          <w:rFonts w:cs="Times New Roman"/>
        </w:rPr>
        <w:t xml:space="preserve">. It might be expected that a better differentiation between expert and novice participants would be found in the high mu frequency band, as it is meant to index the activation of cortical networks for specific movements </w:t>
      </w:r>
      <w:r w:rsidRPr="00341B41">
        <w:rPr>
          <w:rFonts w:cs="Times New Roman"/>
        </w:rPr>
        <w:fldChar w:fldCharType="begin" w:fldLock="1"/>
      </w:r>
      <w:r w:rsidRPr="00341B41">
        <w:rPr>
          <w:rFonts w:cs="Times New Roman"/>
        </w:rPr>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rPr>
          <w:rFonts w:cs="Times New Roman"/>
        </w:rPr>
        <w:fldChar w:fldCharType="separate"/>
      </w:r>
      <w:r w:rsidRPr="00341B41">
        <w:rPr>
          <w:rFonts w:cs="Times New Roman"/>
          <w:noProof/>
        </w:rPr>
        <w:t>(Fumuro et al., 2015; Pfurtscheller et al., 2000)</w:t>
      </w:r>
      <w:r w:rsidRPr="00341B41">
        <w:rPr>
          <w:rFonts w:cs="Times New Roman"/>
        </w:rPr>
        <w:fldChar w:fldCharType="end"/>
      </w:r>
      <w:r w:rsidRPr="00341B41">
        <w:rPr>
          <w:rFonts w:cs="Times New Roman"/>
        </w:rPr>
        <w:t>.</w:t>
      </w:r>
    </w:p>
    <w:p w14:paraId="14461F8B" w14:textId="7F5C3D26" w:rsidR="00264B83" w:rsidRPr="00341B41" w:rsidRDefault="004F3B44" w:rsidP="004F3B44">
      <w:r w:rsidRPr="00341B41">
        <w:tab/>
        <w:t xml:space="preserve">A general limitation of EEG studies investigating expertise modulation of sensorimotor oscillations is that ERD was calculated over large epochs. This is either across the entire observation period </w:t>
      </w:r>
      <w:r w:rsidRPr="00341B41">
        <w:fldChar w:fldCharType="begin" w:fldLock="1"/>
      </w:r>
      <w:r w:rsidR="00100EED"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fldChar w:fldCharType="separate"/>
      </w:r>
      <w:r w:rsidRPr="00341B41">
        <w:rPr>
          <w:noProof/>
        </w:rPr>
        <w:t>(Cannon et al., 2014)</w:t>
      </w:r>
      <w:r w:rsidRPr="00341B41">
        <w:fldChar w:fldCharType="end"/>
      </w:r>
      <w:r w:rsidRPr="00341B41">
        <w:t xml:space="preserve"> or over 1-second intervals </w:t>
      </w:r>
      <w:r w:rsidRPr="00341B41">
        <w:fldChar w:fldCharType="begin" w:fldLock="1"/>
      </w:r>
      <w:r w:rsidRPr="00341B41">
        <w:instrText>ADDIN CSL_CITATION { "citationItems" : [ { "id" : "ITEM-1",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"ITEM-1", "issue" : "12", "issued" : { "date-parts" : [ [ "2008" ] ] }, "page" : "3380-3384", "title" : "Expertise in dance modulates alpha/beta event-related desynchronization during action observation", "type" : "article-journal", "volume" : "27" }, "uris" : [ "http://www.mendeley.com/documents/?uuid=c2a43f47-aaef-4a12-80c1-a869c17e8baf" ] }, { "id" : "ITEM-2",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"ITEM-2",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"(Orgs et al., 2008; Wolf et al., 2014)", "plainTextFormattedCitation" : "(Orgs et al., 2008; Wolf et al., 2014)", "previouslyFormattedCitation" : "(Orgs et al., 2008; Wolf et al., 2014)" }, "properties" : { "noteIndex" : 0 }, "schema" : "https://github.com/citation-style-language/schema/raw/master/csl-citation.json" }</w:instrText>
      </w:r>
      <w:r w:rsidRPr="00341B41">
        <w:fldChar w:fldCharType="separate"/>
      </w:r>
      <w:r w:rsidRPr="00341B41">
        <w:rPr>
          <w:noProof/>
        </w:rPr>
        <w:t>(Orgs et al., 2008; Wolf et al., 2014)</w:t>
      </w:r>
      <w:r w:rsidRPr="00341B41">
        <w:fldChar w:fldCharType="end"/>
      </w:r>
      <w:r w:rsidRPr="00341B41">
        <w:t xml:space="preserve">. This approach means that fine-grained statistical analysis of </w:t>
      </w:r>
      <w:r w:rsidRPr="00341B41">
        <w:lastRenderedPageBreak/>
        <w:t>group difference over time is not possible, as such the question of exactly when group differences arise has not been addressed to date. Nevertheless, these studies do show that mu and beta oscillations are modulated by the degree of expertise an individual has in the action being observed.</w:t>
      </w:r>
    </w:p>
    <w:p w14:paraId="40A0AC89" w14:textId="2E2219F6" w:rsidR="00264B83" w:rsidRPr="00341B41" w:rsidRDefault="00264B83" w:rsidP="004F3B44">
      <w:r w:rsidRPr="00341B41">
        <w:tab/>
        <w:t xml:space="preserve">These sections have demonstrated that activity of the motor system can be measured using EEG oscillations, and these </w:t>
      </w:r>
      <w:r w:rsidR="00326048" w:rsidRPr="00341B41">
        <w:t>indices</w:t>
      </w:r>
      <w:r w:rsidRPr="00341B41">
        <w:t xml:space="preserve"> are modulated by motor expertise. For these reasons, mu and beta activity, as recorded by EEG, represent suitable measures for investigating the role of the motor system in the anticipation of actions by athletes. The next section outlines the aims and objectives of this thesis in light of the literature reviewed in this Chapter.</w:t>
      </w:r>
    </w:p>
    <w:p w14:paraId="5FD46DF4" w14:textId="3C49FB38" w:rsidR="00920A64" w:rsidRPr="00341B41" w:rsidRDefault="00920A64" w:rsidP="00920A64">
      <w:pPr>
        <w:pStyle w:val="Heading2"/>
      </w:pPr>
      <w:bookmarkStart w:id="30" w:name="_Toc486260846"/>
      <w:r w:rsidRPr="00341B41">
        <w:t>1.9.</w:t>
      </w:r>
      <w:r w:rsidRPr="00341B41">
        <w:tab/>
        <w:t>Thesis aims and objectives</w:t>
      </w:r>
      <w:bookmarkEnd w:id="30"/>
    </w:p>
    <w:p w14:paraId="480C373A" w14:textId="724A47B1" w:rsidR="006F1398" w:rsidRPr="00341B41" w:rsidRDefault="00920A64" w:rsidP="000B2439">
      <w:r w:rsidRPr="00341B41">
        <w:t>The aim of this thesis is to investigate the ongoing neural activity during action observation prior to making an anticipatory judgment, specifically looking at the role of sensorimotor oscillation</w:t>
      </w:r>
      <w:r w:rsidR="00323477" w:rsidRPr="00341B41">
        <w:t>s</w:t>
      </w:r>
      <w:r w:rsidRPr="00341B41">
        <w:t xml:space="preserve"> recording by EEG. The work addresses a number of limitations in the current literature. Behavioural studies highlight the importance of kinematic understanding in the anticipation of actions, suggesting the rapid understanding of an opponent’s intentions based on their kinematic patterns </w:t>
      </w:r>
      <w:r w:rsidR="00D9220F" w:rsidRPr="00341B41">
        <w:t xml:space="preserve">is key to successful anticipation. A large body of work now suggests the motor system to play a role in action understanding (though the precise role is unclear), however neuroimaging studies of action anticipation have failed to consistently show a specific expertise modulation of motor system activity during action observation prior to anticipation. Therefore, it is still unclear whether </w:t>
      </w:r>
      <w:r w:rsidR="006F1398" w:rsidRPr="00341B41">
        <w:t xml:space="preserve">motor system activity </w:t>
      </w:r>
      <w:r w:rsidR="006F1398" w:rsidRPr="00341B41">
        <w:lastRenderedPageBreak/>
        <w:t>clearly distinguishes expert athletes from novices on an action anticipation task. This thesis aims to address this question using a novel methodological approach.</w:t>
      </w:r>
    </w:p>
    <w:p w14:paraId="738B2652" w14:textId="24592247" w:rsidR="00920A64" w:rsidRPr="00341B41" w:rsidRDefault="000B2439" w:rsidP="000B2439">
      <w:r w:rsidRPr="00341B41">
        <w:tab/>
        <w:t xml:space="preserve">In Chapter 2, the creation and validation of a video-based test of anticipation specific to the domain of tennis is addressed. One of the critical requirements of the expert performance approach is that the task is representative of real-life situations </w:t>
      </w:r>
      <w:r w:rsidRPr="00341B41">
        <w:fldChar w:fldCharType="begin" w:fldLock="1"/>
      </w:r>
      <w:r w:rsidR="007C5587"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 xml:space="preserve">. Therefore, an argument in favour of using video-based tests of anticipation is presented. As well as designing a test that can distinguish experts from novices based upon their anticipation performance, methodological requirements regarding creating a test that can reliability elucidate the mu rhythm are also discussed. As the focus of this thesis is primarily on the role of an individual’s motor expertise with an action, a secondary hypothesis in this Chapter was to explore whether changes in visual familiarity (induced by mirroring the player’s kinematics to create a perceived change of handedness) affected anticipation accuracy when the action kinematics remained unchanged. </w:t>
      </w:r>
      <w:r w:rsidR="006F1398" w:rsidRPr="00341B41">
        <w:t xml:space="preserve"> </w:t>
      </w:r>
    </w:p>
    <w:p w14:paraId="21985E50" w14:textId="77777777" w:rsidR="00A44D40" w:rsidRPr="00341B41" w:rsidRDefault="000B2439" w:rsidP="00A44D40">
      <w:r w:rsidRPr="00341B41">
        <w:tab/>
        <w:t xml:space="preserve">After showing that the behavioural test is an effective measure of anticipation performance in experienced tennis players, Chapter 3 presents an EEG study of action anticipation. The primary focus of this study was in changes in mu and beta activity during the action observation period prior to making an anticipation. As well as trying to replicate the findings of other work regarding expertise differences in ERD in mu and beta activity </w:t>
      </w:r>
      <w:r w:rsidRPr="00341B41">
        <w:fldChar w:fldCharType="begin" w:fldLock="1"/>
      </w:r>
      <w:r w:rsidRPr="00341B41">
        <w:instrText>ADDIN CSL_CITATION { "citationItems" : [ { "id" : "ITEM-1",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"ITEM-1", "issue" : "October", "issued" : { "date-parts" : [ [ "2014" ] ] }, "page" : "1-12", "title" : "Winning the game: brain processes in expert, young elite and amateur table tennis players", "type" : "article-journal", "volume" : "8" }, "uris" : [ "http://www.mendeley.com/documents/?uuid=7f1fad9f-858d-4127-b585-c4f53d6f5bd7" ] }, { "id" : "ITEM-2",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"ITEM-2", "issue" : "12", "issued" : { "date-parts" : [ [ "2008" ] ] }, "page" : "3380-3384", "title" : "Expertise in dance modulates alpha/beta event-related desynchronization during action observation", "type" : "article-journal", "volume" : "27" }, "uris" : [ "http://www.mendeley.com/documents/?uuid=c2a43f47-aaef-4a12-80c1-a869c17e8baf" ] } ], "mendeley" : { "formattedCitation" : "(Orgs et al., 2008; Wolf et al., 2014)", "plainTextFormattedCitation" : "(Orgs et al., 2008; Wolf et al., 2014)", "previouslyFormattedCitation" : "(Orgs et al., 2008; Wolf et al., 2014)" }, "properties" : { "noteIndex" : 0 }, "schema" : "https://github.com/citation-style-language/schema/raw/master/csl-citation.json" }</w:instrText>
      </w:r>
      <w:r w:rsidRPr="00341B41">
        <w:fldChar w:fldCharType="separate"/>
      </w:r>
      <w:r w:rsidRPr="00341B41">
        <w:rPr>
          <w:noProof/>
        </w:rPr>
        <w:t>(Orgs et al., 2008; Wolf et al., 2014)</w:t>
      </w:r>
      <w:r w:rsidRPr="00341B41">
        <w:fldChar w:fldCharType="end"/>
      </w:r>
      <w:r w:rsidRPr="00341B41">
        <w:t xml:space="preserve">, this study extends these results by addressing two gaps in the current literature. Firstly, a time/frequency analysis based analysis was used in order to overcome current limitations regarding the temporal precision of expertise differences in neural activity. Secondly, this Chapter also investigated the low (8-10Hz) and high (11-13Hz) mu bands separately in order to investigate whether the expertise effect </w:t>
      </w:r>
      <w:r w:rsidRPr="00341B41">
        <w:lastRenderedPageBreak/>
        <w:t>differs between these two frequency bands. This is believed to be the first work to directly address this question in an action observation/anticipation paradigm.</w:t>
      </w:r>
      <w:r w:rsidR="00A44D40" w:rsidRPr="00341B41">
        <w:t xml:space="preserve"> </w:t>
      </w:r>
    </w:p>
    <w:p w14:paraId="2E522057" w14:textId="767661D4" w:rsidR="003F4E40" w:rsidRPr="00341B41" w:rsidRDefault="00A44D40" w:rsidP="00064DC6">
      <w:pPr>
        <w:ind w:firstLine="720"/>
      </w:pPr>
      <w:r w:rsidRPr="00341B41">
        <w:t>It is well known that the spatial resolution of EEG is poor, making it difficult to understand where cortical activity is being generated. As well as being a general limitation of EEG research, this presents a specific issue for researching the sensorimotor system using EEG. This is because putative mu activity reflecting the sensorimotor system can be contaminated by posterior alpha activity, which occupies the same frequency band (8-13Hz), and reflects modulations in attentional demand. Therefore, channel-based analyses of sensorimotor oscillations may in fact be measuring differences in attention instead. A solution for this issue is presented in Chapter 4, which uses independent component analysis (ICA) as a way to separate sensorimotor mu activity from posterior alpha activity.</w:t>
      </w:r>
    </w:p>
    <w:p w14:paraId="3563A73E" w14:textId="67C56F80" w:rsidR="002F1FFD" w:rsidRPr="00341B41" w:rsidRDefault="002F1FFD" w:rsidP="00064DC6">
      <w:pPr>
        <w:ind w:firstLine="720"/>
      </w:pPr>
      <w:r w:rsidRPr="00341B41">
        <w:t xml:space="preserve">Chapter 5 takes a novel analysis strategy </w:t>
      </w:r>
      <w:r w:rsidR="00647EF1" w:rsidRPr="00341B41">
        <w:t xml:space="preserve">of </w:t>
      </w:r>
      <w:r w:rsidRPr="00341B41">
        <w:t>comparing sensorimotor activity during trials that were subsequently anticipated co</w:t>
      </w:r>
      <w:r w:rsidR="002A0D7D" w:rsidRPr="00341B41">
        <w:t>rrectly (i.e. the action was understood) to activity during trials that were subsequently anticipated incorrectly (i.e. the action was not understood). This comparison will provide more informative information regarding the role of mu and beta power in action understanding processes. Relationships between individual ERD and accuracy scores are also presented. These issues are not believed to have been looked at in the EEG action observation/anticipation literature before.</w:t>
      </w:r>
    </w:p>
    <w:p w14:paraId="28260295" w14:textId="6065D6C9" w:rsidR="008B25F4" w:rsidRPr="00341B41" w:rsidRDefault="008B25F4" w:rsidP="00064DC6">
      <w:pPr>
        <w:ind w:firstLine="720"/>
      </w:pPr>
      <w:r w:rsidRPr="00341B41">
        <w:t xml:space="preserve">Finally, in Chapter 6 an overall discussion of the findings will be presented. The specific findings shall be related back to the wider literature, showing how this thesis has advanced our understanding of expert action observation and anticipation. Some general limitations will be discussed, as well as wider implications of this work and future </w:t>
      </w:r>
      <w:r w:rsidRPr="00341B41">
        <w:lastRenderedPageBreak/>
        <w:t>directions. These discussions will be focused around the usefulness of this research in training anticipation skill, and designing more real-world tasks to test the hypotheses generated from this work in a more ecologically valid setting.</w:t>
      </w:r>
    </w:p>
    <w:p w14:paraId="40F9CA66" w14:textId="77777777" w:rsidR="008B25F4" w:rsidRPr="00341B41" w:rsidRDefault="008B25F4" w:rsidP="008B25F4"/>
    <w:p w14:paraId="49D6753C" w14:textId="77777777" w:rsidR="008B25F4" w:rsidRPr="00341B41" w:rsidRDefault="008B25F4" w:rsidP="008B25F4">
      <w:pPr>
        <w:sectPr w:rsidR="008B25F4" w:rsidRPr="00341B41" w:rsidSect="00661E89">
          <w:pgSz w:w="12240" w:h="15840"/>
          <w:pgMar w:top="1440" w:right="1138" w:bottom="1440" w:left="2275" w:header="720" w:footer="720" w:gutter="0"/>
          <w:cols w:space="720"/>
          <w:titlePg/>
          <w:docGrid w:linePitch="360"/>
        </w:sectPr>
      </w:pPr>
    </w:p>
    <w:p w14:paraId="72B33785" w14:textId="1704D612" w:rsidR="008B25F4" w:rsidRPr="00341B41" w:rsidRDefault="005B47BD" w:rsidP="005B47BD">
      <w:pPr>
        <w:pStyle w:val="Heading1"/>
      </w:pPr>
      <w:bookmarkStart w:id="31" w:name="_Toc486260847"/>
      <w:r w:rsidRPr="00341B41">
        <w:lastRenderedPageBreak/>
        <w:t>Chapter 2 – Development of a video-based test of anticipation skill suitable for EEG</w:t>
      </w:r>
      <w:bookmarkEnd w:id="31"/>
    </w:p>
    <w:p w14:paraId="42B4393E" w14:textId="0665ACB5" w:rsidR="005B47BD" w:rsidRPr="00341B41" w:rsidRDefault="005B47BD" w:rsidP="005B47BD">
      <w:pPr>
        <w:pStyle w:val="Heading2"/>
      </w:pPr>
      <w:bookmarkStart w:id="32" w:name="_Toc486260848"/>
      <w:r w:rsidRPr="00341B41">
        <w:t>2.1.</w:t>
      </w:r>
      <w:r w:rsidRPr="00341B41">
        <w:tab/>
        <w:t>Introduction</w:t>
      </w:r>
      <w:bookmarkEnd w:id="32"/>
    </w:p>
    <w:p w14:paraId="2F951C26" w14:textId="6937FC6A" w:rsidR="005B47BD" w:rsidRPr="00341B41" w:rsidRDefault="005B47BD" w:rsidP="005B47BD">
      <w:pPr>
        <w:pStyle w:val="Heading3"/>
      </w:pPr>
      <w:bookmarkStart w:id="33" w:name="_Toc486260849"/>
      <w:r w:rsidRPr="00341B41">
        <w:t>2.1.1.</w:t>
      </w:r>
      <w:r w:rsidRPr="00341B41">
        <w:tab/>
        <w:t>The utility of video-based anticipation tests</w:t>
      </w:r>
      <w:bookmarkEnd w:id="33"/>
    </w:p>
    <w:p w14:paraId="51E41739" w14:textId="532536D5" w:rsidR="005B47BD" w:rsidRPr="00341B41" w:rsidRDefault="005B47BD" w:rsidP="005B47BD">
      <w:pPr>
        <w:pStyle w:val="ThesisNormal"/>
      </w:pPr>
      <w:r w:rsidRPr="00341B41">
        <w:t xml:space="preserve">A great deal of our understanding of the mechanisms used by athletes in order to anticipate an opponent comes from laboratory studies using paradigms such as temporal occlusion (see </w:t>
      </w:r>
      <w:r w:rsidR="00F624CB" w:rsidRPr="00341B41">
        <w:t>section 1.4.2).</w:t>
      </w:r>
      <w:r w:rsidRPr="00341B41">
        <w:t xml:space="preserve"> This research has shown that experienced athletes are able to </w:t>
      </w:r>
      <w:proofErr w:type="spellStart"/>
      <w:r w:rsidRPr="00341B41">
        <w:t>utilise</w:t>
      </w:r>
      <w:proofErr w:type="spellEnd"/>
      <w:r w:rsidRPr="00341B41">
        <w:t xml:space="preserve"> kinematic cues present in an opponent’s action to anticipate the intentions of the player. One of the crucial components to studying expertise is that the task is representative of the real-world skill that is being studied </w:t>
      </w:r>
      <w:r w:rsidRPr="00341B41">
        <w:fldChar w:fldCharType="begin" w:fldLock="1"/>
      </w:r>
      <w:r w:rsidR="007C5587"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 xml:space="preserve">. Video-based tests of anticipation have been shown to reliably distinguish expert from novice participants, as such satisfying the criteria of the expert performance approach that in order for task performance to informative on the perceptual and cognitive processes underlying expertise, experts need to be distinguishable from novices based upon task performance </w:t>
      </w:r>
      <w:r w:rsidRPr="00341B41">
        <w:fldChar w:fldCharType="begin" w:fldLock="1"/>
      </w:r>
      <w:r w:rsidR="007C5587"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w:t>
      </w:r>
    </w:p>
    <w:p w14:paraId="365BD0DB" w14:textId="77777777" w:rsidR="005B47BD" w:rsidRPr="00341B41" w:rsidRDefault="005B47BD" w:rsidP="005B47BD">
      <w:pPr>
        <w:pStyle w:val="ThesisNormal"/>
      </w:pPr>
    </w:p>
    <w:p w14:paraId="7B6831A7" w14:textId="77777777" w:rsidR="005B47BD" w:rsidRPr="00341B41" w:rsidRDefault="005B47BD" w:rsidP="005B47BD">
      <w:pPr>
        <w:pStyle w:val="ThesisNormal"/>
        <w:ind w:firstLine="420"/>
        <w:rPr>
          <w:szCs w:val="22"/>
        </w:rPr>
      </w:pPr>
      <w:r w:rsidRPr="00341B41">
        <w:tab/>
        <w:t xml:space="preserve">Further support for the validity of video-based tests come from studies that have examined anticipatory skill in more real-world designs. These studies generally reach similar conclusions to those of video-based tests, and so suggest that video-based designs are tapping into similar cognitive processes that occur in real-world action anticipation. In an early study, high speed video was used to record anticipation </w:t>
      </w:r>
      <w:proofErr w:type="spellStart"/>
      <w:r w:rsidRPr="00341B41">
        <w:t>behaviours</w:t>
      </w:r>
      <w:proofErr w:type="spellEnd"/>
      <w:r w:rsidRPr="00341B41">
        <w:t xml:space="preserve"> during squash matches </w:t>
      </w:r>
      <w:r w:rsidRPr="00341B41">
        <w:fldChar w:fldCharType="begin" w:fldLock="1"/>
      </w:r>
      <w:r w:rsidRPr="00341B41">
        <w:instrText>ADDIN CSL_CITATION { "citationItems" : [ { "id" : "ITEM-1", "itemData" : { "author" : [ { "dropping-particle" : "", "family" : "Howarth", "given" : "C", "non-dropping-particle" : "", "parse-names" : false, "suffix" : "" }, { "dropping-particle" : "", "family" : "Walsh", "given" : "W.D", "non-dropping-particle" : "", "parse-names" : false, "suffix" : "" }, { "dropping-particle" : "", "family" : "Abernethy", "given" : "Bruce", "non-dropping-particle" : "", "parse-names" : false, "suffix" : "" } ], "container-title" : "Australian Journal of Science and Medicine in Sport", "id" : "ITEM-1", "issued" : { "date-parts" : [ [ "1984" ] ] }, "page" : "7-11", "title" : "A field examination of anticipation in squash", "type" : "article-journal", "volume" : "16" }, "uris" : [ "http://www.mendeley.com/documents/?uuid=9d217702-0696-4db4-965b-971d1b478988" ] } ], "mendeley" : { "formattedCitation" : "(Howarth, Walsh, &amp; Abernethy, 1984)", "plainTextFormattedCitation" : "(Howarth, Walsh, &amp; Abernethy, 1984)", "previouslyFormattedCitation" : "(Howarth, Walsh, &amp; Abernethy, 1984)" }, "properties" : { "noteIndex" : 0 }, "schema" : "https://github.com/citation-style-language/schema/raw/master/csl-citation.json" }</w:instrText>
      </w:r>
      <w:r w:rsidRPr="00341B41">
        <w:fldChar w:fldCharType="separate"/>
      </w:r>
      <w:r w:rsidRPr="00341B41">
        <w:rPr>
          <w:noProof/>
        </w:rPr>
        <w:t>(Howarth, Walsh, &amp; Abernethy, 1984)</w:t>
      </w:r>
      <w:r w:rsidRPr="00341B41">
        <w:fldChar w:fldCharType="end"/>
      </w:r>
      <w:r w:rsidRPr="00341B41">
        <w:t xml:space="preserve">. They found that experienced squash </w:t>
      </w:r>
      <w:r w:rsidRPr="00341B41">
        <w:lastRenderedPageBreak/>
        <w:t xml:space="preserve">players initiated movements approximately 87ms before their opponent struck the ball, assuming a </w:t>
      </w:r>
      <w:proofErr w:type="spellStart"/>
      <w:r w:rsidRPr="00341B41">
        <w:t>visuo</w:t>
      </w:r>
      <w:proofErr w:type="spellEnd"/>
      <w:r w:rsidRPr="00341B41">
        <w:t xml:space="preserve">-motor delay of approximately 150-200ms </w:t>
      </w:r>
      <w:r w:rsidRPr="00341B41">
        <w:fldChar w:fldCharType="begin" w:fldLock="1"/>
      </w:r>
      <w:r w:rsidRPr="00341B41">
        <w:instrText>ADDIN CSL_CITATION { "citationItems" : [ { "id" : "ITEM-1", "itemData" : { "DOI" : "10.1038/381520a0", "ISBN" : "0028-0836 (Print)\\r0028-0836 (Linking)", "ISSN" : "0028-0836", "PMID" : "8632824", "abstract" : "How long does it take for the human visual system to process a complex natural image? Subjectively, recognition of familiar objects and scenes appears to be virtually instantaneous, but measuring this processing time experimentally has proved difficult. Behavioural measures such as reaction times can be used, but these include not only visual processing but also the time required for response execution. However, event-related potentials (ERPs) can sometimes reveal signs of neural processing well before the motor output. Here we use a go/no-go categorization task in which subjects have to decide whether a previously unseen photograph, flashed on for just 20 ms, contains an animal. ERP analysis revealed a frontal negativity specific to no-go trials that develops roughly 150 ms after stimulus onset. We conclude that the visual processing needed to perform this highly demanding task can be achieved in under 150 ms.", "author" : [ { "dropping-particle" : "", "family" : "Thorpe", "given" : "Simon", "non-dropping-particle" : "", "parse-names" : false, "suffix" : "" }, { "dropping-particle" : "", "family" : "Fize", "given" : "Denis", "non-dropping-particle" : "", "parse-names" : false, "suffix" : "" }, { "dropping-particle" : "", "family" : "Marlot", "given" : "Catherine", "non-dropping-particle" : "", "parse-names" : false, "suffix" : "" } ], "container-title" : "Nature", "id" : "ITEM-1", "issue" : "6582", "issued" : { "date-parts" : [ [ "1996" ] ] }, "page" : "520-522", "title" : "Speed of processing in the human visual system", "type" : "article", "volume" : "381" }, "uris" : [ "http://www.mendeley.com/documents/?uuid=99554d0f-4bc4-48e4-ab86-0f1f1e8cc12f" ] } ], "mendeley" : { "formattedCitation" : "(Thorpe, Fize, &amp; Marlot, 1996)", "plainTextFormattedCitation" : "(Thorpe, Fize, &amp; Marlot, 1996)", "previouslyFormattedCitation" : "(Thorpe, Fize, &amp; Marlot, 1996)" }, "properties" : { "noteIndex" : 0 }, "schema" : "https://github.com/citation-style-language/schema/raw/master/csl-citation.json" }</w:instrText>
      </w:r>
      <w:r w:rsidRPr="00341B41">
        <w:fldChar w:fldCharType="separate"/>
      </w:r>
      <w:r w:rsidRPr="00341B41">
        <w:rPr>
          <w:noProof/>
        </w:rPr>
        <w:t>(Thorpe, Fize, &amp; Marlot, 1996)</w:t>
      </w:r>
      <w:r w:rsidRPr="00341B41">
        <w:fldChar w:fldCharType="end"/>
      </w:r>
      <w:r w:rsidRPr="00341B41">
        <w:t xml:space="preserve">. On the other hand, less experienced players did not initiate movement until 163ms after racket-ball contact. Other studies have reached similar conclusions </w:t>
      </w:r>
      <w:r w:rsidRPr="00341B41">
        <w:fldChar w:fldCharType="begin" w:fldLock="1"/>
      </w:r>
      <w:r w:rsidRPr="00341B41">
        <w:instrText>ADDIN CSL_CITATION { "citationItems" : [ { "id" : "ITEM-1", "itemData" : { "author" : [ { "dropping-particle" : "", "family" : "James", "given" : "N", "non-dropping-particle" : "", "parse-names" : false, "suffix" : "" }, { "dropping-particle" : "", "family" : "Bradley", "given" : "C", "non-dropping-particle" : "", "parse-names" : false, "suffix" : "" } ], "container-title" : "Science and Racket Sports III", "editor" : [ { "dropping-particle" : "", "family" : "Lees", "given" : "A", "non-dropping-particle" : "", "parse-names" : false, "suffix" : "" }, { "dropping-particle" : "", "family" : "Kahn", "given" : "J.F", "non-dropping-particle" : "", "parse-names" : false, "suffix" : "" }, { "dropping-particle" : "", "family" : "Maynard", "given" : "I.W", "non-dropping-particle" : "", "parse-names" : false, "suffix" : "" } ], "id" : "ITEM-1", "issued" : { "date-parts" : [ [ "2004" ] ] }, "page" : "247-252", "publisher" : "Routledge", "publisher-place" : "Abingdon, Oxfordshire", "title" : "Disgusing ones intentions: The availability of visual cues and situational probabilities when playing against an international level squash player", "type" : "chapter" }, "uris" : [ "http://www.mendeley.com/documents/?uuid=4c6c243d-75f7-4019-8110-38f1db1321ae" ] }, { "id" : "ITEM-2", "itemData" : { "DOI" : "10.1068/p2872", "ISBN" : "0301-0066", "ISSN" : "03010066", "PMID" : "11296504", "abstract" : "Two experiments were conducted on the nature of expert perception in the sport of squash. In the first experiment, ten expert and fifteen novice players attempted to predict the direction and force of squash strokes from either a film display (occluded at variable time periods before and after the opposing player had struck the ball) or a matched point-light display (containing only the basic kinematic features of the opponent's movement pattern). Experts out-performed the novices under both display conditions, and the same basic time windows that characterised expert and novice pick-up of information in the film task also persisted in the point-light task. This suggests that the experts' perceptual advantage is directly related to their superior pick-up of essential kinematic information. In the second experiment, the vision of six expert and six less skilled players was occluded by remotely triggered liquid-crystal spectacles at quasi-random intervals during simulated match play. Players were required to complete their current stroke even when the display was occluded and their prediction performance was assessed with respect to whether they moved to the correct half of the court to match the direction and depth of the opponent's stroke. Consistent with experiment 1, experts were found to be superior in their advance pick-up of both directional and depth information when the display was occluded during the opponent's hitting action. However, experts also remained better than chance, and clearly superior to less skilled players, in their prediction performance under conditions where occlusion occurred before any significant pre-contact preparatory movement by the opposing player was visible. This additional source of expert superiority is attributable to their superior attunement to the information contained in the situational probabilities and sequential dependences within their opponent's pattern of play.", "author" : [ { "dropping-particle" : "", "family" : "Abernethy", "given" : "Bruce", "non-dropping-particle" : "", "parse-names" : false, "suffix" : "" }, { "dropping-particle" : "", "family" : "Gill", "given" : "Danny P.", "non-dropping-particle" : "", "parse-names" : false, "suffix" : "" }, { "dropping-particle" : "", "family" : "Parks", "given" : "Sheri L.", "non-dropping-particle" : "", "parse-names" : false, "suffix" : "" }, { "dropping-particle" : "", "family" : "Packer", "given" : "Stephen T.", "non-dropping-particle" : "", "parse-names" : false, "suffix" : "" } ], "container-title" : "Perception", "id" : "ITEM-2", "issue" : "2", "issued" : { "date-parts" : [ [ "2001" ] ] }, "page" : "233-252", "title" : "Expertise and the perception of kinematic and situational probability information", "type" : "article-journal", "volume" : "30" }, "uris" : [ "http://www.mendeley.com/documents/?uuid=0ca36330-02f6-455a-94f6-00fec06ceb81" ] } ], "mendeley" : { "formattedCitation" : "(Abernethy et al., 2001; James &amp; Bradley, 2004)", "plainTextFormattedCitation" : "(Abernethy et al., 2001; James &amp; Bradley, 2004)", "previouslyFormattedCitation" : "(Abernethy et al., 2001; James &amp; Bradley, 2004)" }, "properties" : { "noteIndex" : 0 }, "schema" : "https://github.com/citation-style-language/schema/raw/master/csl-citation.json" }</w:instrText>
      </w:r>
      <w:r w:rsidRPr="00341B41">
        <w:fldChar w:fldCharType="separate"/>
      </w:r>
      <w:r w:rsidRPr="00341B41">
        <w:rPr>
          <w:noProof/>
        </w:rPr>
        <w:t>(Abernethy et al., 2001; James &amp; Bradley, 2004)</w:t>
      </w:r>
      <w:r w:rsidRPr="00341B41">
        <w:fldChar w:fldCharType="end"/>
      </w:r>
      <w:r w:rsidRPr="00341B41">
        <w:t xml:space="preserve">. These results support the findings of video-based tests of anticipation in that expert players are able to </w:t>
      </w:r>
      <w:proofErr w:type="spellStart"/>
      <w:r w:rsidRPr="00341B41">
        <w:t>utilise</w:t>
      </w:r>
      <w:proofErr w:type="spellEnd"/>
      <w:r w:rsidRPr="00341B41">
        <w:t xml:space="preserve"> cues present before racket-ball contact to anticipate the action of an opponent. </w:t>
      </w:r>
    </w:p>
    <w:p w14:paraId="6745DA89" w14:textId="77777777" w:rsidR="005B47BD" w:rsidRPr="00341B41" w:rsidRDefault="005B47BD" w:rsidP="005B47BD">
      <w:pPr>
        <w:pStyle w:val="ThesisNormal"/>
        <w:rPr>
          <w:szCs w:val="22"/>
        </w:rPr>
      </w:pPr>
    </w:p>
    <w:p w14:paraId="7DDDB82C" w14:textId="77777777" w:rsidR="005B47BD" w:rsidRPr="00341B41" w:rsidRDefault="005B47BD" w:rsidP="005B47BD">
      <w:pPr>
        <w:pStyle w:val="ThesisNormal"/>
      </w:pPr>
      <w:r w:rsidRPr="00341B41">
        <w:rPr>
          <w:szCs w:val="22"/>
        </w:rPr>
        <w:tab/>
        <w:t xml:space="preserve">The findings from </w:t>
      </w:r>
      <w:r w:rsidRPr="00341B41">
        <w:t xml:space="preserve">in-situ studies of anticipation performance seem to complement findings from laboratory studies, in that players are able to accurately predict the outcomes of an opponent’s actions ahead of some critical period (e.g. racket-ball contact). The work has also further illuminated how different anticipatory mechanisms may be used in different circumstances. Research looking into anticipatory </w:t>
      </w:r>
      <w:proofErr w:type="spellStart"/>
      <w:r w:rsidRPr="00341B41">
        <w:t>behaviours</w:t>
      </w:r>
      <w:proofErr w:type="spellEnd"/>
      <w:r w:rsidRPr="00341B41">
        <w:t xml:space="preserve"> in tennis has suggested that different anticipatory strategies are used at different points in the action sequence </w:t>
      </w:r>
      <w:r w:rsidRPr="00341B41">
        <w:fldChar w:fldCharType="begin" w:fldLock="1"/>
      </w:r>
      <w:r w:rsidRPr="00341B41">
        <w:instrText>ADDIN CSL_CITATION { "citationItems" : [ { "id" : "ITEM-1", "itemData" : { "DOI" : "10.1080/02640414.2012.759658", "ISSN" : "1466-447X", "PMID" : "23362917", "abstract" : "We quantify the nature and frequency of anticipation behaviours in professional tennis using video coding of incidents where the time delay between the opponent's stroke and the reaction of the player were recorded. We argue that anticipation is based on uncertain information and should lead in some situations to erroneous decisions. We identified the transition between reaction (with 100% accuracy in the selection of where the ball is played on the court) and anticipation (with less than 100% accuracy) as being 140-160 ms after ball contact. Anticipation behaviours occurred on between 6.14% and 13.42% of the coded situations. These anticipation behaviours appeared almost exclusively in 'unfavourable' situations, where the opponent had a significant tactical advantage, with the type of playing surface having only a limited effect. Moreover, the decrease in accuracy with shorter response times is not monotonic, with an increase in response accuracy being observed for times shorter than 120 ms before ball contact. We propose that very early anticipation behaviours occur when players use significant context-specific information before the opponent's stroke. When such information is not available, players produce anticipation behaviours that are closer to the moment of ball-racket contact using information that is more likely to be based on the opponent's preparation of the stroke. This study opens new directions for research focusing on the testing and training of anticipation in fast ball sports.", "author" : [ { "dropping-particle" : "", "family" : "Triolet", "given" : "Celine", "non-dropping-particle" : "", "parse-names" : false, "suffix" : "" }, { "dropping-particle" : "", "family" : "Benguigui", "given" : "Nicolas", "non-dropping-particle" : "", "parse-names" : false, "suffix" : "" }, { "dropping-particle" : "", "family" : "Runigo", "given" : "Cyrille", "non-dropping-particle" : "Le", "parse-names" : false, "suffix" : "" }, { "dropping-particle" : "", "family" : "Williams", "given" : "Andrew Mark", "non-dropping-particle" : "", "parse-names" : false, "suffix" : "" } ], "container-title" : "Journal of Sports Sciences", "id" : "ITEM-1", "issue" : "8", "issued" : { "date-parts" : [ [ "2013" ] ] }, "page" : "820-30", "title" : "Quantifying the nature of anticipation in professional tennis.", "type" : "article-journal", "volume" : "31" }, "uris" : [ "http://www.mendeley.com/documents/?uuid=ddd0f10b-538d-43f3-bae4-250d7fbe76d8" ] } ], "mendeley" : { "formattedCitation" : "(Triolet, Benguigui, Le Runigo, &amp; Williams, 2013)", "plainTextFormattedCitation" : "(Triolet, Benguigui, Le Runigo, &amp; Williams, 2013)", "previouslyFormattedCitation" : "(Triolet, Benguigui, Le Runigo, &amp; Williams, 2013)" }, "properties" : { "noteIndex" : 0 }, "schema" : "https://github.com/citation-style-language/schema/raw/master/csl-citation.json" }</w:instrText>
      </w:r>
      <w:r w:rsidRPr="00341B41">
        <w:fldChar w:fldCharType="separate"/>
      </w:r>
      <w:r w:rsidRPr="00341B41">
        <w:rPr>
          <w:noProof/>
        </w:rPr>
        <w:t>(Triolet, Benguigui, Le Runigo, &amp; Williams, 2013)</w:t>
      </w:r>
      <w:r w:rsidRPr="00341B41">
        <w:fldChar w:fldCharType="end"/>
      </w:r>
      <w:r w:rsidRPr="00341B41">
        <w:t xml:space="preserve">. It was suggested that anticipatory </w:t>
      </w:r>
      <w:proofErr w:type="spellStart"/>
      <w:r w:rsidRPr="00341B41">
        <w:t>behaviours</w:t>
      </w:r>
      <w:proofErr w:type="spellEnd"/>
      <w:r w:rsidRPr="00341B41">
        <w:t xml:space="preserve"> occurring very early e.g. 400ms before racket-ball contact are likely made based upon tactical aspects of the game, suggesting contextual cues are being used. On the other hand, the authors propose that anticipations that occur closer to racket-ball contact (around 100ms) are likely based on kinematic cues. A limitation of this study was that it was impossible to identify the player’s thoughts preceding each shot. A player likely makes an early anticipatory estimate to most shots, but only acts on these anticipations in certain situations where it is beneficial over waiting for further information </w:t>
      </w:r>
      <w:r w:rsidRPr="00341B41">
        <w:fldChar w:fldCharType="begin" w:fldLock="1"/>
      </w:r>
      <w:r w:rsidRPr="00341B41">
        <w:instrText>ADDIN CSL_CITATION { "citationItems" : [ { "id" : "ITEM-1", "itemData" : { "author" : [ { "dropping-particle" : "", "family" : "Kamp", "given" : "John", "non-dropping-particle" : "Van der", "parse-names" : false, "suffix" : "" }, { "dropping-particle" : "", "family" : "Rivas", "given" : "Fernando", "non-dropping-particle" : "", "parse-names" : false, "suffix" : "" }, { "dropping-particle" : "", "family" : "Doorn", "given" : "Hemke", "non-dropping-particle" : "van", "parse-names" : false, "suffix" : "" }, { "dropping-particle" : "", "family" : "Savelsbergh", "given" : "Geert J P", "non-dropping-particle" : "", "parse-names" : false, "suffix" : "" } ], "container-title" : "International Journal of Sport Psychology", "id" : "ITEM-1", "issue" : "2", "issued" : { "date-parts" : [ [ "2008" ] ] }, "page" : "100-130", "title" : "Ventral and dorsal system contributions to visual anticipation in fast ball sports", "type" : "article-journal", "volume" : "39" }, "uris" : [ "http://www.mendeley.com/documents/?uuid=ea650071-d388-4882-83fa-8d422eeb739c" ] } ], "mendeley" : { "formattedCitation" : "(Van der Kamp, Rivas, van Doorn, &amp; Savelsbergh, 2008)", "plainTextFormattedCitation" : "(Van der Kamp, Rivas, van Doorn, &amp; Savelsbergh, 2008)", "previouslyFormattedCitation" : "(Van der Kamp, Rivas, van Doorn, &amp; Savelsbergh, 2008)" }, "properties" : { "noteIndex" : 0 }, "schema" : "https://github.com/citation-style-language/schema/raw/master/csl-citation.json" }</w:instrText>
      </w:r>
      <w:r w:rsidRPr="00341B41">
        <w:fldChar w:fldCharType="separate"/>
      </w:r>
      <w:r w:rsidRPr="00341B41">
        <w:rPr>
          <w:noProof/>
        </w:rPr>
        <w:t>(Van der Kamp, Rivas, van Doorn, &amp; Savelsbergh, 2008)</w:t>
      </w:r>
      <w:r w:rsidRPr="00341B41">
        <w:fldChar w:fldCharType="end"/>
      </w:r>
      <w:r w:rsidRPr="00341B41">
        <w:t xml:space="preserve">. These results suggest that very </w:t>
      </w:r>
      <w:r w:rsidRPr="00341B41">
        <w:lastRenderedPageBreak/>
        <w:t xml:space="preserve">early anticipations are based upon contextual information about the specific game, with later anticipation relying more on kinematic information. It is encouraging that the findings from laboratory and real-world settings find similar results, and suggests that video-based experiments often </w:t>
      </w:r>
      <w:proofErr w:type="spellStart"/>
      <w:r w:rsidRPr="00341B41">
        <w:t>utilised</w:t>
      </w:r>
      <w:proofErr w:type="spellEnd"/>
      <w:r w:rsidRPr="00341B41">
        <w:t xml:space="preserve"> in laboratory studies are tapping into the underlying cognitive mechanisms supporting expert anticipation.</w:t>
      </w:r>
    </w:p>
    <w:p w14:paraId="4FC39507" w14:textId="77777777" w:rsidR="005B47BD" w:rsidRPr="00341B41" w:rsidRDefault="005B47BD" w:rsidP="005B47BD">
      <w:pPr>
        <w:pStyle w:val="ThesisNormal"/>
      </w:pPr>
    </w:p>
    <w:p w14:paraId="2B575102" w14:textId="77777777" w:rsidR="005B47BD" w:rsidRPr="00341B41" w:rsidRDefault="005B47BD" w:rsidP="005B47BD">
      <w:pPr>
        <w:pStyle w:val="Heading3"/>
      </w:pPr>
      <w:bookmarkStart w:id="34" w:name="_Toc486260850"/>
      <w:r w:rsidRPr="00341B41">
        <w:t>2.1.2.</w:t>
      </w:r>
      <w:r w:rsidRPr="00341B41">
        <w:tab/>
        <w:t>Designing a paradigm to elicit mu and beta sensorimotor oscillations</w:t>
      </w:r>
      <w:bookmarkEnd w:id="34"/>
    </w:p>
    <w:p w14:paraId="632F2E59" w14:textId="77777777" w:rsidR="005B47BD" w:rsidRPr="00341B41" w:rsidRDefault="005B47BD" w:rsidP="005B47BD">
      <w:r w:rsidRPr="00341B41">
        <w:t xml:space="preserve">For this thesis, a video-based test of anticipation shall be utilised. This decision is justified based upon the work reviewed above, that showed that anticipation behaviours appear to occur in real-world match situations and findings from previous laboratory studies have been replicated. The reason for choosing a video-based laboratory design for this work was due to the problem of movement artefacts that are inherent in EEG recordings, and that for a clean signal the participant is required to remain as still as possible </w:t>
      </w:r>
      <w:r w:rsidRPr="00341B41">
        <w:fldChar w:fldCharType="begin" w:fldLock="1"/>
      </w:r>
      <w:r w:rsidRPr="00341B41">
        <w:instrText>ADDIN CSL_CITATION { "citationItems" : [ { "id" : "ITEM-1", "itemData" : { "author" : [ { "dropping-particle" : "", "family" : "Luck", "given" : "Steven", "non-dropping-particle" : "", "parse-names" : false, "suffix" : "" } ], "edition" : "1st", "id" : "ITEM-1", "issued" : { "date-parts" : [ [ "2005" ] ] }, "publisher" : "MIT Press", "publisher-place" : "Cambridge, MA", "title" : "An intoduction to the event-related potential technique", "type" : "book" }, "uris" : [ "http://www.mendeley.com/documents/?uuid=8041ac40-8fbd-40e7-a8d6-20b8ca2eef1c" ] } ], "mendeley" : { "formattedCitation" : "(Luck, 2005)", "plainTextFormattedCitation" : "(Luck, 2005)", "previouslyFormattedCitation" : "(Luck, 2005)" }, "properties" : { "noteIndex" : 0 }, "schema" : "https://github.com/citation-style-language/schema/raw/master/csl-citation.json" }</w:instrText>
      </w:r>
      <w:r w:rsidRPr="00341B41">
        <w:fldChar w:fldCharType="separate"/>
      </w:r>
      <w:r w:rsidRPr="00341B41">
        <w:rPr>
          <w:noProof/>
        </w:rPr>
        <w:t>(Luck, 2005)</w:t>
      </w:r>
      <w:r w:rsidRPr="00341B41">
        <w:fldChar w:fldCharType="end"/>
      </w:r>
      <w:r w:rsidRPr="00341B41">
        <w:t xml:space="preserve">. Furthermore, by using video it ensures that all participants view the exact same set of trials, and it can be designed so that each individual trial is the same length. </w:t>
      </w:r>
    </w:p>
    <w:p w14:paraId="632E5402" w14:textId="2411FC47" w:rsidR="005B47BD" w:rsidRPr="00341B41" w:rsidRDefault="005B47BD" w:rsidP="005B47BD">
      <w:pPr>
        <w:ind w:firstLine="720"/>
      </w:pPr>
      <w:r w:rsidRPr="00341B41">
        <w:t xml:space="preserve">As well as designing a task that accurately measures anticipation performance in line with the requirements of the expert performance approach, specific considerations regarding the EEG effect of interest also need to be considered. Sensorimotor activity is assessed with EEG using mu and beta ERD analysis. This analysis is event-related, and measures the amount of (de)synchronisation in the mu/beta signal during action observation, relevant to a baseline </w:t>
      </w:r>
      <w:r w:rsidRPr="00341B41">
        <w:fldChar w:fldCharType="begin" w:fldLock="1"/>
      </w:r>
      <w:r w:rsidRPr="00341B41">
        <w:instrText>ADDIN CSL_CITATION { "citationItems" : [ { "id" : "ITEM-1", "itemData" : { "ISSN" : "1388-2457", "PMID" : "10576479", "abstract" : "An internally or externally paced event results not only in the generation of an event-related potential (ERP) but also in a change in the ongoing EEG/MEG in form of an event-related desynchronization (ERD) or event-related synchronization (ERS). The ERP on the one side and the ERD/ERS on the other side are different responses of neuronal structures in the brain. While the former is phase-locked, the latter is not phase-locked to the event. The most important difference between both phenomena is that the ERD/ERS is highly frequency band-specific, whereby either the same or different locations on the scalp can display ERD and ERS simultaneously. Quantification of ERD/ERS in time and space is demonstrated on data from a number of movement experiments.", "author" : [ { "dropping-particle" : "", "family" : "Pfurtscheller", "given" : "G", "non-dropping-particle" : "", "parse-names" : false, "suffix" : "" }, { "dropping-particle" : "", "family" : "Lopes da Silva", "given" : "F H", "non-dropping-particle" : "", "parse-names" : false, "suffix" : "" } ], "container-title" : "Clinical Neurophysiology", "id" : "ITEM-1", "issue" : "11", "issued" : { "date-parts" : [ [ "1999", "11" ] ] }, "page" : "1842-57", "title" : "Event-related EEG/MEG synchronization and desynchronization: basic principles.", "type" : "article-journal", "volume" : "110" }, "uris" : [ "http://www.mendeley.com/documents/?uuid=d6481284-9558-44e2-ba76-89d4e2ab07a5" ] } ], "mendeley" : { "formattedCitation" : "(Pfurtscheller &amp; Lopes da Silva, 1999)", "plainTextFormattedCitation" : "(Pfurtscheller &amp; Lopes da Silva, 1999)", "previouslyFormattedCitation" : "(Pfurtscheller &amp; Lopes da Silva, 1999)" }, "properties" : { "noteIndex" : 0 }, "schema" : "https://github.com/citation-style-language/schema/raw/master/csl-citation.json" }</w:instrText>
      </w:r>
      <w:r w:rsidRPr="00341B41">
        <w:fldChar w:fldCharType="separate"/>
      </w:r>
      <w:r w:rsidRPr="00341B41">
        <w:rPr>
          <w:noProof/>
        </w:rPr>
        <w:t>(Pfurtscheller &amp; Lopes da Silva, 1999)</w:t>
      </w:r>
      <w:r w:rsidRPr="00341B41">
        <w:fldChar w:fldCharType="end"/>
      </w:r>
      <w:r w:rsidRPr="00341B41">
        <w:t>. Therefore, choosing an appropriate baseline is important.</w:t>
      </w:r>
    </w:p>
    <w:p w14:paraId="428D70E4" w14:textId="0016D898" w:rsidR="005B47BD" w:rsidRPr="00341B41" w:rsidRDefault="005B47BD" w:rsidP="005B47BD">
      <w:r w:rsidRPr="00341B41">
        <w:lastRenderedPageBreak/>
        <w:t xml:space="preserve">In other EEG work investigating the </w:t>
      </w:r>
      <w:proofErr w:type="spellStart"/>
      <w:r w:rsidRPr="00341B41">
        <w:t>hMNS</w:t>
      </w:r>
      <w:proofErr w:type="spellEnd"/>
      <w:r w:rsidRPr="00341B41">
        <w:t xml:space="preserve">, a wide range of different baselines have been used. Some studies have used quiet sitting without stimulation as a baseline </w:t>
      </w:r>
      <w:r w:rsidRPr="00341B41">
        <w:fldChar w:fldCharType="begin" w:fldLock="1"/>
      </w:r>
      <w:r w:rsidRPr="00341B41">
        <w:instrText>ADDIN CSL_CITATION { "citationItems" : [ { "id" : "ITEM-1", "itemData" : { "DOI" : "10.1016/j.cogbrainres.2005.01.014", "ISBN" : "0926-6410 (Print)", "ISSN" : "09266410", "PMID" : "15993757", "abstract" : "Autism spectrum disorders (ASD) are largely characterized by deficits in imitation, pragmatic language, theory of mind, and empathy. Previous research has suggested that a dysfunctional mirror neuron system may explain the pathology observed in ASD. Because EEG oscillations in the mu frequency (8-13 Hz) over sensorimotor cortex are thought to reflect mirror neuron activity, one method for testing the integrity of this system is to measure mu responsiveness to actual and observed movement. It has been established that mu power is reduced (mu suppression) in typically developing individuals both when they perform actions and when they observe others performing actions, reflecting an observation/execution system which may play a critical role in the ability to understand and imitate others' behaviors. This study investigated whether individuals with ASD show a dysfunction in this system, given their behavioral impairments in understanding and responding appropriately to others' behaviors. Mu wave suppression was measured in ten high-functioning individuals with ASD and ten age- and gender-matched control subjects while watching videos of (1) a moving hand, (2) a bouncing ball, and (3) visual noise, or (4) moving their own hand. Control subjects showed significant mu suppression to both self and observed hand movement. The ASD group showed significant mu suppression to self-performed hand movements but not to observed hand movements. These results support the hypothesis of a dysfunctional mirror neuron system in high-functioning individuals with ASD. ?? 2005 Elsevier B.V. All rights reserved.", "author" : [ { "dropping-particle" : "", "family" : "Oberman", "given" : "Lindsay M.", "non-dropping-particle" : "", "parse-names" : false, "suffix" : "" }, { "dropping-particle" : "", "family" : "Hubbard", "given" : "Edward M.", "non-dropping-particle" : "", "parse-names" : false, "suffix" : "" }, { "dropping-particle" : "", "family" : "McCleery", "given" : "Joseph P.", "non-dropping-particle" : "", "parse-names" : false, "suffix" : "" }, { "dropping-particle" : "", "family" : "Altschuler", "given" : "Eric L.", "non-dropping-particle" : "", "parse-names" : false, "suffix" : "" }, { "dropping-particle" : "", "family" : "Ramachandran", "given" : "Vilayanur S.", "non-dropping-particle" : "", "parse-names" : false, "suffix" : "" }, { "dropping-particle" : "", "family" : "Pineda", "given" : "Jaime A.", "non-dropping-particle" : "", "parse-names" : false, "suffix" : "" } ], "container-title" : "Cognitive Brain Research", "id" : "ITEM-1", "issue" : "2", "issued" : { "date-parts" : [ [ "2005" ] ] }, "page" : "190-198", "title" : "EEG evidence for mirror neuron dysfunction in autism spectrum disorders", "type" : "article-journal", "volume" : "24" }, "uris" : [ "http://www.mendeley.com/documents/?uuid=610db0ac-d1ab-49b8-9be7-eec116bf2774" ] }, { "id" : "ITEM-2", "itemData" : { "DOI" : "10.1016/j.neuropsychologia.2008.01.010", "ISBN" : "0028-3932", "ISSN" : "00283932", "PMID" : "18304590", "abstract" : "In an early description of the mu rhythm, Gastaut and Bert [Gastaut, H. J., &amp; Bert, J. (1954). EEG changes during cinematographic presentation. Clinical Neurophysiology, 6, 433-444] noted that it was blocked when an individual identified himself with an active person on the screen, suggesting that it may be modulated by the degree to which the individual can relate to the observed action. Additionally, multiple recent studies suggest that the mirror neurons system (MNS) is impaired in individuals with autism spectrum disorders (ASD), which may affect their ability to relate to others. The current study aimed to investigate MNS sensitivity by examining mu suppression to familiarity, i.e., the degree to which the observer is able to identify with the actor on the screen by using familiar versus unfamiliar actors. The participants viewed four 80 s videos that included: (1) stranger: an unfamiliar hand performing a grasping action; (2) familiar: the child's guardian or sibling's hand performing the same action; (3) own: the participant's own hand performing the same action; (4) bouncing balls: two balls moving vertically toward and away from each other. The study revealed that mu suppression was sensitive to degree of familiarity. Both typically developing participants and those with ASD showed greater suppression to familiar hands compared to those of strangers. These findings suggest that the MNS responds to observed actions in individuals with ASD, but only when individuals can identify in some personal way with the stimuli. \u00a9 2008 Elsevier Ltd. All rights reserved.", "author" : [ { "dropping-particle" : "", "family" : "Oberman", "given" : "Lindsay M.", "non-dropping-particle" : "", "parse-names" : false, "suffix" : "" }, { "dropping-particle" : "", "family" : "Ramachandran", "given" : "Vilayanur S.", "non-dropping-particle" : "", "parse-names" : false, "suffix" : "" }, { "dropping-particle" : "", "family" : "Pineda", "given" : "Jaime A.", "non-dropping-particle" : "", "parse-names" : false, "suffix" : "" } ], "container-title" : "Neuropsychologia", "id" : "ITEM-2", "issue" : "5", "issued" : { "date-parts" : [ [ "2008" ] ] }, "page" : "1558-1565", "title" : "Modulation of mu suppression in children with autism spectrum disorders in response to familiar or unfamiliar stimuli: The mirror neuron hypothesis", "type" : "article-journal", "volume" : "46" }, "uris" : [ "http://www.mendeley.com/documents/?uuid=1db7bd98-3f72-4ee6-86ef-6adf0449462c" ] } ], "mendeley" : { "formattedCitation" : "(Oberman et al., 2005; Oberman, Ramachandran, &amp; Pineda, 2008)", "plainTextFormattedCitation" : "(Oberman et al., 2005; Oberman, Ramachandran, &amp; Pineda, 2008)", "previouslyFormattedCitation" : "(Oberman et al., 2005; Oberman, Ramachandran, &amp; Pineda, 2008)" }, "properties" : { "noteIndex" : 0 }, "schema" : "https://github.com/citation-style-language/schema/raw/master/csl-citation.json" }</w:instrText>
      </w:r>
      <w:r w:rsidRPr="00341B41">
        <w:fldChar w:fldCharType="separate"/>
      </w:r>
      <w:r w:rsidRPr="00341B41">
        <w:rPr>
          <w:noProof/>
        </w:rPr>
        <w:t>(Oberman et al., 2005; Oberman, Ramachandran, &amp; Pineda, 2008)</w:t>
      </w:r>
      <w:r w:rsidRPr="00341B41">
        <w:fldChar w:fldCharType="end"/>
      </w:r>
      <w:r w:rsidRPr="00341B41">
        <w:t xml:space="preserve">. However this approach has been criticised because the baseline is less engaging and cognitively demanding than the observation condition, meaning that attentional processes could be driving observed ERD effects </w:t>
      </w:r>
      <w:r w:rsidRPr="00341B41">
        <w:fldChar w:fldCharType="begin" w:fldLock="1"/>
      </w:r>
      <w:r w:rsidR="00100EED" w:rsidRPr="00341B41">
        <w:instrText>ADDIN CSL_CITATION { "citationItems" : [ { "id" : "ITEM-1", "itemData" : { "DOI" : "10.1016/j.cortex.2016.03.019", "ISSN" : "19738102", "PMID" : "27180217", "abstract" : "Mu suppression has been proposed as a signature of the activity of the human mirror neuron system (MNS). However the mu frequency band (8\u201313\u00a0Hz) overlaps with the alpha frequency band, which is sensitive to attentional fluctuation, and thus mu suppression could potentially be confounded by changes in attentional engagement. The specific baseline against which mu suppression is assessed may be crucial, yet there is little consistency in how this is defined. We examined mu suppression in 61 typical adults, the largest mu suppression study so far conducted. We compared different methods of baselining, and examined activity at central and occipital electrodes, to both biological (hands) and non-biological (kaleidoscope) moving stimuli, to investigate the involvement of attention and alpha activity in mu suppression. We also examined changes in beta power, another candidate index of MNS engagement. We observed strong mu suppression restricted to central electrodes when participants performed hand movements, demonstrating that mu is indeed responsive to the activity of the motor cortex. However, when we looked for a similar signature of mu suppression to passively observed stimuli, the baselining method proved to be crucial. Selective suppression for biological versus non-biological stimuli was seen at central electrodes only when we used a within-trial baseline based on a static stimulus: this method greatly reduced trial-by-trial variation in the suppression measure compared with baselines based on blank trials presented in separate blocks. Even in this optimal condition, 16\u201321% of participants showed no mu suppression. Changes in beta power also did not match our predicted pattern for MNS engagement, and did not seem to offer a better measure than mu. Our conclusions are in contrast to those of a recent meta-analysis, which concluded that mu suppression is a valid means to examine mirror neuron activity. We argue that mu suppression can be used to index the human MNS, but the effect is weak and unreliable and easily confounded with alpha suppression.", "author" : [ { "dropping-particle" : "", "family" : "Hobson", "given" : "Hannah M.", "non-dropping-particle" : "", "parse-names" : false, "suffix" : "" }, { "dropping-particle" : "", "family" : "Bishop", "given" : "Dorothy V M", "non-dropping-particle" : "", "parse-names" : false, "suffix" : "" } ], "container-title" : "Cortex", "id" : "ITEM-1", "issued" : { "date-parts" : [ [ "2016" ] ] }, "page" : "290-310", "publisher" : "Elsevier Ltd", "title" : "Mu suppression \u2013 A good measure of the human mirror neuron system?", "type" : "article-journal", "volume" : "82" }, "uris" : [ "http://www.mendeley.com/documents/?uuid=e03b7da9-d3d3-4b5c-9c33-af1ba9b59c8e" ] } ], "mendeley" : { "formattedCitation" : "(Hobson &amp; Bishop, 2016)", "plainTextFormattedCitation" : "(Hobson &amp; Bishop, 2016)", "previouslyFormattedCitation" : "(Hobson &amp; Bishop, 2016)" }, "properties" : { "noteIndex" : 0 }, "schema" : "https://github.com/citation-style-language/schema/raw/master/csl-citation.json" }</w:instrText>
      </w:r>
      <w:r w:rsidRPr="00341B41">
        <w:fldChar w:fldCharType="separate"/>
      </w:r>
      <w:r w:rsidRPr="00341B41">
        <w:rPr>
          <w:noProof/>
        </w:rPr>
        <w:t>(Hobson &amp; Bishop, 2016)</w:t>
      </w:r>
      <w:r w:rsidRPr="00341B41">
        <w:fldChar w:fldCharType="end"/>
      </w:r>
      <w:r w:rsidRPr="00341B41">
        <w:t>.</w:t>
      </w:r>
    </w:p>
    <w:p w14:paraId="198D8647" w14:textId="77777777" w:rsidR="005B47BD" w:rsidRPr="00341B41" w:rsidRDefault="005B47BD" w:rsidP="005B47BD">
      <w:pPr>
        <w:ind w:firstLine="720"/>
      </w:pPr>
      <w:r w:rsidRPr="00341B41">
        <w:t xml:space="preserve">Another potential choice of baseline is a non-motion baseline. For example, Cannon et al (2014) presented a static geometric shape as a baseline prior to each action observation trial. Whilst focusing on a static image is likely to be more cognitively engaging than sitting quietly, an issue with this design is the large difference in the visual properties of the baseline compared with the action observation trial. These differences, such as colour, contrast, and luminance changes could affect the signal recorded during action observation, such as inducing a large visual evoked potential in the EEG data as a result of a large visual change between baseline and event. </w:t>
      </w:r>
    </w:p>
    <w:p w14:paraId="767FE754" w14:textId="2D25D04A" w:rsidR="005B47BD" w:rsidRPr="00341B41" w:rsidRDefault="005B47BD" w:rsidP="005B47BD">
      <w:pPr>
        <w:ind w:firstLine="720"/>
      </w:pPr>
      <w:r w:rsidRPr="00341B41">
        <w:t xml:space="preserve">In order to minimise changes between baseline and event, one solution is to present the first frame of the observed action as a static image. The advantage of this approach is that the only change between baseline and event is the onset of motion. Therefore, mu ERD reflects the relative change during the presence of biological motion, compared to no biological motion. In all other ways, the stimuli remain identical during baseline and event. However, there is still the potential confound that the event period is more </w:t>
      </w:r>
      <w:proofErr w:type="spellStart"/>
      <w:r w:rsidRPr="00341B41">
        <w:t>attentionally</w:t>
      </w:r>
      <w:proofErr w:type="spellEnd"/>
      <w:r w:rsidRPr="00341B41">
        <w:t xml:space="preserve"> demanding than the baseline, due to the presence of movement </w:t>
      </w:r>
      <w:r w:rsidRPr="00341B41">
        <w:fldChar w:fldCharType="begin" w:fldLock="1"/>
      </w:r>
      <w:r w:rsidR="00100EED" w:rsidRPr="00341B41">
        <w:instrText>ADDIN CSL_CITATION { "citationItems" : [ { "id" : "ITEM-1", "itemData" : { "DOI" : "10.1016/j.cortex.2016.03.019", "ISSN" : "19738102", "PMID" : "27180217", "abstract" : "Mu suppression has been proposed as a signature of the activity of the human mirror neuron system (MNS). However the mu frequency band (8\u201313\u00a0Hz) overlaps with the alpha frequency band, which is sensitive to attentional fluctuation, and thus mu suppression could potentially be confounded by changes in attentional engagement. The specific baseline against which mu suppression is assessed may be crucial, yet there is little consistency in how this is defined. We examined mu suppression in 61 typical adults, the largest mu suppression study so far conducted. We compared different methods of baselining, and examined activity at central and occipital electrodes, to both biological (hands) and non-biological (kaleidoscope) moving stimuli, to investigate the involvement of attention and alpha activity in mu suppression. We also examined changes in beta power, another candidate index of MNS engagement. We observed strong mu suppression restricted to central electrodes when participants performed hand movements, demonstrating that mu is indeed responsive to the activity of the motor cortex. However, when we looked for a similar signature of mu suppression to passively observed stimuli, the baselining method proved to be crucial. Selective suppression for biological versus non-biological stimuli was seen at central electrodes only when we used a within-trial baseline based on a static stimulus: this method greatly reduced trial-by-trial variation in the suppression measure compared with baselines based on blank trials presented in separate blocks. Even in this optimal condition, 16\u201321% of participants showed no mu suppression. Changes in beta power also did not match our predicted pattern for MNS engagement, and did not seem to offer a better measure than mu. Our conclusions are in contrast to those of a recent meta-analysis, which concluded that mu suppression is a valid means to examine mirror neuron activity. We argue that mu suppression can be used to index the human MNS, but the effect is weak and unreliable and easily confounded with alpha suppression.", "author" : [ { "dropping-particle" : "", "family" : "Hobson", "given" : "Hannah M.", "non-dropping-particle" : "", "parse-names" : false, "suffix" : "" }, { "dropping-particle" : "", "family" : "Bishop", "given" : "Dorothy V M", "non-dropping-particle" : "", "parse-names" : false, "suffix" : "" } ], "container-title" : "Cortex", "id" : "ITEM-1", "issued" : { "date-parts" : [ [ "2016" ] ] }, "page" : "290-310", "publisher" : "Elsevier Ltd", "title" : "Mu suppression \u2013 A good measure of the human mirror neuron system?", "type" : "article-journal", "volume" : "82" }, "uris" : [ "http://www.mendeley.com/documents/?uuid=e03b7da9-d3d3-4b5c-9c33-af1ba9b59c8e" ] } ], "mendeley" : { "formattedCitation" : "(Hobson &amp; Bishop, 2016)", "plainTextFormattedCitation" : "(Hobson &amp; Bishop, 2016)", "previouslyFormattedCitation" : "(Hobson &amp; Bishop, 2016)" }, "properties" : { "noteIndex" : 0 }, "schema" : "https://github.com/citation-style-language/schema/raw/master/csl-citation.json" }</w:instrText>
      </w:r>
      <w:r w:rsidRPr="00341B41">
        <w:fldChar w:fldCharType="separate"/>
      </w:r>
      <w:r w:rsidRPr="00341B41">
        <w:rPr>
          <w:noProof/>
        </w:rPr>
        <w:t>(Hobson &amp; Bishop, 2016)</w:t>
      </w:r>
      <w:r w:rsidRPr="00341B41">
        <w:fldChar w:fldCharType="end"/>
      </w:r>
      <w:r w:rsidRPr="00341B41">
        <w:t xml:space="preserve">. This issue of attentional demand recording sensorimotor activity using EEG is addressed in Chapter 4. </w:t>
      </w:r>
    </w:p>
    <w:p w14:paraId="5E3AE416" w14:textId="40E8B121" w:rsidR="005B47BD" w:rsidRPr="00341B41" w:rsidRDefault="005B47BD" w:rsidP="005B47BD">
      <w:pPr>
        <w:ind w:firstLine="720"/>
      </w:pPr>
      <w:r w:rsidRPr="00341B41">
        <w:lastRenderedPageBreak/>
        <w:t xml:space="preserve">One study investigated the effect of using different baselines on mu ERD </w:t>
      </w:r>
      <w:r w:rsidRPr="00341B41">
        <w:fldChar w:fldCharType="begin" w:fldLock="1"/>
      </w:r>
      <w:r w:rsidRPr="00341B41">
        <w:instrText>ADDIN CSL_CITATION { "citationItems" : [ { "id" : "ITEM-1", "itemData" : { "DOI" : "10.1088/1741-2560/10/2/026009", "ISSN" : "1741-2552", "PMID" : "23428907", "abstract" : "OBJECTIVE: Event-related desynchronization (ERD) or synchronization (ERS) refers to the modulation of any EEG rhythm in response to a particular event. It is typically quantified as the ratio between a baseline and a task condition (the event). Here, we focused on the sensorimotor mu-rhythm. We explored the effects of different baselines on mu-power and ERD of the mu-rhythm during a motor imagery task.\\n\\nMETHODS: Eighteen healthy subjects performed motor imagery tasks while EEGs were recorded. Five different baseline movies were shown. For the imagery task a right-hand opening/closing movie was shown. Power and ERD of the mu-rhythm recorded over C3 and C4 for the different baselines were estimated.\\n\\nMAIN RESULTS: 50% of the subjects showed relatively high mu-power for specific baselines only, and ERDs of these subjects were strongly dependent on the baseline used. In 17% of the subjects no preference was found. Contralateral ERD of the mu-rhythm was found in about 67% of the healthy volunteers, with a significant baseline preference in about 75% of that subgroup.\\n\\nSIGNIFICANCE: The sensorimotor ERD quantifies activity of the brain during motor imagery tasks. Selection of the optimal baseline increases ERD.", "author" : [ { "dropping-particle" : "", "family" : "Tangwiriyasakul", "given" : "Chayanin", "non-dropping-particle" : "", "parse-names" : false, "suffix" : "" }, { "dropping-particle" : "", "family" : "Verhagen", "given" : "Rens", "non-dropping-particle" : "", "parse-names" : false, "suffix" : "" }, { "dropping-particle" : "", "family" : "Putten", "given" : "Michel J a M", "non-dropping-particle" : "van", "parse-names" : false, "suffix" : "" }, { "dropping-particle" : "", "family" : "Rutten", "given" : "Wim L C", "non-dropping-particle" : "", "parse-names" : false, "suffix" : "" } ], "container-title" : "Journal of Neural Engineering", "id" : "ITEM-1", "issue" : "2", "issued" : { "date-parts" : [ [ "2013" ] ] }, "page" : "026009", "title" : "Importance of baseline in event-related desynchronization during a combination task of motor imagery and motor observation.", "type" : "article-journal", "volume" : "10" }, "uris" : [ "http://www.mendeley.com/documents/?uuid=46ddf829-4e01-4688-8c8a-ba43d54ac1be" ] } ], "mendeley" : { "formattedCitation" : "(Tangwiriyasakul, Verhagen, van Putten, &amp; Rutten, 2013)", "plainTextFormattedCitation" : "(Tangwiriyasakul, Verhagen, van Putten, &amp; Rutten, 2013)", "previouslyFormattedCitation" : "(Tangwiriyasakul, Verhagen, van Putten, &amp; Rutten, 2013)" }, "properties" : { "noteIndex" : 0 }, "schema" : "https://github.com/citation-style-language/schema/raw/master/csl-citation.json" }</w:instrText>
      </w:r>
      <w:r w:rsidRPr="00341B41">
        <w:fldChar w:fldCharType="separate"/>
      </w:r>
      <w:r w:rsidRPr="00341B41">
        <w:rPr>
          <w:noProof/>
        </w:rPr>
        <w:t>(Tangwiriyasakul, Verhagen, van Putten, &amp; Rutten, 2013)</w:t>
      </w:r>
      <w:r w:rsidRPr="00341B41">
        <w:fldChar w:fldCharType="end"/>
      </w:r>
      <w:r w:rsidRPr="00341B41">
        <w:t xml:space="preserve">. This study compared bouncing balls, slowly moving flowers, static hand images, and white stripes on a black screen and found that the observed mu ERD did not differ as a result of the specific baseline used. However they did report that different baselines engaged the participants’ attention differently, with the slowly moving flowers and white stripe conditions being reported as particularly hard to maintain attention towards </w:t>
      </w:r>
      <w:r w:rsidRPr="00341B41">
        <w:fldChar w:fldCharType="begin" w:fldLock="1"/>
      </w:r>
      <w:r w:rsidRPr="00341B41">
        <w:instrText>ADDIN CSL_CITATION { "citationItems" : [ { "id" : "ITEM-1", "itemData" : { "DOI" : "10.1088/1741-2560/10/2/026009", "ISSN" : "1741-2552", "PMID" : "23428907", "abstract" : "OBJECTIVE: Event-related desynchronization (ERD) or synchronization (ERS) refers to the modulation of any EEG rhythm in response to a particular event. It is typically quantified as the ratio between a baseline and a task condition (the event). Here, we focused on the sensorimotor mu-rhythm. We explored the effects of different baselines on mu-power and ERD of the mu-rhythm during a motor imagery task.\\n\\nMETHODS: Eighteen healthy subjects performed motor imagery tasks while EEGs were recorded. Five different baseline movies were shown. For the imagery task a right-hand opening/closing movie was shown. Power and ERD of the mu-rhythm recorded over C3 and C4 for the different baselines were estimated.\\n\\nMAIN RESULTS: 50% of the subjects showed relatively high mu-power for specific baselines only, and ERDs of these subjects were strongly dependent on the baseline used. In 17% of the subjects no preference was found. Contralateral ERD of the mu-rhythm was found in about 67% of the healthy volunteers, with a significant baseline preference in about 75% of that subgroup.\\n\\nSIGNIFICANCE: The sensorimotor ERD quantifies activity of the brain during motor imagery tasks. Selection of the optimal baseline increases ERD.", "author" : [ { "dropping-particle" : "", "family" : "Tangwiriyasakul", "given" : "Chayanin", "non-dropping-particle" : "", "parse-names" : false, "suffix" : "" }, { "dropping-particle" : "", "family" : "Verhagen", "given" : "Rens", "non-dropping-particle" : "", "parse-names" : false, "suffix" : "" }, { "dropping-particle" : "", "family" : "Putten", "given" : "Michel J a M", "non-dropping-particle" : "van", "parse-names" : false, "suffix" : "" }, { "dropping-particle" : "", "family" : "Rutten", "given" : "Wim L C", "non-dropping-particle" : "", "parse-names" : false, "suffix" : "" } ], "container-title" : "Journal of Neural Engineering", "id" : "ITEM-1", "issue" : "2", "issued" : { "date-parts" : [ [ "2013" ] ] }, "page" : "026009", "title" : "Importance of baseline in event-related desynchronization during a combination task of motor imagery and motor observation.", "type" : "article-journal", "volume" : "10" }, "uris" : [ "http://www.mendeley.com/documents/?uuid=46ddf829-4e01-4688-8c8a-ba43d54ac1be" ] } ], "mendeley" : { "formattedCitation" : "(Tangwiriyasakul et al., 2013)", "plainTextFormattedCitation" : "(Tangwiriyasakul et al., 2013)", "previouslyFormattedCitation" : "(Tangwiriyasakul et al., 2013)" }, "properties" : { "noteIndex" : 0 }, "schema" : "https://github.com/citation-style-language/schema/raw/master/csl-citation.json" }</w:instrText>
      </w:r>
      <w:r w:rsidRPr="00341B41">
        <w:fldChar w:fldCharType="separate"/>
      </w:r>
      <w:r w:rsidRPr="00341B41">
        <w:rPr>
          <w:noProof/>
        </w:rPr>
        <w:t>(Tangwiriyasakul et al., 2013)</w:t>
      </w:r>
      <w:r w:rsidRPr="00341B41">
        <w:fldChar w:fldCharType="end"/>
      </w:r>
      <w:r w:rsidRPr="00341B41">
        <w:t xml:space="preserve">. Another study however did find the baseline chosen to significantly affect the pattern of mu ERD, with a static stimulus preceding each trial being the most effective baseline in terms of recording mu ERD during action observation </w:t>
      </w:r>
      <w:r w:rsidRPr="00341B41">
        <w:fldChar w:fldCharType="begin" w:fldLock="1"/>
      </w:r>
      <w:r w:rsidR="00100EED" w:rsidRPr="00341B41">
        <w:instrText>ADDIN CSL_CITATION { "citationItems" : [ { "id" : "ITEM-1", "itemData" : { "DOI" : "10.1016/j.cortex.2016.03.019", "ISSN" : "19738102", "PMID" : "27180217", "abstract" : "Mu suppression has been proposed as a signature of the activity of the human mirror neuron system (MNS). However the mu frequency band (8\u201313\u00a0Hz) overlaps with the alpha frequency band, which is sensitive to attentional fluctuation, and thus mu suppression could potentially be confounded by changes in attentional engagement. The specific baseline against which mu suppression is assessed may be crucial, yet there is little consistency in how this is defined. We examined mu suppression in 61 typical adults, the largest mu suppression study so far conducted. We compared different methods of baselining, and examined activity at central and occipital electrodes, to both biological (hands) and non-biological (kaleidoscope) moving stimuli, to investigate the involvement of attention and alpha activity in mu suppression. We also examined changes in beta power, another candidate index of MNS engagement. We observed strong mu suppression restricted to central electrodes when participants performed hand movements, demonstrating that mu is indeed responsive to the activity of the motor cortex. However, when we looked for a similar signature of mu suppression to passively observed stimuli, the baselining method proved to be crucial. Selective suppression for biological versus non-biological stimuli was seen at central electrodes only when we used a within-trial baseline based on a static stimulus: this method greatly reduced trial-by-trial variation in the suppression measure compared with baselines based on blank trials presented in separate blocks. Even in this optimal condition, 16\u201321% of participants showed no mu suppression. Changes in beta power also did not match our predicted pattern for MNS engagement, and did not seem to offer a better measure than mu. Our conclusions are in contrast to those of a recent meta-analysis, which concluded that mu suppression is a valid means to examine mirror neuron activity. We argue that mu suppression can be used to index the human MNS, but the effect is weak and unreliable and easily confounded with alpha suppression.", "author" : [ { "dropping-particle" : "", "family" : "Hobson", "given" : "Hannah M.", "non-dropping-particle" : "", "parse-names" : false, "suffix" : "" }, { "dropping-particle" : "", "family" : "Bishop", "given" : "Dorothy V M", "non-dropping-particle" : "", "parse-names" : false, "suffix" : "" } ], "container-title" : "Cortex", "id" : "ITEM-1", "issued" : { "date-parts" : [ [ "2016" ] ] }, "page" : "290-310", "publisher" : "Elsevier Ltd", "title" : "Mu suppression \u2013 A good measure of the human mirror neuron system?", "type" : "article-journal", "volume" : "82" }, "uris" : [ "http://www.mendeley.com/documents/?uuid=e03b7da9-d3d3-4b5c-9c33-af1ba9b59c8e" ] } ], "mendeley" : { "formattedCitation" : "(Hobson &amp; Bishop, 2016)", "plainTextFormattedCitation" : "(Hobson &amp; Bishop, 2016)", "previouslyFormattedCitation" : "(Hobson &amp; Bishop, 2016)" }, "properties" : { "noteIndex" : 0 }, "schema" : "https://github.com/citation-style-language/schema/raw/master/csl-citation.json" }</w:instrText>
      </w:r>
      <w:r w:rsidRPr="00341B41">
        <w:fldChar w:fldCharType="separate"/>
      </w:r>
      <w:r w:rsidRPr="00341B41">
        <w:rPr>
          <w:noProof/>
        </w:rPr>
        <w:t>(Hobson &amp; Bishop, 2016)</w:t>
      </w:r>
      <w:r w:rsidRPr="00341B41">
        <w:fldChar w:fldCharType="end"/>
      </w:r>
      <w:r w:rsidRPr="00341B41">
        <w:t xml:space="preserve">. In a meta-analysis of mu ERD during action observation, the choice of baseline used (static (both biological and non-biological), dynamic (both biological and non-biological), and no stimulus) was not found to moderate the mu ERD effect during action observation </w:t>
      </w:r>
      <w:r w:rsidRPr="00341B41">
        <w:fldChar w:fldCharType="begin" w:fldLock="1"/>
      </w:r>
      <w:r w:rsidRPr="00341B41">
        <w:instrText>ADDIN CSL_CITATION { "citationItems" : [ { "id" : "ITEM-1", "itemData" : { "author" : [ { "dropping-particle" : "", "family" : "Fox", "given" : "Nathan A", "non-dropping-particle" : "", "parse-names" : false, "suffix" : "" }, { "dropping-particle" : "", "family" : "Bakermans-Kranenburg", "given" : "M.J", "non-dropping-particle" : "", "parse-names" : false, "suffix" : "" }, { "dropping-particle" : "", "family" : "Yoo", "given" : "Kathryn H", "non-dropping-particle" : "", "parse-names" : false, "suffix" : "" }, { "dropping-particle" : "", "family" : "Bowman", "given" : "L.C", "non-dropping-particle" : "", "parse-names" : false, "suffix" : "" }, { "dropping-particle" : "", "family" : "Cannon", "given" : "Erin N",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"Ijzenoom", "given" : "M.H", "non-dropping-particle" : "van", "parse-names" : false, "suffix" : "" } ], "container-title" : "Psychological Bulletin", "id" : "ITEM-1", "issue" : "3", "issued" : { "date-parts" : [ [ "2016" ] ] }, "page" : "291-313", "title" : "Assessing human mirror activity with EEG mu rhythm : A meta-analysis", "type" : "article-journal", "volume" : "142" }, "uris" : [ "http://www.mendeley.com/documents/?uuid=460e0145-3f1d-43b0-9b07-b04aa6132f1b" ] } ], "mendeley" : { "formattedCitation" : "(Fox et al., 2016)", "plainTextFormattedCitation" : "(Fox et al., 2016)", "previouslyFormattedCitation" : "(Fox et al., 2016)" }, "properties" : { "noteIndex" : 0 }, "schema" : "https://github.com/citation-style-language/schema/raw/master/csl-citation.json" }</w:instrText>
      </w:r>
      <w:r w:rsidRPr="00341B41">
        <w:fldChar w:fldCharType="separate"/>
      </w:r>
      <w:r w:rsidRPr="00341B41">
        <w:rPr>
          <w:noProof/>
        </w:rPr>
        <w:t>(Fox et al., 2016)</w:t>
      </w:r>
      <w:r w:rsidRPr="00341B41">
        <w:fldChar w:fldCharType="end"/>
      </w:r>
      <w:r w:rsidRPr="00341B41">
        <w:t xml:space="preserve">. </w:t>
      </w:r>
    </w:p>
    <w:p w14:paraId="71186145" w14:textId="144CF616" w:rsidR="005B47BD" w:rsidRPr="00341B41" w:rsidRDefault="005B47BD" w:rsidP="005B47BD">
      <w:pPr>
        <w:ind w:firstLine="720"/>
      </w:pPr>
      <w:r w:rsidRPr="00341B41">
        <w:t xml:space="preserve">Based on these results, it would appear that the specific baseline used does not greatly influence the reported ERD during action observation. However, based on Hobson et </w:t>
      </w:r>
      <w:proofErr w:type="spellStart"/>
      <w:r w:rsidRPr="00341B41">
        <w:t>al’s</w:t>
      </w:r>
      <w:proofErr w:type="spellEnd"/>
      <w:r w:rsidRPr="00341B41">
        <w:t xml:space="preserve"> (2016) finding, and in order to keep the baseline and event as congruous as possible, a static baseline displaying the first frame of the upcoming trial was adopted. This ensured that the only change occurring during the event was the onset of biological motion. Therefore, event-related EEG analyses would reflect EEG changes during biological motion compared to baseline that is identical other than the absence of motion.  </w:t>
      </w:r>
    </w:p>
    <w:p w14:paraId="4F5897DD" w14:textId="77777777" w:rsidR="005B47BD" w:rsidRPr="00341B41" w:rsidRDefault="005B47BD" w:rsidP="005B47BD"/>
    <w:p w14:paraId="1D4DB0D4" w14:textId="29B315F5" w:rsidR="00FD5276" w:rsidRPr="00341B41" w:rsidRDefault="005B47BD" w:rsidP="005B47BD">
      <w:r w:rsidRPr="00341B41">
        <w:lastRenderedPageBreak/>
        <w:tab/>
        <w:t xml:space="preserve">With these considerations in mind, the primary aim of this Chapter was to develop a task that could be used to measure the sensorimotor system as indexed by mu and beta ERD during action observation prior to making an anticipatory judgement. To be informative on the processes that underlie expert performance a task must be able to distinguish skilled and unskilled participants </w:t>
      </w:r>
      <w:r w:rsidRPr="00341B41">
        <w:fldChar w:fldCharType="begin" w:fldLock="1"/>
      </w:r>
      <w:r w:rsidR="007C5587" w:rsidRPr="00341B41">
        <w:instrText>ADDIN CSL_CITATION { "citationItems" : [ { "id" : "ITEM-1", "itemData" : { "author" : [ { "dropping-particle" : "", "family" : "Ericsson", "given" : "K Anders", "non-dropping-particle" : "", "parse-names" : false, "suffix" : "" }, { "dropping-particle" : "", "family" : "Smith", "given" : "J", "non-dropping-particle" : "", "parse-names" : false, "suffix" : "" } ], "container-title" : "Toward a General Theory of Expertise: Prospects and Limits", "editor" : [ { "dropping-particle" : "", "family" : "Ericsson", "given" : "K Anders", "non-dropping-particle" : "", "parse-names" : false, "suffix" : "" }, { "dropping-particle" : "", "family" : "Smith", "given" : "J", "non-dropping-particle" : "", "parse-names" : false, "suffix" : "" } ], "id" : "ITEM-1", "issued" : { "date-parts" : [ [ "1991" ] ] }, "page" : "1-38", "publisher" : "Cambridge University Press", "publisher-place" : "Cambridge, MA", "title" : "Prospects and limits of the empirical study of expertise: An introduction", "type" : "chapter" }, "uris" : [ "http://www.mendeley.com/documents/?uuid=5604bf67-5d7b-421a-a071-30d1d655ebcb" ] } ], "mendeley" : { "formattedCitation" : "(Ericsson &amp; Smith, 1991)", "manualFormatting" : "(Ericsson &amp; Smith, 1991)", "plainTextFormattedCitation" : "(Ericsson &amp; Smith, 1991)", "previouslyFormattedCitation" : "(Ericsson &amp; Smith, 1991)" }, "properties" : { "noteIndex" : 0 }, "schema" : "https://github.com/citation-style-language/schema/raw/master/csl-citation.json" }</w:instrText>
      </w:r>
      <w:r w:rsidRPr="00341B41">
        <w:fldChar w:fldCharType="separate"/>
      </w:r>
      <w:r w:rsidRPr="00341B41">
        <w:rPr>
          <w:noProof/>
        </w:rPr>
        <w:t>(Ericsson &amp; Smith, 1991)</w:t>
      </w:r>
      <w:r w:rsidRPr="00341B41">
        <w:fldChar w:fldCharType="end"/>
      </w:r>
      <w:r w:rsidRPr="00341B41">
        <w:t xml:space="preserve">. Therefore, the first aim of this study was to design a task that could achieve this. For experiment 1, participants were shown full tennis groundstrokes, and predicted that experienced players would be faster and more accurate in their anticipatory judgements than </w:t>
      </w:r>
      <w:r w:rsidR="003B22BD" w:rsidRPr="00341B41">
        <w:t>less experienced</w:t>
      </w:r>
      <w:r w:rsidRPr="00341B41">
        <w:t xml:space="preserve"> novices. An occlusion paradigm was not used, as by showing participants the full stroke, the task would be more representative of a real-world situation </w:t>
      </w:r>
      <w:r w:rsidRPr="00341B41">
        <w:fldChar w:fldCharType="begin" w:fldLock="1"/>
      </w:r>
      <w:r w:rsidR="007C5587"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w:t>
      </w:r>
    </w:p>
    <w:p w14:paraId="28A2991F" w14:textId="21EAE65F" w:rsidR="00FD5276" w:rsidRPr="00341B41" w:rsidRDefault="00FD5276" w:rsidP="00FD5276">
      <w:pPr>
        <w:pStyle w:val="Heading3"/>
      </w:pPr>
      <w:bookmarkStart w:id="35" w:name="_Toc486260851"/>
      <w:r w:rsidRPr="00341B41">
        <w:t>2.1.3.</w:t>
      </w:r>
      <w:r w:rsidRPr="00341B41">
        <w:tab/>
        <w:t>The effect of opponent handedness on anticipation accuracy</w:t>
      </w:r>
      <w:bookmarkEnd w:id="35"/>
    </w:p>
    <w:p w14:paraId="44AD4482" w14:textId="60E6F066" w:rsidR="00FD5276" w:rsidRPr="00341B41" w:rsidRDefault="00FD5276" w:rsidP="00FD5276">
      <w:r w:rsidRPr="00341B41">
        <w:t xml:space="preserve">In addition to addressing the development of test stimuli, this Chapter also examined a substantive research question. It is believed that the predicted anticipatory advantage in favour of the experienced players is due to their superior ability in performing the action themselves, thereby allowing them to form a more accurate prediction as to the opponent’s intention </w:t>
      </w:r>
      <w:r w:rsidRPr="00341B41">
        <w:fldChar w:fldCharType="begin" w:fldLock="1"/>
      </w:r>
      <w:r w:rsidRPr="00341B41">
        <w:instrText>ADDIN CSL_CITATION { "citationItems" : [ { "id" : "ITEM-1", "itemData" : { "DOI" : "10.1038/nn.2182", "ISSN" : "1097-6256", "author" : [ { "dropping-particle" : "", "family" : "Aglioti", "given" : "Salvatore M", "non-dropping-particle" : "", "parse-names" : false, "suffix" : "" }, { "dropping-particle" : "", "family" : "Cesari", "given" : "Paola", "non-dropping-particle" : "", "parse-names" : false, "suffix" : "" }, { "dropping-particle" : "", "family" : "Romani", "given" : "Michela", "non-dropping-particle" : "", "parse-names" : false, "suffix" : "" }, { "dropping-particle" : "", "family" : "Urgesi", "given" : "Cosimo", "non-dropping-particle" : "", "parse-names" : false, "suffix" : "" } ], "container-title" : "Nature Neuroscience", "id" : "ITEM-1", "issue" : "9", "issued" : { "date-parts" : [ [ "2008" ] ] }, "page" : "1109-1116", "title" : "Action anticipation and motor resonance in elite basketball players", "type" : "article-journal", "volume" : "11" }, "uris" : [ "http://www.mendeley.com/documents/?uuid=1fc547b5-58fb-4cb6-99da-14770b6e228e" ] } ], "mendeley" : { "formattedCitation" : "(Aglioti et al., 2008)", "plainTextFormattedCitation" : "(Aglioti et al., 2008)", "previouslyFormattedCitation" : "(Aglioti et al., 2008)" }, "properties" : { "noteIndex" : 0 }, "schema" : "https://github.com/citation-style-language/schema/raw/master/csl-citation.json" }</w:instrText>
      </w:r>
      <w:r w:rsidRPr="00341B41">
        <w:fldChar w:fldCharType="separate"/>
      </w:r>
      <w:r w:rsidRPr="00341B41">
        <w:rPr>
          <w:noProof/>
        </w:rPr>
        <w:t>(Aglioti et al., 2008)</w:t>
      </w:r>
      <w:r w:rsidRPr="00341B41">
        <w:fldChar w:fldCharType="end"/>
      </w:r>
      <w:r w:rsidRPr="00341B41">
        <w:t xml:space="preserve"> and also through having seen situations multiple times before and learning the probabilities of certain outcomes </w:t>
      </w:r>
      <w:r w:rsidRPr="00341B41">
        <w:fldChar w:fldCharType="begin" w:fldLock="1"/>
      </w:r>
      <w:r w:rsidRPr="00341B41">
        <w:instrText>ADDIN CSL_CITATION { "citationItems" : [ { "id" : "ITEM-1", "itemData" : { "DOI" : "10.1016/j.actpsy.2014.07.004", "ISBN" : "0001-6918", "ISSN" : "00016918", "PMID" : "25089880", "abstract" : "Skilled performers of time-constrained motor actions acquire information about the action preferences of their opponents in an effort to better anticipate the outcome of that opponent's actions. However, there is reason to doubt that knowledge of an opponent's action preferences would unequivocally influence anticipatory responses in a positive way. It is possible that overt information about an opponent's actions could distract skilled performers from using the advance kinematic information they would usually rely on to anticipate actions, particularly when the opponent performs an 'unexpected' action that is not in accordance with his or her previous behaviour. The aim of this study was to examine how the ability to anticipate the outcome of an opponent's actions can be influenced by exposure to the action preferences of that opponent. Two groups of skilled handball goalkeepers anticipated the direction of penalty throws performed by opponents before and after a training intervention that provided situational probability information in the form of action preferences (AP). During the training phase participants in an AP-training group anticipated the action outcomes of two throwers who had a strong preference to throw in one particular direction, whilst participants in a NP-training group viewed players who threw equally to all directions. Exposure to opponents who did have an action preference during the training phase resulted in improved anticipatory performance if the opponent continued to bias their throws towards their preferred direction, but decreased performance if the opponent did not. These findings highlight that skilled observers use information about action preferences to enhance their anticipatory ability, but that doing so can be disadvantageous when the outcomes are no longer consistent with their generated expectations. ?? 2014 Elsevier B.V.", "author" : [ { "dropping-particle" : "", "family" : "Mann", "given" : "David L.", "non-dropping-particle" : "", "parse-names" : false, "suffix" : "" }, { "dropping-particle" : "", "family" : "Schaefers", "given" : "Teuntje", "non-dropping-particle" : "", "parse-names" : false, "suffix" : "" }, { "dropping-particle" : "", "family" : "Ca\u00f1al-Bruland", "given" : "Rouwen", "non-dropping-particle" : "", "parse-names" : false, "suffix" : "" } ], "container-title" : "Acta Psychologica", "id" : "ITEM-1", "issued" : { "date-parts" : [ [ "2014" ] ] }, "page" : "1-9", "publisher" : "Elsevier B.V.", "title" : "Action preferences and the anticipation of action outcomes", "type" : "article-journal", "volume" : "152" }, "uris" : [ "http://www.mendeley.com/documents/?uuid=e65021fe-e904-46c9-906a-ee54d5fbfd91" ] } ], "mendeley" : { "formattedCitation" : "(D. L. Mann et al., 2014)", "manualFormatting" : "(Mann et al., 2014)", "plainTextFormattedCitation" : "(D. L. Mann et al., 2014)", "previouslyFormattedCitation" : "(D. L. Mann et al., 2014)" }, "properties" : { "noteIndex" : 0 }, "schema" : "https://github.com/citation-style-language/schema/raw/master/csl-citation.json" }</w:instrText>
      </w:r>
      <w:r w:rsidRPr="00341B41">
        <w:fldChar w:fldCharType="separate"/>
      </w:r>
      <w:r w:rsidRPr="00341B41">
        <w:rPr>
          <w:noProof/>
        </w:rPr>
        <w:t>(Mann et al., 2014)</w:t>
      </w:r>
      <w:r w:rsidRPr="00341B41">
        <w:fldChar w:fldCharType="end"/>
      </w:r>
      <w:r w:rsidRPr="00341B41">
        <w:t>. These theories suggest that the motor expertise of the player, and a clear grasp of situational probabilities</w:t>
      </w:r>
      <w:r w:rsidR="000A23C1" w:rsidRPr="00341B41">
        <w:t>,</w:t>
      </w:r>
      <w:r w:rsidRPr="00341B41">
        <w:t xml:space="preserve"> facilitates the anticipatory advantage in experienced players. Some evidence from studies of tennis </w:t>
      </w:r>
      <w:r w:rsidRPr="00341B41">
        <w:fldChar w:fldCharType="begin" w:fldLock="1"/>
      </w:r>
      <w:r w:rsidRPr="00341B41">
        <w:instrText>ADDIN CSL_CITATION { "citationItems" : [ { "id" : "ITEM-1", "itemData" : { "DOI" : "10.3758/APP", "author" : [ { "dropping-particle" : "", "family" : "Hagemann", "given" : "Norbert", "non-dropping-particle" : "", "parse-names" : false, "suffix" : "" } ], "container-title" : "Attention, Perception and Psychophysics", "id" : "ITEM-1", "issue" : "7", "issued" : { "date-parts" : [ [ "2009" ] ] }, "page" : "1641-1648", "title" : "The advantage of being left-handed in interactive sports", "type" : "article-journal", "volume" : "71" }, "uris" : [ "http://www.mendeley.com/documents/?uuid=eb1991d5-2f75-4fdd-b763-68ca70e09ada" ] } ], "mendeley" : { "formattedCitation" : "(Hagemann, 2009)", "plainTextFormattedCitation" : "(Hagemann, 2009)", "previouslyFormattedCitation" : "(Hagemann, 2009)" }, "properties" : { "noteIndex" : 0 }, "schema" : "https://github.com/citation-style-language/schema/raw/master/csl-citation.json" }</w:instrText>
      </w:r>
      <w:r w:rsidRPr="00341B41">
        <w:fldChar w:fldCharType="separate"/>
      </w:r>
      <w:r w:rsidRPr="00341B41">
        <w:rPr>
          <w:noProof/>
        </w:rPr>
        <w:t>(Hagemann, 2009)</w:t>
      </w:r>
      <w:r w:rsidRPr="00341B41">
        <w:fldChar w:fldCharType="end"/>
      </w:r>
      <w:r w:rsidRPr="00341B41">
        <w:t xml:space="preserve"> and volleyball </w:t>
      </w:r>
      <w:r w:rsidRPr="00341B41">
        <w:fldChar w:fldCharType="begin" w:fldLock="1"/>
      </w:r>
      <w:r w:rsidRPr="00341B41">
        <w:instrText>ADDIN CSL_CITATION { "citationItems" : [ { "id" : "ITEM-1",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"ITEM-1",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"id" : "ITEM-2", "itemData" : { "DOI" : "10.1016/j.humov.2015.01.018", "ISSN" : "01679457", "author" : [ { "dropping-particle" : "", "family" : "Loffing", "given" : "Florian", "non-dropping-particle" : "", "parse-names" : false, "suffix" : "" }, { "dropping-particle" : "", "family" : "Hagemann", "given" : "Norbert", "non-dropping-particle" : "", "parse-names" : false, "suffix" : "" }, { "dropping-particle" : "", "family" : "Schorer", "given" : "J\u00f6rg", "non-dropping-particle" : "", "parse-names" : false, "suffix" : "" }, { "dropping-particle" : "", "family" : "Baker", "given" : "Joseph", "non-dropping-particle" : "", "parse-names" : false, "suffix" : "" } ], "container-title" : "Human Movement Science", "id" : "ITEM-2", "issued" : { "date-parts" : [ [ "2015" ] ] }, "page" : "410-421", "publisher" : "Elsevier B.V.", "title" : "Skilled players\u2019 and novices\u2019 difficulty anticipating left- vs. right-handed opponents\u2019 action intentions varies across different points in time", "type" : "article-journal", "volume" : "40" }, "uris" : [ "http://www.mendeley.com/documents/?uuid=5e1fa130-9272-4e47-b586-712e2e812099" ] } ], "mendeley" : { "formattedCitation" : "(Loffing, Hagemann, Schorer, &amp; Baker, 2015; Loffing, Schorer, Hagemann, &amp; Baker, 2012)", "plainTextFormattedCitation" : "(Loffing, Hagemann, Schorer, &amp; Baker, 2015; Loffing, Schorer, Hagemann, &amp; Baker, 2012)", "previouslyFormattedCitation" : "(Loffing, Hagemann, Schorer, &amp; Baker, 2015; Loffing, Schorer, Hagemann, &amp; Baker, 2012)" }, "properties" : { "noteIndex" : 0 }, "schema" : "https://github.com/citation-style-language/schema/raw/master/csl-citation.json" }</w:instrText>
      </w:r>
      <w:r w:rsidRPr="00341B41">
        <w:fldChar w:fldCharType="separate"/>
      </w:r>
      <w:r w:rsidRPr="00341B41">
        <w:rPr>
          <w:noProof/>
        </w:rPr>
        <w:t>(Loffing, Hagemann, Schorer, &amp; Baker, 2015; Loffing, Schorer, Hagemann, &amp; Baker, 2012)</w:t>
      </w:r>
      <w:r w:rsidRPr="00341B41">
        <w:fldChar w:fldCharType="end"/>
      </w:r>
      <w:r w:rsidRPr="00341B41">
        <w:t xml:space="preserve">, have suggested that left-handed players are harder to anticipate than right-handed players, regardless of the handedness of the observer. In these studies, </w:t>
      </w:r>
      <w:r w:rsidRPr="00341B41">
        <w:rPr>
          <w:rFonts w:cs="Times New Roman"/>
        </w:rPr>
        <w:t xml:space="preserve">video footage of natural right-handed players </w:t>
      </w:r>
      <w:r w:rsidRPr="00341B41">
        <w:rPr>
          <w:rFonts w:cs="Times New Roman"/>
        </w:rPr>
        <w:lastRenderedPageBreak/>
        <w:t>has been horizontally mirrored in order to create a left-handed shot. This approach meant that the kinematic trace was identical in both the left- and right-handed shots and only orientation differed.</w:t>
      </w:r>
      <w:r w:rsidRPr="00341B41">
        <w:t xml:space="preserve"> </w:t>
      </w:r>
    </w:p>
    <w:p w14:paraId="7976E3EF" w14:textId="1C95A6B3" w:rsidR="00FD5276" w:rsidRPr="00341B41" w:rsidRDefault="00FD5276" w:rsidP="00FD5276">
      <w:pPr>
        <w:ind w:firstLine="720"/>
      </w:pPr>
      <w:r w:rsidRPr="00341B41">
        <w:t>These findings do not fit the theory that it is the underlying kinematics that are crucial in making anticipatory judgements (see</w:t>
      </w:r>
      <w:r w:rsidR="00A43193" w:rsidRPr="00341B41">
        <w:t xml:space="preserve"> section 1.4.2</w:t>
      </w:r>
      <w:r w:rsidRPr="00341B41">
        <w:t xml:space="preserve">), because differences have been found between conditions where the kinematics remain unchanged. The authors of these studies suggest that the effect of a change in visual orientation on anticipation accuracy is due to a negative perceptual frequency effect. This idea argues that left-handed shots are harder to anticipate because left-handed players are far less common than right-handed players are, so there is reduced visual exposure. This reduced visual familiarity leads to a reduction in anticipation performance. It is not clear whether this negative perceptual frequency effect is modulated by expertise. Some studies have shown that expert anticipation performance is disrupted more by mirroring than novices </w:t>
      </w:r>
      <w:r w:rsidRPr="00341B41">
        <w:rPr>
          <w:rFonts w:cs="Times New Roman"/>
        </w:rPr>
        <w:fldChar w:fldCharType="begin" w:fldLock="1"/>
      </w:r>
      <w:r w:rsidRPr="00341B41">
        <w:rPr>
          <w:rFonts w:cs="Times New Roman"/>
        </w:rPr>
        <w:instrText>ADDIN CSL_CITATION { "citationItems" : [ { "id" : "ITEM-1", "itemData" : { "DOI" : "10.1016/j.humov.2015.01.018", "ISSN" : "01679457", "author" : [ { "dropping-particle" : "", "family" : "Loffing", "given" : "Florian", "non-dropping-particle" : "", "parse-names" : false, "suffix" : "" }, { "dropping-particle" : "", "family" : "Hagemann", "given" : "Norbert", "non-dropping-particle" : "", "parse-names" : false, "suffix" : "" }, { "dropping-particle" : "", "family" : "Schorer", "given" : "J\u00f6rg", "non-dropping-particle" : "", "parse-names" : false, "suffix" : "" }, { "dropping-particle" : "", "family" : "Baker", "given" : "Joseph", "non-dropping-particle" : "", "parse-names" : false, "suffix" : "" } ], "container-title" : "Human Movement Science", "id" : "ITEM-1", "issued" : { "date-parts" : [ [ "2015" ] ] }, "page" : "410-421", "publisher" : "Elsevier B.V.", "title" : "Skilled players\u2019 and novices\u2019 difficulty anticipating left- vs. right-handed opponents\u2019 action intentions varies across different points in time", "type" : "article-journal", "volume" : "40" }, "uris" : [ "http://www.mendeley.com/documents/?uuid=5e1fa130-9272-4e47-b586-712e2e812099" ] } ], "mendeley" : { "formattedCitation" : "(Loffing et al., 2015)", "plainTextFormattedCitation" : "(Loffing et al., 2015)", "previouslyFormattedCitation" : "(Loffing et al., 2015)" }, "properties" : { "noteIndex" : 0 }, "schema" : "https://github.com/citation-style-language/schema/raw/master/csl-citation.json" }</w:instrText>
      </w:r>
      <w:r w:rsidRPr="00341B41">
        <w:rPr>
          <w:rFonts w:cs="Times New Roman"/>
        </w:rPr>
        <w:fldChar w:fldCharType="separate"/>
      </w:r>
      <w:r w:rsidRPr="00341B41">
        <w:rPr>
          <w:rFonts w:cs="Times New Roman"/>
          <w:noProof/>
        </w:rPr>
        <w:t>(Loffing et al., 2015)</w:t>
      </w:r>
      <w:r w:rsidRPr="00341B41">
        <w:rPr>
          <w:rFonts w:cs="Times New Roman"/>
        </w:rPr>
        <w:fldChar w:fldCharType="end"/>
      </w:r>
      <w:r w:rsidRPr="00341B41">
        <w:rPr>
          <w:rFonts w:cs="Times New Roman"/>
        </w:rPr>
        <w:t xml:space="preserve">, other work has not found a significant interaction between expertise level and mirroring </w:t>
      </w:r>
      <w:r w:rsidRPr="00341B41">
        <w:rPr>
          <w:rFonts w:cs="Times New Roman"/>
        </w:rPr>
        <w:fldChar w:fldCharType="begin" w:fldLock="1"/>
      </w:r>
      <w:r w:rsidRPr="00341B41">
        <w:rPr>
          <w:rFonts w:cs="Times New Roman"/>
        </w:rPr>
        <w:instrText>ADDIN CSL_CITATION { "citationItems" : [ { "id" : "ITEM-1",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"ITEM-1",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"mendeley" : { "formattedCitation" : "(Loffing et al., 2012)", "plainTextFormattedCitation" : "(Loffing et al., 2012)", "previouslyFormattedCitation" : "(Loffing et al., 2012)" }, "properties" : { "noteIndex" : 0 }, "schema" : "https://github.com/citation-style-language/schema/raw/master/csl-citation.json" }</w:instrText>
      </w:r>
      <w:r w:rsidRPr="00341B41">
        <w:rPr>
          <w:rFonts w:cs="Times New Roman"/>
        </w:rPr>
        <w:fldChar w:fldCharType="separate"/>
      </w:r>
      <w:r w:rsidRPr="00341B41">
        <w:rPr>
          <w:rFonts w:cs="Times New Roman"/>
          <w:noProof/>
        </w:rPr>
        <w:t>(Loffing et al., 2012)</w:t>
      </w:r>
      <w:r w:rsidRPr="00341B41">
        <w:rPr>
          <w:rFonts w:cs="Times New Roman"/>
        </w:rPr>
        <w:fldChar w:fldCharType="end"/>
      </w:r>
      <w:r w:rsidRPr="00341B41">
        <w:rPr>
          <w:rFonts w:cs="Times New Roman"/>
        </w:rPr>
        <w:t xml:space="preserve">. </w:t>
      </w:r>
      <w:r w:rsidRPr="00341B41">
        <w:t xml:space="preserve"> </w:t>
      </w:r>
    </w:p>
    <w:p w14:paraId="491C8994" w14:textId="61133EE2" w:rsidR="00FD5276" w:rsidRPr="00341B41" w:rsidRDefault="00FD5276" w:rsidP="00FD5276">
      <w:pPr>
        <w:ind w:firstLine="720"/>
        <w:rPr>
          <w:rFonts w:cs="Times New Roman"/>
        </w:rPr>
      </w:pPr>
      <w:r w:rsidRPr="00341B41">
        <w:rPr>
          <w:rFonts w:cs="Times New Roman"/>
        </w:rPr>
        <w:t xml:space="preserve">In this Chapter, the primary aim was to develop a video-based test of anticipation skill in tennis that could distinguish skilled from unskilled participants based upon their task performance. A secondary aim was to investigate whether a change in visual familiarity, whilst keeping the underlying kinematics unchanged, disrupted anticipation performance. Based on the large body of research suggesting that it is movement kinematics that are important for successful anticipation, it would be predicted that the effect of mirroring would not disrupt anticipation performance. </w:t>
      </w:r>
    </w:p>
    <w:p w14:paraId="118C2F9A" w14:textId="019FA226" w:rsidR="00270DEE" w:rsidRPr="00341B41" w:rsidRDefault="00270DEE" w:rsidP="00270DEE">
      <w:pPr>
        <w:pStyle w:val="Heading2"/>
      </w:pPr>
      <w:bookmarkStart w:id="36" w:name="_Toc486260852"/>
      <w:r w:rsidRPr="00341B41">
        <w:lastRenderedPageBreak/>
        <w:t>2.2.</w:t>
      </w:r>
      <w:r w:rsidRPr="00341B41">
        <w:tab/>
        <w:t>Experiment 1 – Method</w:t>
      </w:r>
      <w:bookmarkEnd w:id="36"/>
    </w:p>
    <w:p w14:paraId="4A0ADB52" w14:textId="641C2D4C" w:rsidR="00270DEE" w:rsidRPr="00341B41" w:rsidRDefault="00270DEE" w:rsidP="00270DEE">
      <w:pPr>
        <w:pStyle w:val="Heading3"/>
      </w:pPr>
      <w:bookmarkStart w:id="37" w:name="_Toc486260853"/>
      <w:r w:rsidRPr="00341B41">
        <w:t>2.2.1.</w:t>
      </w:r>
      <w:r w:rsidRPr="00341B41">
        <w:tab/>
        <w:t>Participants</w:t>
      </w:r>
      <w:bookmarkEnd w:id="37"/>
    </w:p>
    <w:p w14:paraId="076F2A1D" w14:textId="543F9260" w:rsidR="00270DEE" w:rsidRPr="00341B41" w:rsidRDefault="0016157E" w:rsidP="00270DEE">
      <w:r w:rsidRPr="00341B41">
        <w:t>Thirty-two participants (38%</w:t>
      </w:r>
      <w:r w:rsidR="00270DEE" w:rsidRPr="00341B41">
        <w:t xml:space="preserve"> female</w:t>
      </w:r>
      <w:r w:rsidRPr="00341B41">
        <w:t>)</w:t>
      </w:r>
      <w:r w:rsidR="00270DEE" w:rsidRPr="00341B41">
        <w:t xml:space="preserve"> took part in the experiment, either in exchange for course credit or payment. Sixteen players, who were recruited from the University of Sheffield tennis team, were classed as </w:t>
      </w:r>
      <w:r w:rsidR="009F13AC" w:rsidRPr="00341B41">
        <w:t>experienced</w:t>
      </w:r>
      <w:r w:rsidR="00270DEE" w:rsidRPr="00341B41">
        <w:t xml:space="preserve"> players. They played regular tennis (practising weekly) and completed at least at university/club level (</w:t>
      </w:r>
      <w:r w:rsidR="00270DEE" w:rsidRPr="00341B41">
        <w:rPr>
          <w:b/>
        </w:rPr>
        <w:t>Table 1</w:t>
      </w:r>
      <w:r w:rsidR="00270DEE" w:rsidRPr="00341B41">
        <w:t xml:space="preserve">). Under the framework of Swann et al (2015), these participants would be considered semi-elite. Fifteen of these participants self-reported as being right-handed. Sixteen participants (75% female), who were recruited from the pool of psychology undergraduate students at the University of Sheffield, were classified as </w:t>
      </w:r>
      <w:r w:rsidR="009F13AC" w:rsidRPr="00341B41">
        <w:t>less experienced</w:t>
      </w:r>
      <w:r w:rsidR="00270DEE" w:rsidRPr="00341B41">
        <w:t xml:space="preserve"> participants. They reported some experience of recreational tennis but had not played tennis competitively (</w:t>
      </w:r>
      <w:r w:rsidR="00270DEE" w:rsidRPr="00341B41">
        <w:rPr>
          <w:b/>
        </w:rPr>
        <w:t>Table 1</w:t>
      </w:r>
      <w:r w:rsidR="00270DEE" w:rsidRPr="00341B41">
        <w:t>). Fifteen of these participants self-reported as being right-handed.</w:t>
      </w:r>
    </w:p>
    <w:p w14:paraId="6D816E9C" w14:textId="4431B89A" w:rsidR="00BC6FD5" w:rsidRPr="00341B41" w:rsidRDefault="00BC6FD5" w:rsidP="00BC6FD5">
      <w:pPr>
        <w:pStyle w:val="Caption"/>
      </w:pPr>
      <w:bookmarkStart w:id="38" w:name="_Toc486260917"/>
      <w:r w:rsidRPr="00341B41">
        <w:t xml:space="preserve">Table </w:t>
      </w:r>
      <w:r w:rsidRPr="00341B41">
        <w:fldChar w:fldCharType="begin"/>
      </w:r>
      <w:r w:rsidRPr="00341B41">
        <w:instrText xml:space="preserve"> SEQ Table \* ARABIC </w:instrText>
      </w:r>
      <w:r w:rsidRPr="00341B41">
        <w:fldChar w:fldCharType="separate"/>
      </w:r>
      <w:r w:rsidR="002F1FF0" w:rsidRPr="00341B41">
        <w:rPr>
          <w:noProof/>
        </w:rPr>
        <w:t>1</w:t>
      </w:r>
      <w:r w:rsidRPr="00341B41">
        <w:fldChar w:fldCharType="end"/>
      </w:r>
      <w:r w:rsidRPr="00341B41">
        <w:t>. Tennis experience in the groups for experiment 1</w:t>
      </w:r>
      <w:bookmarkEnd w:id="38"/>
    </w:p>
    <w:tbl>
      <w:tblPr>
        <w:tblStyle w:val="TableGrid"/>
        <w:tblW w:w="8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0"/>
        <w:gridCol w:w="1685"/>
        <w:gridCol w:w="1599"/>
        <w:gridCol w:w="1992"/>
        <w:gridCol w:w="2126"/>
      </w:tblGrid>
      <w:tr w:rsidR="00BC6FD5" w:rsidRPr="00341B41" w14:paraId="75843CF6" w14:textId="77777777" w:rsidTr="00351C84">
        <w:tc>
          <w:tcPr>
            <w:tcW w:w="1400" w:type="dxa"/>
          </w:tcPr>
          <w:p w14:paraId="4326AB33" w14:textId="77777777" w:rsidR="00BC6FD5" w:rsidRPr="00341B41" w:rsidRDefault="00BC6FD5" w:rsidP="00351C84">
            <w:pPr>
              <w:spacing w:after="160" w:line="259" w:lineRule="auto"/>
              <w:rPr>
                <w:rFonts w:ascii="Times New Roman" w:hAnsi="Times New Roman" w:cs="Times New Roman"/>
                <w:u w:val="single"/>
              </w:rPr>
            </w:pPr>
            <w:r w:rsidRPr="00341B41">
              <w:rPr>
                <w:rFonts w:ascii="Times New Roman" w:hAnsi="Times New Roman" w:cs="Times New Roman"/>
                <w:u w:val="single"/>
              </w:rPr>
              <w:t>Group</w:t>
            </w:r>
          </w:p>
        </w:tc>
        <w:tc>
          <w:tcPr>
            <w:tcW w:w="1685" w:type="dxa"/>
          </w:tcPr>
          <w:p w14:paraId="3D829D11" w14:textId="77777777" w:rsidR="00BC6FD5" w:rsidRPr="00341B41" w:rsidRDefault="00BC6FD5"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Age</w:t>
            </w:r>
          </w:p>
        </w:tc>
        <w:tc>
          <w:tcPr>
            <w:tcW w:w="1599" w:type="dxa"/>
          </w:tcPr>
          <w:p w14:paraId="56D07156" w14:textId="77777777" w:rsidR="00BC6FD5" w:rsidRPr="00341B41" w:rsidRDefault="00BC6FD5"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Years of regular experience</w:t>
            </w:r>
          </w:p>
        </w:tc>
        <w:tc>
          <w:tcPr>
            <w:tcW w:w="1992" w:type="dxa"/>
          </w:tcPr>
          <w:p w14:paraId="1598DA1E" w14:textId="77777777" w:rsidR="00BC6FD5" w:rsidRPr="00341B41" w:rsidRDefault="00BC6FD5"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Hours played per week</w:t>
            </w:r>
          </w:p>
        </w:tc>
        <w:tc>
          <w:tcPr>
            <w:tcW w:w="2126" w:type="dxa"/>
          </w:tcPr>
          <w:p w14:paraId="23F47DA1" w14:textId="77777777" w:rsidR="00BC6FD5" w:rsidRPr="00341B41" w:rsidRDefault="00BC6FD5"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Years of formal training</w:t>
            </w:r>
          </w:p>
        </w:tc>
      </w:tr>
      <w:tr w:rsidR="00BC6FD5" w:rsidRPr="00341B41" w14:paraId="2826AB4F" w14:textId="77777777" w:rsidTr="00351C84">
        <w:tc>
          <w:tcPr>
            <w:tcW w:w="1400" w:type="dxa"/>
            <w:tcBorders>
              <w:bottom w:val="single" w:sz="4" w:space="0" w:color="auto"/>
            </w:tcBorders>
          </w:tcPr>
          <w:p w14:paraId="6D23A166" w14:textId="77777777" w:rsidR="00BC6FD5" w:rsidRPr="00341B41" w:rsidRDefault="00BC6FD5" w:rsidP="00351C84">
            <w:pPr>
              <w:spacing w:after="160" w:line="259" w:lineRule="auto"/>
              <w:rPr>
                <w:rFonts w:ascii="Times New Roman" w:hAnsi="Times New Roman" w:cs="Times New Roman"/>
              </w:rPr>
            </w:pPr>
          </w:p>
        </w:tc>
        <w:tc>
          <w:tcPr>
            <w:tcW w:w="1685" w:type="dxa"/>
            <w:tcBorders>
              <w:bottom w:val="single" w:sz="4" w:space="0" w:color="auto"/>
            </w:tcBorders>
          </w:tcPr>
          <w:p w14:paraId="0AF3C5F6"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1599" w:type="dxa"/>
            <w:tcBorders>
              <w:bottom w:val="single" w:sz="4" w:space="0" w:color="auto"/>
            </w:tcBorders>
          </w:tcPr>
          <w:p w14:paraId="44FE243E"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1992" w:type="dxa"/>
            <w:tcBorders>
              <w:bottom w:val="single" w:sz="4" w:space="0" w:color="auto"/>
            </w:tcBorders>
          </w:tcPr>
          <w:p w14:paraId="64C12900"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2126" w:type="dxa"/>
            <w:tcBorders>
              <w:bottom w:val="single" w:sz="4" w:space="0" w:color="auto"/>
            </w:tcBorders>
          </w:tcPr>
          <w:p w14:paraId="614ED3F8"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r>
      <w:tr w:rsidR="00BC6FD5" w:rsidRPr="00341B41" w14:paraId="32AD0A81" w14:textId="77777777" w:rsidTr="00351C84">
        <w:tc>
          <w:tcPr>
            <w:tcW w:w="1400" w:type="dxa"/>
            <w:tcBorders>
              <w:top w:val="single" w:sz="4" w:space="0" w:color="auto"/>
            </w:tcBorders>
          </w:tcPr>
          <w:p w14:paraId="6E86C3D9" w14:textId="666E8D45" w:rsidR="00BC6FD5" w:rsidRPr="00341B41" w:rsidRDefault="008B5B86" w:rsidP="00351C84">
            <w:pPr>
              <w:spacing w:after="160" w:line="259" w:lineRule="auto"/>
              <w:rPr>
                <w:rFonts w:ascii="Times New Roman" w:hAnsi="Times New Roman" w:cs="Times New Roman"/>
              </w:rPr>
            </w:pPr>
            <w:r w:rsidRPr="00341B41">
              <w:rPr>
                <w:rFonts w:ascii="Times New Roman" w:hAnsi="Times New Roman" w:cs="Times New Roman"/>
              </w:rPr>
              <w:t>Experienced</w:t>
            </w:r>
          </w:p>
        </w:tc>
        <w:tc>
          <w:tcPr>
            <w:tcW w:w="1685" w:type="dxa"/>
            <w:tcBorders>
              <w:top w:val="single" w:sz="4" w:space="0" w:color="auto"/>
            </w:tcBorders>
          </w:tcPr>
          <w:p w14:paraId="431446FB"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21.67 (7.78)</w:t>
            </w:r>
          </w:p>
        </w:tc>
        <w:tc>
          <w:tcPr>
            <w:tcW w:w="1599" w:type="dxa"/>
            <w:tcBorders>
              <w:top w:val="single" w:sz="4" w:space="0" w:color="auto"/>
            </w:tcBorders>
          </w:tcPr>
          <w:p w14:paraId="7BF3DB6E"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11.88 (3.16)</w:t>
            </w:r>
          </w:p>
        </w:tc>
        <w:tc>
          <w:tcPr>
            <w:tcW w:w="1992" w:type="dxa"/>
            <w:tcBorders>
              <w:top w:val="single" w:sz="4" w:space="0" w:color="auto"/>
            </w:tcBorders>
          </w:tcPr>
          <w:p w14:paraId="5535F967"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6.25 (2.62)</w:t>
            </w:r>
          </w:p>
        </w:tc>
        <w:tc>
          <w:tcPr>
            <w:tcW w:w="2126" w:type="dxa"/>
            <w:tcBorders>
              <w:top w:val="single" w:sz="4" w:space="0" w:color="auto"/>
            </w:tcBorders>
          </w:tcPr>
          <w:p w14:paraId="12ADDABC"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9.50 (4.27)</w:t>
            </w:r>
          </w:p>
        </w:tc>
      </w:tr>
      <w:tr w:rsidR="00BC6FD5" w:rsidRPr="00341B41" w14:paraId="1E2BD59A" w14:textId="77777777" w:rsidTr="00351C84">
        <w:tc>
          <w:tcPr>
            <w:tcW w:w="1400" w:type="dxa"/>
          </w:tcPr>
          <w:p w14:paraId="3378D726" w14:textId="4D88B33C" w:rsidR="00BC6FD5" w:rsidRPr="00341B41" w:rsidRDefault="008B5B86" w:rsidP="00351C84">
            <w:pPr>
              <w:spacing w:after="160" w:line="259" w:lineRule="auto"/>
              <w:rPr>
                <w:rFonts w:ascii="Times New Roman" w:hAnsi="Times New Roman" w:cs="Times New Roman"/>
              </w:rPr>
            </w:pPr>
            <w:r w:rsidRPr="00341B41">
              <w:rPr>
                <w:rFonts w:ascii="Times New Roman" w:hAnsi="Times New Roman" w:cs="Times New Roman"/>
              </w:rPr>
              <w:t>Less experienced</w:t>
            </w:r>
          </w:p>
        </w:tc>
        <w:tc>
          <w:tcPr>
            <w:tcW w:w="1685" w:type="dxa"/>
          </w:tcPr>
          <w:p w14:paraId="3DE28FF1"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18.73 (0.88)</w:t>
            </w:r>
          </w:p>
        </w:tc>
        <w:tc>
          <w:tcPr>
            <w:tcW w:w="1599" w:type="dxa"/>
          </w:tcPr>
          <w:p w14:paraId="37B8E0CD"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1.50 (2.00)</w:t>
            </w:r>
          </w:p>
        </w:tc>
        <w:tc>
          <w:tcPr>
            <w:tcW w:w="1992" w:type="dxa"/>
          </w:tcPr>
          <w:p w14:paraId="4A94E08E"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1.63 (2.09)</w:t>
            </w:r>
          </w:p>
        </w:tc>
        <w:tc>
          <w:tcPr>
            <w:tcW w:w="2126" w:type="dxa"/>
          </w:tcPr>
          <w:p w14:paraId="4C777762" w14:textId="77777777" w:rsidR="00BC6FD5" w:rsidRPr="00341B41" w:rsidRDefault="00BC6FD5" w:rsidP="00351C84">
            <w:pPr>
              <w:spacing w:after="160" w:line="259" w:lineRule="auto"/>
              <w:jc w:val="center"/>
              <w:rPr>
                <w:rFonts w:ascii="Times New Roman" w:hAnsi="Times New Roman" w:cs="Times New Roman"/>
              </w:rPr>
            </w:pPr>
            <w:r w:rsidRPr="00341B41">
              <w:rPr>
                <w:rFonts w:ascii="Times New Roman" w:hAnsi="Times New Roman" w:cs="Times New Roman"/>
              </w:rPr>
              <w:t>0.25 (1.00)</w:t>
            </w:r>
          </w:p>
        </w:tc>
      </w:tr>
      <w:tr w:rsidR="00BC6FD5" w:rsidRPr="00341B41" w14:paraId="4084EF8F" w14:textId="77777777" w:rsidTr="00351C84">
        <w:tc>
          <w:tcPr>
            <w:tcW w:w="8802" w:type="dxa"/>
            <w:gridSpan w:val="5"/>
            <w:tcBorders>
              <w:top w:val="single" w:sz="4" w:space="0" w:color="auto"/>
            </w:tcBorders>
          </w:tcPr>
          <w:p w14:paraId="12AE371C" w14:textId="77777777" w:rsidR="00BC6FD5" w:rsidRPr="00341B41" w:rsidRDefault="00BC6FD5" w:rsidP="00351C84">
            <w:pPr>
              <w:spacing w:after="160" w:line="259" w:lineRule="auto"/>
              <w:rPr>
                <w:rFonts w:ascii="Times New Roman" w:hAnsi="Times New Roman" w:cs="Times New Roman"/>
              </w:rPr>
            </w:pPr>
            <w:r w:rsidRPr="00341B41">
              <w:rPr>
                <w:rFonts w:ascii="Times New Roman" w:hAnsi="Times New Roman" w:cs="Times New Roman"/>
                <w:i/>
              </w:rPr>
              <w:t xml:space="preserve">Note. </w:t>
            </w:r>
            <w:r w:rsidRPr="00341B41">
              <w:rPr>
                <w:rFonts w:ascii="Times New Roman" w:hAnsi="Times New Roman" w:cs="Times New Roman"/>
              </w:rPr>
              <w:t>SD = Standard deviation</w:t>
            </w:r>
          </w:p>
        </w:tc>
      </w:tr>
    </w:tbl>
    <w:p w14:paraId="3152BE3D" w14:textId="77777777" w:rsidR="00BC6FD5" w:rsidRPr="00341B41" w:rsidRDefault="00BC6FD5" w:rsidP="00BC6FD5"/>
    <w:p w14:paraId="34DD2443" w14:textId="7A0D0765" w:rsidR="00270DEE" w:rsidRPr="00341B41" w:rsidRDefault="00270DEE" w:rsidP="00270DEE">
      <w:pPr>
        <w:pStyle w:val="Heading3"/>
      </w:pPr>
      <w:bookmarkStart w:id="39" w:name="_Toc486260854"/>
      <w:r w:rsidRPr="00341B41">
        <w:t>2.2.2.</w:t>
      </w:r>
      <w:r w:rsidRPr="00341B41">
        <w:tab/>
        <w:t>Materials</w:t>
      </w:r>
      <w:bookmarkEnd w:id="39"/>
    </w:p>
    <w:p w14:paraId="149C7E63" w14:textId="15595A5C" w:rsidR="00CA747D" w:rsidRPr="00341B41" w:rsidRDefault="00270DEE" w:rsidP="00270DEE">
      <w:r w:rsidRPr="00341B41">
        <w:t xml:space="preserve">The anticipation test was filmed using a tripod mounted Panasonic HC-X920 camcorder. Each video was initially recorded at 1920 X 1080 pixels, which was reduced to 854 X 480 </w:t>
      </w:r>
      <w:r w:rsidRPr="00341B41">
        <w:lastRenderedPageBreak/>
        <w:t>pixels due to computational limitations. The video was recorded at 25 fps with a 16:9 ‘widescreen’ aspect ratio. The camera was positioned on the T where the centre service line meets the service line</w:t>
      </w:r>
      <w:r w:rsidR="00CA747D" w:rsidRPr="00341B41">
        <w:t xml:space="preserve"> (</w:t>
      </w:r>
      <w:r w:rsidR="00CA747D" w:rsidRPr="00341B41">
        <w:rPr>
          <w:b/>
        </w:rPr>
        <w:t>Figure 1</w:t>
      </w:r>
      <w:r w:rsidR="00CA747D" w:rsidRPr="00341B41">
        <w:t xml:space="preserve">). </w:t>
      </w:r>
      <w:r w:rsidRPr="00341B41">
        <w:t>The video footage was edited using iMovie 11. Two skilled left-handed players featured in the video. Player A was a qualified LTA level 4 ‘senior performance’ coach, defined as being able to coach national level players. Player B was a qualified LTA level 2 coaching assistant, defined as being able to coach adult beginner players (</w:t>
      </w:r>
      <w:r w:rsidR="00CA747D" w:rsidRPr="00341B41">
        <w:t>http://www.lta.org.uk/coach-teach/coach-development/coaching-</w:t>
      </w:r>
      <w:r w:rsidR="00F15E1C" w:rsidRPr="00341B41">
        <w:rPr>
          <w:noProof/>
          <w:lang w:val="en-US"/>
        </w:rPr>
        <w:drawing>
          <wp:anchor distT="0" distB="0" distL="114300" distR="114300" simplePos="0" relativeHeight="251661312" behindDoc="0" locked="0" layoutInCell="1" allowOverlap="1" wp14:anchorId="5146D639" wp14:editId="16C9AD1A">
            <wp:simplePos x="0" y="0"/>
            <wp:positionH relativeFrom="column">
              <wp:posOffset>776605</wp:posOffset>
            </wp:positionH>
            <wp:positionV relativeFrom="paragraph">
              <wp:posOffset>2741295</wp:posOffset>
            </wp:positionV>
            <wp:extent cx="3825240" cy="3187700"/>
            <wp:effectExtent l="0" t="0" r="0" b="0"/>
            <wp:wrapTopAndBottom/>
            <wp:docPr id="18" name="Picture 18" descr="EEG%20channel%20results/EPS%20files/Figur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G%20channel%20results/EPS%20files/Figure%20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4276"/>
                    <a:stretch/>
                  </pic:blipFill>
                  <pic:spPr bwMode="auto">
                    <a:xfrm>
                      <a:off x="0" y="0"/>
                      <a:ext cx="3825240" cy="318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747D" w:rsidRPr="00341B41">
        <w:t xml:space="preserve">pathway/). </w:t>
      </w:r>
    </w:p>
    <w:p w14:paraId="34F5143D" w14:textId="3B825FD8" w:rsidR="00F15E1C" w:rsidRPr="00341B41" w:rsidRDefault="00F15E1C" w:rsidP="00F15E1C">
      <w:pPr>
        <w:pStyle w:val="Caption"/>
      </w:pPr>
      <w:bookmarkStart w:id="40" w:name="_Toc488400750"/>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w:t>
      </w:r>
      <w:r w:rsidRPr="00341B41">
        <w:fldChar w:fldCharType="end"/>
      </w:r>
      <w:r w:rsidRPr="00341B41">
        <w:t>. Set-up for the recording of the anticipation test</w:t>
      </w:r>
      <w:bookmarkEnd w:id="40"/>
      <w:r w:rsidRPr="00341B41">
        <w:t xml:space="preserve"> </w:t>
      </w:r>
    </w:p>
    <w:p w14:paraId="12E2C2EF" w14:textId="6D6DB483" w:rsidR="00F15E1C" w:rsidRPr="00341B41" w:rsidRDefault="00F15E1C" w:rsidP="00F15E1C">
      <w:pPr>
        <w:pStyle w:val="NoSpacing"/>
        <w:rPr>
          <w:i/>
        </w:rPr>
      </w:pPr>
      <w:r w:rsidRPr="00341B41">
        <w:rPr>
          <w:i/>
        </w:rPr>
        <w:t>A – The starting position of the player being filmed. B – The position of the camera during the recording session. C - The position of the player feeding the shots.</w:t>
      </w:r>
    </w:p>
    <w:p w14:paraId="436A324B" w14:textId="77777777" w:rsidR="00F15E1C" w:rsidRPr="00341B41" w:rsidRDefault="00F15E1C" w:rsidP="00F15E1C">
      <w:pPr>
        <w:rPr>
          <w:i/>
        </w:rPr>
      </w:pPr>
    </w:p>
    <w:p w14:paraId="1D939F89" w14:textId="78E2F862" w:rsidR="00CA747D" w:rsidRPr="00341B41" w:rsidRDefault="00270DEE" w:rsidP="00F15E1C">
      <w:pPr>
        <w:ind w:firstLine="720"/>
      </w:pPr>
      <w:r w:rsidRPr="00341B41">
        <w:t>For the recording, one of the players stood positioned on the back line of the court and was fed balls by the second player, who was out of sight of the camera</w:t>
      </w:r>
      <w:r w:rsidR="00CA747D" w:rsidRPr="00341B41">
        <w:t xml:space="preserve"> (</w:t>
      </w:r>
      <w:r w:rsidR="00CA747D" w:rsidRPr="00341B41">
        <w:rPr>
          <w:b/>
        </w:rPr>
        <w:t>Figure 1</w:t>
      </w:r>
      <w:r w:rsidR="00CA747D" w:rsidRPr="00341B41">
        <w:t xml:space="preserve">). </w:t>
      </w:r>
      <w:r w:rsidRPr="00341B41">
        <w:t xml:space="preserve">The position of the camera meant that shots were filmed approximately from the point-of-view </w:t>
      </w:r>
      <w:r w:rsidRPr="00341B41">
        <w:lastRenderedPageBreak/>
        <w:t xml:space="preserve">of an opponent player positioned on the service line </w:t>
      </w:r>
      <w:r w:rsidR="00CA747D" w:rsidRPr="00341B41">
        <w:t>(</w:t>
      </w:r>
      <w:r w:rsidR="00CA747D" w:rsidRPr="00341B41">
        <w:rPr>
          <w:b/>
        </w:rPr>
        <w:t>Figure 2</w:t>
      </w:r>
      <w:r w:rsidR="00CA747D" w:rsidRPr="00341B41">
        <w:t>)</w:t>
      </w:r>
      <w:r w:rsidR="00CA747D" w:rsidRPr="00341B41">
        <w:rPr>
          <w:b/>
        </w:rPr>
        <w:t xml:space="preserve">. </w:t>
      </w:r>
      <w:r w:rsidRPr="00341B41">
        <w:t xml:space="preserve">The player being filmed performed both forehand and background groundstrokes whilst remaining at the back of the court. They were instructed to perform prototypical shots clearly aimed to the left or right side of the court. Each shot was played from an individual feed. Each player was recorded hitting 200 shots. This led to a total of 400 shots, containing a mixture of forehand </w:t>
      </w:r>
      <w:r w:rsidR="00F15E1C" w:rsidRPr="00341B41">
        <w:rPr>
          <w:rFonts w:cs="Times New Roman"/>
          <w:b/>
          <w:i/>
          <w:iCs/>
          <w:noProof/>
          <w:lang w:val="en-US"/>
        </w:rPr>
        <w:drawing>
          <wp:anchor distT="0" distB="0" distL="114300" distR="114300" simplePos="0" relativeHeight="251663360" behindDoc="0" locked="0" layoutInCell="1" allowOverlap="1" wp14:anchorId="58572540" wp14:editId="2D348425">
            <wp:simplePos x="0" y="0"/>
            <wp:positionH relativeFrom="column">
              <wp:posOffset>48260</wp:posOffset>
            </wp:positionH>
            <wp:positionV relativeFrom="paragraph">
              <wp:posOffset>2176145</wp:posOffset>
            </wp:positionV>
            <wp:extent cx="5425440" cy="929640"/>
            <wp:effectExtent l="0" t="0" r="10160" b="10160"/>
            <wp:wrapSquare wrapText="bothSides"/>
            <wp:docPr id="12" name="Picture 12" descr="EEG%20channel%20results/EPS%20files/Figur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G%20channel%20results/EPS%20files/Figure%202.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869" r="4299"/>
                    <a:stretch/>
                  </pic:blipFill>
                  <pic:spPr bwMode="auto">
                    <a:xfrm>
                      <a:off x="0" y="0"/>
                      <a:ext cx="5425440" cy="92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B41">
        <w:t>and backhand groundstrokes.</w:t>
      </w:r>
    </w:p>
    <w:p w14:paraId="1D3FA81E" w14:textId="77777777" w:rsidR="00F15E1C" w:rsidRPr="00341B41" w:rsidRDefault="00F15E1C" w:rsidP="00F15E1C">
      <w:pPr>
        <w:pStyle w:val="NoSpacing"/>
      </w:pPr>
    </w:p>
    <w:p w14:paraId="2E21459D" w14:textId="0A310EE8" w:rsidR="00F15E1C" w:rsidRPr="00341B41" w:rsidRDefault="00F15E1C" w:rsidP="00F15E1C">
      <w:pPr>
        <w:pStyle w:val="Caption"/>
      </w:pPr>
      <w:bookmarkStart w:id="41" w:name="_Toc488400751"/>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2</w:t>
      </w:r>
      <w:r w:rsidRPr="00341B41">
        <w:fldChar w:fldCharType="end"/>
      </w:r>
      <w:r w:rsidRPr="00341B41">
        <w:t>. An example of a single trial in experiment 1</w:t>
      </w:r>
      <w:bookmarkEnd w:id="41"/>
    </w:p>
    <w:p w14:paraId="10E048BD" w14:textId="2A91A41B" w:rsidR="00F15E1C" w:rsidRPr="00341B41" w:rsidRDefault="00F15E1C" w:rsidP="00F15E1C">
      <w:pPr>
        <w:pStyle w:val="NoSpacing"/>
        <w:rPr>
          <w:i/>
        </w:rPr>
      </w:pPr>
      <w:r w:rsidRPr="00341B41">
        <w:rPr>
          <w:i/>
        </w:rPr>
        <w:t xml:space="preserve">A – The start of the trial, before the player behind the camera has fed the shot. B – The fame in which the player’s racket makes contact with the ball. C – The frame in which the ball leaves the camera’s field of view. </w:t>
      </w:r>
      <w:r w:rsidR="003A70C8" w:rsidRPr="00341B41">
        <w:rPr>
          <w:i/>
        </w:rPr>
        <w:t>Note this thi</w:t>
      </w:r>
      <w:r w:rsidRPr="00341B41">
        <w:rPr>
          <w:i/>
        </w:rPr>
        <w:t>s Figure represents a continuous video stimulus.</w:t>
      </w:r>
    </w:p>
    <w:p w14:paraId="0057FC68" w14:textId="77777777" w:rsidR="00F15E1C" w:rsidRPr="00341B41" w:rsidRDefault="00F15E1C" w:rsidP="00F15E1C">
      <w:pPr>
        <w:rPr>
          <w:i/>
        </w:rPr>
      </w:pPr>
    </w:p>
    <w:p w14:paraId="6C015B68" w14:textId="2A6BB052" w:rsidR="00CA747D" w:rsidRPr="00341B41" w:rsidRDefault="00F15E1C" w:rsidP="00F15E1C">
      <w:pPr>
        <w:ind w:firstLine="720"/>
      </w:pPr>
      <w:r w:rsidRPr="00341B41">
        <w:t>T</w:t>
      </w:r>
      <w:r w:rsidR="00270DEE" w:rsidRPr="00341B41">
        <w:t xml:space="preserve">he video was segmented into individual shots. Each clip started when the player feeding balls started their shot, and ended at the frame in which the ball disappears from view after the shot had been played. Two of the original blocks of fifty shots were removed due to balls hitting the tripod during filming, causing discrepancies within these blocks regarding the camera angle. Shots that hit the net were removed, as were shots where the ball landed in the tramlines (which had been noted by an observer during filming). Finally, each remaining clip was judged as to the final position of the ball. Any shots that went down the middle of the court, left the camera’s field-of-view notably early, or were otherwise difficult to determine shot direction were removed. Through this process, 100 acceptable shots were selected. These clips broke down evenly into: 50 shots from each </w:t>
      </w:r>
      <w:r w:rsidR="00270DEE" w:rsidRPr="00341B41">
        <w:lastRenderedPageBreak/>
        <w:t>player, and within each player, 25 shots went left, and 25 went right. The 100 shots selected were then mirrored horizontally to give the impression of a change of handedness.  This gave a total of 200 trials in the experiment.</w:t>
      </w:r>
      <w:r w:rsidR="00CA747D" w:rsidRPr="00341B41">
        <w:t xml:space="preserve"> </w:t>
      </w:r>
    </w:p>
    <w:p w14:paraId="585CFF62" w14:textId="69F5CDBC" w:rsidR="00270DEE" w:rsidRPr="00341B41" w:rsidRDefault="00270DEE" w:rsidP="00CA747D">
      <w:pPr>
        <w:ind w:firstLine="720"/>
      </w:pPr>
      <w:r w:rsidRPr="00341B41">
        <w:t>The trials were presented on a</w:t>
      </w:r>
      <w:r w:rsidR="00D011FF" w:rsidRPr="00341B41">
        <w:t xml:space="preserve"> 19-inch </w:t>
      </w:r>
      <w:r w:rsidRPr="00341B41">
        <w:t xml:space="preserve">PC monitor </w:t>
      </w:r>
      <w:r w:rsidR="00D011FF" w:rsidRPr="00341B41">
        <w:t xml:space="preserve">at a resolution 854 x 480 pixels </w:t>
      </w:r>
      <w:r w:rsidRPr="00341B41">
        <w:t>with the sound turned off. The experiment was controlled from a computer using a custom M</w:t>
      </w:r>
      <w:r w:rsidR="00460B75" w:rsidRPr="00341B41">
        <w:t>ATLAB</w:t>
      </w:r>
      <w:r w:rsidRPr="00341B41">
        <w:t xml:space="preserve"> script designed using </w:t>
      </w:r>
      <w:proofErr w:type="spellStart"/>
      <w:r w:rsidRPr="00341B41">
        <w:t>PsychToolbox</w:t>
      </w:r>
      <w:proofErr w:type="spellEnd"/>
      <w:r w:rsidRPr="00341B41">
        <w:t xml:space="preserve"> 3 </w:t>
      </w:r>
      <w:r w:rsidRPr="00341B41">
        <w:fldChar w:fldCharType="begin" w:fldLock="1"/>
      </w:r>
      <w:r w:rsidRPr="00341B41">
        <w:instrText>ADDIN CSL_CITATION { "citationItems" : [ { "id" : "ITEM-1", "itemData" : { "author" : [ { "dropping-particle" : "", "family" : "Kleiner", "given" : "M", "non-dropping-particle" : "", "parse-names" : false, "suffix" : "" }, { "dropping-particle" : "", "family" : "Brainard", "given" : "DH", "non-dropping-particle" : "", "parse-names" : false, "suffix" : "" }, { "dropping-particle" : "", "family" : "Pelli", "given" : "DG", "non-dropping-particle" : "", "parse-names" : false, "suffix" : "" } ], "container-title" : "Perception", "id" : "ITEM-1", "issued" : { "date-parts" : [ [ "2007" ] ] }, "page" : "ECVP Abstract Supplement", "title" : "What's new in Psychtoolbox-3", "type" : "article-journal", "volume" : "36" }, "uris" : [ "http://www.mendeley.com/documents/?uuid=55adad7f-8ee6-4b93-9171-6846ca6df325" ] } ], "mendeley" : { "formattedCitation" : "(Kleiner, Brainard, &amp; Pelli, 2007)", "plainTextFormattedCitation" : "(Kleiner, Brainard, &amp; Pelli, 2007)", "previouslyFormattedCitation" : "(Kleiner, Brainard, &amp; Pelli, 2007)" }, "properties" : { "noteIndex" : 0 }, "schema" : "https://github.com/citation-style-language/schema/raw/master/csl-citation.json" }</w:instrText>
      </w:r>
      <w:r w:rsidRPr="00341B41">
        <w:fldChar w:fldCharType="separate"/>
      </w:r>
      <w:r w:rsidRPr="00341B41">
        <w:rPr>
          <w:noProof/>
        </w:rPr>
        <w:t>(Kleiner, Brainard, &amp; Pelli, 2007)</w:t>
      </w:r>
      <w:r w:rsidRPr="00341B41">
        <w:fldChar w:fldCharType="end"/>
      </w:r>
      <w:r w:rsidRPr="00341B41">
        <w:t xml:space="preserve">. For each trial, participants were required to indicate with an appropriate key press when they knew the direction that the ball was going. This response was then logged along with the time (in </w:t>
      </w:r>
      <w:proofErr w:type="spellStart"/>
      <w:r w:rsidRPr="00341B41">
        <w:t>ms</w:t>
      </w:r>
      <w:proofErr w:type="spellEnd"/>
      <w:r w:rsidRPr="00341B41">
        <w:t>) of the keypress, relative to the start of the trial.</w:t>
      </w:r>
    </w:p>
    <w:p w14:paraId="792E204C" w14:textId="2493F41B" w:rsidR="00FA1B67" w:rsidRPr="00341B41" w:rsidRDefault="00FA1B67" w:rsidP="00FA1B67">
      <w:pPr>
        <w:pStyle w:val="Heading3"/>
      </w:pPr>
      <w:bookmarkStart w:id="42" w:name="_Toc486260855"/>
      <w:r w:rsidRPr="00341B41">
        <w:t>2.2.3.</w:t>
      </w:r>
      <w:r w:rsidRPr="00341B41">
        <w:tab/>
        <w:t>Procedure</w:t>
      </w:r>
      <w:bookmarkEnd w:id="42"/>
    </w:p>
    <w:p w14:paraId="7C624656" w14:textId="328DC069" w:rsidR="001728E3" w:rsidRPr="00341B41" w:rsidRDefault="00FA1B67" w:rsidP="001728E3">
      <w:r w:rsidRPr="00341B41">
        <w:t>The experiment</w:t>
      </w:r>
      <w:r w:rsidR="00024491" w:rsidRPr="00341B41">
        <w:t xml:space="preserve"> </w:t>
      </w:r>
      <w:r w:rsidR="001728E3" w:rsidRPr="00341B41">
        <w:t xml:space="preserve">was approved by the University of Sheffield Department of Psychology Ethics Committee. The participants conducted the task individually in a quiet room in a single session. After signing a consent form participants were presented with an instruction screen outlining the format of the experiment. The instructions told participants that they were going to be viewing a series of individual tennis strokes performed by an expert player, and that their task was to anticipate as quickly and as accurately as possible the direction that the player was going to hit the ball by pressing the appropriate button. </w:t>
      </w:r>
    </w:p>
    <w:p w14:paraId="6BDC132A" w14:textId="61315CE8" w:rsidR="001728E3" w:rsidRPr="00341B41" w:rsidRDefault="001728E3" w:rsidP="001728E3">
      <w:pPr>
        <w:ind w:firstLine="720"/>
      </w:pPr>
      <w:r w:rsidRPr="00341B41">
        <w:t xml:space="preserve">Following that, participants were presented with 10 practice trials (using shots not presented in the experimental trials). The 200 test trials were split into two blocks of 100 trials, with a break between the two blocks. The order of trial presentation was randomised for each participant. The experimental session took approximately 20 minutes to complete. </w:t>
      </w:r>
      <w:r w:rsidRPr="00341B41">
        <w:lastRenderedPageBreak/>
        <w:t xml:space="preserve">Once the experimental session had finished, participants completed a questionnaire regarding their tennis experience (see </w:t>
      </w:r>
      <w:r w:rsidRPr="00341B41">
        <w:rPr>
          <w:b/>
        </w:rPr>
        <w:t>Appendix A1</w:t>
      </w:r>
      <w:r w:rsidRPr="00341B41">
        <w:t xml:space="preserve"> and </w:t>
      </w:r>
      <w:r w:rsidRPr="00341B41">
        <w:rPr>
          <w:b/>
        </w:rPr>
        <w:t>A2</w:t>
      </w:r>
      <w:r w:rsidRPr="00341B41">
        <w:t>).</w:t>
      </w:r>
    </w:p>
    <w:p w14:paraId="61B7DDE6" w14:textId="09F99EEB" w:rsidR="001728E3" w:rsidRPr="00341B41" w:rsidRDefault="001728E3" w:rsidP="001728E3">
      <w:pPr>
        <w:pStyle w:val="Heading2"/>
      </w:pPr>
      <w:bookmarkStart w:id="43" w:name="_Toc486260856"/>
      <w:r w:rsidRPr="00341B41">
        <w:t>2.3.</w:t>
      </w:r>
      <w:r w:rsidRPr="00341B41">
        <w:tab/>
        <w:t>Experiment 1 – Results</w:t>
      </w:r>
      <w:bookmarkEnd w:id="43"/>
    </w:p>
    <w:p w14:paraId="415C136F" w14:textId="77777777" w:rsidR="001728E3" w:rsidRPr="00341B41" w:rsidRDefault="001728E3" w:rsidP="001728E3">
      <w:r w:rsidRPr="00341B41">
        <w:t xml:space="preserve">Overall a scale calculated from accuracy of all items showed excellent internal reliability </w:t>
      </w:r>
      <w:proofErr w:type="spellStart"/>
      <w:r w:rsidRPr="00341B41">
        <w:t>reliability</w:t>
      </w:r>
      <w:proofErr w:type="spellEnd"/>
      <w:r w:rsidRPr="00341B41">
        <w:t xml:space="preserve"> (α = .94). Using reaction time, similarly excellent reliability was found (α = .98). There was no evidence that removing any items would substantially improve scale reliability. </w:t>
      </w:r>
    </w:p>
    <w:p w14:paraId="618D09FB" w14:textId="77777777" w:rsidR="001728E3" w:rsidRPr="00341B41" w:rsidRDefault="001728E3" w:rsidP="001728E3">
      <w:pPr>
        <w:ind w:firstLine="720"/>
      </w:pPr>
      <w:r w:rsidRPr="00341B41">
        <w:t xml:space="preserve">There were no effects of gender on anticipation accuracy, </w:t>
      </w:r>
      <w:r w:rsidRPr="00341B41">
        <w:rPr>
          <w:i/>
        </w:rPr>
        <w:t xml:space="preserve">t </w:t>
      </w:r>
      <w:r w:rsidRPr="00341B41">
        <w:t xml:space="preserve">(30) = -1.08, </w:t>
      </w:r>
      <w:r w:rsidRPr="00341B41">
        <w:rPr>
          <w:i/>
        </w:rPr>
        <w:t>p</w:t>
      </w:r>
      <w:r w:rsidRPr="00341B41">
        <w:t xml:space="preserve"> = .29, </w:t>
      </w:r>
      <w:r w:rsidRPr="00341B41">
        <w:rPr>
          <w:i/>
        </w:rPr>
        <w:t xml:space="preserve">d </w:t>
      </w:r>
      <w:r w:rsidRPr="00341B41">
        <w:t xml:space="preserve">= 0.10, or reaction time, </w:t>
      </w:r>
      <w:r w:rsidRPr="00341B41">
        <w:rPr>
          <w:i/>
        </w:rPr>
        <w:t>t</w:t>
      </w:r>
      <w:r w:rsidRPr="00341B41">
        <w:t xml:space="preserve"> (30) = -1.49, </w:t>
      </w:r>
      <w:r w:rsidRPr="00341B41">
        <w:rPr>
          <w:i/>
        </w:rPr>
        <w:t xml:space="preserve">p </w:t>
      </w:r>
      <w:r w:rsidRPr="00341B41">
        <w:t xml:space="preserve">= .15, </w:t>
      </w:r>
      <w:r w:rsidRPr="00341B41">
        <w:rPr>
          <w:i/>
        </w:rPr>
        <w:t>d</w:t>
      </w:r>
      <w:r w:rsidRPr="00341B41">
        <w:t xml:space="preserve"> = 0.53. There was also no significant association between age and either anticipation accuracy, </w:t>
      </w:r>
      <w:r w:rsidRPr="00341B41">
        <w:rPr>
          <w:i/>
        </w:rPr>
        <w:t xml:space="preserve">r </w:t>
      </w:r>
      <w:r w:rsidRPr="00341B41">
        <w:t xml:space="preserve">= -.04, </w:t>
      </w:r>
      <w:r w:rsidRPr="00341B41">
        <w:rPr>
          <w:i/>
        </w:rPr>
        <w:t xml:space="preserve">p </w:t>
      </w:r>
      <w:r w:rsidRPr="00341B41">
        <w:t xml:space="preserve">= .85, or reaction time, </w:t>
      </w:r>
      <w:r w:rsidRPr="00341B41">
        <w:rPr>
          <w:i/>
        </w:rPr>
        <w:t xml:space="preserve">r </w:t>
      </w:r>
      <w:r w:rsidRPr="00341B41">
        <w:t xml:space="preserve">= .04, </w:t>
      </w:r>
      <w:r w:rsidRPr="00341B41">
        <w:rPr>
          <w:i/>
        </w:rPr>
        <w:t xml:space="preserve">p </w:t>
      </w:r>
      <w:r w:rsidRPr="00341B41">
        <w:t xml:space="preserve">= .83. </w:t>
      </w:r>
    </w:p>
    <w:p w14:paraId="2DDA4A11" w14:textId="77777777" w:rsidR="001728E3" w:rsidRPr="00341B41" w:rsidRDefault="001728E3" w:rsidP="001728E3">
      <w:pPr>
        <w:ind w:firstLine="720"/>
      </w:pPr>
      <w:r w:rsidRPr="00341B41">
        <w:t xml:space="preserve">There was no difference in anticipation accuracy between forehand and backhand strokes, </w:t>
      </w:r>
      <w:r w:rsidRPr="00341B41">
        <w:rPr>
          <w:i/>
        </w:rPr>
        <w:t>t</w:t>
      </w:r>
      <w:r w:rsidRPr="00341B41">
        <w:t xml:space="preserve"> (31) = 0.74, </w:t>
      </w:r>
      <w:r w:rsidRPr="00341B41">
        <w:rPr>
          <w:i/>
        </w:rPr>
        <w:t xml:space="preserve">p </w:t>
      </w:r>
      <w:r w:rsidRPr="00341B41">
        <w:t xml:space="preserve">= .46, </w:t>
      </w:r>
      <w:r w:rsidRPr="00341B41">
        <w:rPr>
          <w:i/>
        </w:rPr>
        <w:t xml:space="preserve">d </w:t>
      </w:r>
      <w:r w:rsidRPr="00341B41">
        <w:t xml:space="preserve">= 0.14, or between shots which landed on the left side of the court and shots which landed on the right side of the court, </w:t>
      </w:r>
      <w:r w:rsidRPr="00341B41">
        <w:rPr>
          <w:i/>
        </w:rPr>
        <w:t xml:space="preserve">t </w:t>
      </w:r>
      <w:r w:rsidRPr="00341B41">
        <w:t xml:space="preserve">(31) = -0.49, </w:t>
      </w:r>
      <w:r w:rsidRPr="00341B41">
        <w:rPr>
          <w:i/>
        </w:rPr>
        <w:t xml:space="preserve">p </w:t>
      </w:r>
      <w:r w:rsidRPr="00341B41">
        <w:t xml:space="preserve">= .63., </w:t>
      </w:r>
      <w:r w:rsidRPr="00341B41">
        <w:rPr>
          <w:i/>
        </w:rPr>
        <w:t xml:space="preserve">d </w:t>
      </w:r>
      <w:r w:rsidRPr="00341B41">
        <w:t xml:space="preserve">= 0.09. There was a significant difference in anticipation accuracy between the two players observed by participants, </w:t>
      </w:r>
      <w:r w:rsidRPr="00341B41">
        <w:rPr>
          <w:i/>
        </w:rPr>
        <w:t xml:space="preserve">t </w:t>
      </w:r>
      <w:r w:rsidRPr="00341B41">
        <w:t xml:space="preserve">(31) = 12.44, </w:t>
      </w:r>
      <w:r w:rsidRPr="00341B41">
        <w:rPr>
          <w:i/>
        </w:rPr>
        <w:t xml:space="preserve">p </w:t>
      </w:r>
      <w:r w:rsidRPr="00341B41">
        <w:t xml:space="preserve">&lt; .001, </w:t>
      </w:r>
      <w:r w:rsidRPr="00341B41">
        <w:rPr>
          <w:i/>
        </w:rPr>
        <w:t xml:space="preserve">d </w:t>
      </w:r>
      <w:r w:rsidRPr="00341B41">
        <w:t xml:space="preserve">= 2.48. Player A was easier to anticipate (mean accuracy = 67.91%) than player B (mean accuracy = 49.18%). </w:t>
      </w:r>
    </w:p>
    <w:p w14:paraId="7E3C647D" w14:textId="27331CDC" w:rsidR="001728E3" w:rsidRPr="00341B41" w:rsidRDefault="001728E3" w:rsidP="001728E3">
      <w:pPr>
        <w:ind w:firstLine="720"/>
      </w:pPr>
      <w:r w:rsidRPr="00341B41">
        <w:t xml:space="preserve">Chance level performance was set at 50% accuracy. Descriptive statistics on task performance by both groups are shown in </w:t>
      </w:r>
      <w:r w:rsidRPr="00341B41">
        <w:rPr>
          <w:b/>
        </w:rPr>
        <w:t>Table 2</w:t>
      </w:r>
      <w:r w:rsidRPr="00341B41">
        <w:t xml:space="preserve">. Across all trials, </w:t>
      </w:r>
      <w:r w:rsidR="00402E8E" w:rsidRPr="00341B41">
        <w:t>experienced</w:t>
      </w:r>
      <w:r w:rsidRPr="00341B41">
        <w:t xml:space="preserve"> participants performed significantly above chance and were significantly more accurate (M = 66.56%, 95% CI = 61.07% - 72.05%) than </w:t>
      </w:r>
      <w:r w:rsidR="00402E8E" w:rsidRPr="00341B41">
        <w:t>less experienced</w:t>
      </w:r>
      <w:r w:rsidRPr="00341B41">
        <w:t xml:space="preserve"> participants (M = 50.53%, 95% CI = 48.91% - 52.15%), </w:t>
      </w:r>
      <w:r w:rsidRPr="00341B41">
        <w:rPr>
          <w:i/>
        </w:rPr>
        <w:t>t</w:t>
      </w:r>
      <w:r w:rsidRPr="00341B41">
        <w:t xml:space="preserve"> (30) = -5.49, </w:t>
      </w:r>
      <w:r w:rsidRPr="00341B41">
        <w:rPr>
          <w:i/>
        </w:rPr>
        <w:t xml:space="preserve">p </w:t>
      </w:r>
      <w:r w:rsidRPr="00341B41">
        <w:t xml:space="preserve">&lt; .001, </w:t>
      </w:r>
      <w:r w:rsidRPr="00341B41">
        <w:rPr>
          <w:i/>
        </w:rPr>
        <w:t>d</w:t>
      </w:r>
      <w:r w:rsidRPr="00341B41">
        <w:t xml:space="preserve"> = 1.94. </w:t>
      </w:r>
      <w:r w:rsidR="00402E8E" w:rsidRPr="00341B41">
        <w:t>Experienced</w:t>
      </w:r>
      <w:r w:rsidRPr="00341B41">
        <w:t xml:space="preserve"> participants </w:t>
      </w:r>
      <w:r w:rsidRPr="00341B41">
        <w:lastRenderedPageBreak/>
        <w:t xml:space="preserve">were significantly slower to respond (M = 1857.28ms, 95% CI = 1720.44ms – 1994.14ms) than </w:t>
      </w:r>
      <w:r w:rsidR="00F87038" w:rsidRPr="00341B41">
        <w:t>less experienced</w:t>
      </w:r>
      <w:r w:rsidRPr="00341B41">
        <w:t xml:space="preserve"> participants (M = 1437.44ms, 95% CI = 1338.48ms – 1536.40ms), </w:t>
      </w:r>
      <w:r w:rsidRPr="00341B41">
        <w:rPr>
          <w:i/>
        </w:rPr>
        <w:t xml:space="preserve">t </w:t>
      </w:r>
      <w:r w:rsidRPr="00341B41">
        <w:t>(30)</w:t>
      </w:r>
      <w:r w:rsidRPr="00341B41">
        <w:rPr>
          <w:i/>
        </w:rPr>
        <w:t xml:space="preserve"> </w:t>
      </w:r>
      <w:r w:rsidRPr="00341B41">
        <w:t xml:space="preserve">= -4.87, </w:t>
      </w:r>
      <w:r w:rsidRPr="00341B41">
        <w:rPr>
          <w:i/>
        </w:rPr>
        <w:t xml:space="preserve">p </w:t>
      </w:r>
      <w:r w:rsidRPr="00341B41">
        <w:t xml:space="preserve">&lt; .001, </w:t>
      </w:r>
      <w:r w:rsidRPr="00341B41">
        <w:rPr>
          <w:i/>
        </w:rPr>
        <w:t xml:space="preserve">d </w:t>
      </w:r>
      <w:r w:rsidRPr="00341B41">
        <w:t xml:space="preserve">= 1.72. Despite being more accurate, the </w:t>
      </w:r>
      <w:r w:rsidR="00F87038" w:rsidRPr="00341B41">
        <w:t>experienced</w:t>
      </w:r>
      <w:r w:rsidRPr="00341B41">
        <w:t xml:space="preserve"> </w:t>
      </w:r>
      <w:r w:rsidR="00F87038" w:rsidRPr="00341B41">
        <w:t>group</w:t>
      </w:r>
      <w:r w:rsidRPr="00341B41">
        <w:t xml:space="preserve"> advantage could be explained by the significantly slower reaction times, meaning it was not possible to clearly distinguish skilled from unskilled participants. Therefore, it was considered inappropriate to test any effects of mirroring.</w:t>
      </w:r>
    </w:p>
    <w:tbl>
      <w:tblPr>
        <w:tblStyle w:val="TableGrid"/>
        <w:tblpPr w:leftFromText="180" w:rightFromText="180" w:vertAnchor="text" w:horzAnchor="page" w:tblpX="1210" w:tblpY="814"/>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9"/>
        <w:gridCol w:w="2215"/>
        <w:gridCol w:w="1495"/>
        <w:gridCol w:w="2186"/>
        <w:gridCol w:w="1558"/>
      </w:tblGrid>
      <w:tr w:rsidR="00300B26" w:rsidRPr="00341B41" w14:paraId="72554DE2" w14:textId="77777777" w:rsidTr="00300B26">
        <w:trPr>
          <w:trHeight w:val="729"/>
        </w:trPr>
        <w:tc>
          <w:tcPr>
            <w:tcW w:w="776" w:type="pct"/>
          </w:tcPr>
          <w:p w14:paraId="7FBD13FB" w14:textId="77777777" w:rsidR="00300B26" w:rsidRPr="00341B41" w:rsidRDefault="00300B26" w:rsidP="00300B26">
            <w:pPr>
              <w:spacing w:after="160" w:line="259" w:lineRule="auto"/>
              <w:rPr>
                <w:rFonts w:ascii="Times New Roman" w:hAnsi="Times New Roman" w:cs="Times New Roman"/>
              </w:rPr>
            </w:pPr>
          </w:p>
        </w:tc>
        <w:tc>
          <w:tcPr>
            <w:tcW w:w="2102" w:type="pct"/>
            <w:gridSpan w:val="2"/>
          </w:tcPr>
          <w:p w14:paraId="13B48C55" w14:textId="77777777" w:rsidR="00300B26" w:rsidRPr="00341B41" w:rsidRDefault="00300B26" w:rsidP="00300B26">
            <w:pPr>
              <w:spacing w:after="160" w:line="259" w:lineRule="auto"/>
              <w:jc w:val="center"/>
              <w:rPr>
                <w:rFonts w:ascii="Times New Roman" w:hAnsi="Times New Roman" w:cs="Times New Roman"/>
                <w:u w:val="single"/>
              </w:rPr>
            </w:pPr>
            <w:proofErr w:type="spellStart"/>
            <w:r w:rsidRPr="00341B41">
              <w:rPr>
                <w:rFonts w:ascii="Times New Roman" w:hAnsi="Times New Roman" w:cs="Times New Roman"/>
                <w:u w:val="single"/>
              </w:rPr>
              <w:t>Unmirrored</w:t>
            </w:r>
            <w:proofErr w:type="spellEnd"/>
            <w:r w:rsidRPr="00341B41">
              <w:rPr>
                <w:rFonts w:ascii="Times New Roman" w:hAnsi="Times New Roman" w:cs="Times New Roman"/>
                <w:u w:val="single"/>
              </w:rPr>
              <w:t xml:space="preserve"> shots</w:t>
            </w:r>
          </w:p>
        </w:tc>
        <w:tc>
          <w:tcPr>
            <w:tcW w:w="2122" w:type="pct"/>
            <w:gridSpan w:val="2"/>
          </w:tcPr>
          <w:p w14:paraId="10784E02" w14:textId="77777777" w:rsidR="00300B26" w:rsidRPr="00341B41" w:rsidRDefault="00300B26" w:rsidP="00300B26">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Mirrored shots</w:t>
            </w:r>
          </w:p>
        </w:tc>
      </w:tr>
      <w:tr w:rsidR="00300B26" w:rsidRPr="00341B41" w14:paraId="0DD8398D" w14:textId="77777777" w:rsidTr="00300B26">
        <w:trPr>
          <w:trHeight w:val="729"/>
        </w:trPr>
        <w:tc>
          <w:tcPr>
            <w:tcW w:w="776" w:type="pct"/>
          </w:tcPr>
          <w:p w14:paraId="4D99C8EB" w14:textId="77777777" w:rsidR="00300B26" w:rsidRPr="00341B41" w:rsidRDefault="00300B26" w:rsidP="00300B26">
            <w:pPr>
              <w:spacing w:after="160" w:line="259" w:lineRule="auto"/>
              <w:rPr>
                <w:rFonts w:ascii="Times New Roman" w:hAnsi="Times New Roman" w:cs="Times New Roman"/>
              </w:rPr>
            </w:pPr>
          </w:p>
        </w:tc>
        <w:tc>
          <w:tcPr>
            <w:tcW w:w="1255" w:type="pct"/>
          </w:tcPr>
          <w:p w14:paraId="1FBDB5EA" w14:textId="77777777" w:rsidR="00300B26" w:rsidRPr="00341B41" w:rsidRDefault="00300B26" w:rsidP="00300B26">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Anticipation accuracy</w:t>
            </w:r>
          </w:p>
        </w:tc>
        <w:tc>
          <w:tcPr>
            <w:tcW w:w="847" w:type="pct"/>
          </w:tcPr>
          <w:p w14:paraId="4BF8A3FB" w14:textId="77777777" w:rsidR="00300B26" w:rsidRPr="00341B41" w:rsidRDefault="00300B26" w:rsidP="00300B26">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Mean RT (</w:t>
            </w:r>
            <w:proofErr w:type="spellStart"/>
            <w:r w:rsidRPr="00341B41">
              <w:rPr>
                <w:rFonts w:ascii="Times New Roman" w:hAnsi="Times New Roman" w:cs="Times New Roman"/>
                <w:u w:val="single"/>
              </w:rPr>
              <w:t>ms</w:t>
            </w:r>
            <w:proofErr w:type="spellEnd"/>
            <w:r w:rsidRPr="00341B41">
              <w:rPr>
                <w:rFonts w:ascii="Times New Roman" w:hAnsi="Times New Roman" w:cs="Times New Roman"/>
                <w:u w:val="single"/>
              </w:rPr>
              <w:t>)</w:t>
            </w:r>
          </w:p>
        </w:tc>
        <w:tc>
          <w:tcPr>
            <w:tcW w:w="1239" w:type="pct"/>
          </w:tcPr>
          <w:p w14:paraId="1CB7A316" w14:textId="77777777" w:rsidR="00300B26" w:rsidRPr="00341B41" w:rsidRDefault="00300B26" w:rsidP="00300B26">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Anticipation accuracy</w:t>
            </w:r>
          </w:p>
        </w:tc>
        <w:tc>
          <w:tcPr>
            <w:tcW w:w="883" w:type="pct"/>
          </w:tcPr>
          <w:p w14:paraId="4BF840BC" w14:textId="77777777" w:rsidR="00300B26" w:rsidRPr="00341B41" w:rsidRDefault="00300B26" w:rsidP="00300B26">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Mean RT (</w:t>
            </w:r>
            <w:proofErr w:type="spellStart"/>
            <w:r w:rsidRPr="00341B41">
              <w:rPr>
                <w:rFonts w:ascii="Times New Roman" w:hAnsi="Times New Roman" w:cs="Times New Roman"/>
                <w:u w:val="single"/>
              </w:rPr>
              <w:t>ms</w:t>
            </w:r>
            <w:proofErr w:type="spellEnd"/>
            <w:r w:rsidRPr="00341B41">
              <w:rPr>
                <w:rFonts w:ascii="Times New Roman" w:hAnsi="Times New Roman" w:cs="Times New Roman"/>
                <w:u w:val="single"/>
              </w:rPr>
              <w:t>)</w:t>
            </w:r>
          </w:p>
        </w:tc>
      </w:tr>
      <w:tr w:rsidR="00300B26" w:rsidRPr="00341B41" w14:paraId="4D7F37B7" w14:textId="77777777" w:rsidTr="00300B26">
        <w:trPr>
          <w:trHeight w:val="416"/>
        </w:trPr>
        <w:tc>
          <w:tcPr>
            <w:tcW w:w="776" w:type="pct"/>
            <w:tcBorders>
              <w:bottom w:val="single" w:sz="4" w:space="0" w:color="auto"/>
            </w:tcBorders>
          </w:tcPr>
          <w:p w14:paraId="3B24941D" w14:textId="77777777" w:rsidR="00300B26" w:rsidRPr="00341B41" w:rsidRDefault="00300B26" w:rsidP="00300B26">
            <w:pPr>
              <w:spacing w:after="160" w:line="259" w:lineRule="auto"/>
              <w:rPr>
                <w:rFonts w:ascii="Times New Roman" w:hAnsi="Times New Roman" w:cs="Times New Roman"/>
              </w:rPr>
            </w:pPr>
          </w:p>
        </w:tc>
        <w:tc>
          <w:tcPr>
            <w:tcW w:w="1255" w:type="pct"/>
            <w:tcBorders>
              <w:bottom w:val="single" w:sz="4" w:space="0" w:color="auto"/>
            </w:tcBorders>
          </w:tcPr>
          <w:p w14:paraId="0552F7BA"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 xml:space="preserve">Mean      </w:t>
            </w:r>
            <w:proofErr w:type="gramStart"/>
            <w:r w:rsidRPr="00341B41">
              <w:rPr>
                <w:rFonts w:ascii="Times New Roman" w:hAnsi="Times New Roman" w:cs="Times New Roman"/>
              </w:rPr>
              <w:t xml:space="preserve">   (</w:t>
            </w:r>
            <w:proofErr w:type="gramEnd"/>
            <w:r w:rsidRPr="00341B41">
              <w:rPr>
                <w:rFonts w:ascii="Times New Roman" w:hAnsi="Times New Roman" w:cs="Times New Roman"/>
              </w:rPr>
              <w:t>SD)</w:t>
            </w:r>
          </w:p>
        </w:tc>
        <w:tc>
          <w:tcPr>
            <w:tcW w:w="847" w:type="pct"/>
            <w:tcBorders>
              <w:bottom w:val="single" w:sz="4" w:space="0" w:color="auto"/>
            </w:tcBorders>
          </w:tcPr>
          <w:p w14:paraId="5AF65038"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1239" w:type="pct"/>
            <w:tcBorders>
              <w:bottom w:val="single" w:sz="4" w:space="0" w:color="auto"/>
            </w:tcBorders>
          </w:tcPr>
          <w:p w14:paraId="36705048"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 xml:space="preserve">Mean      </w:t>
            </w:r>
            <w:proofErr w:type="gramStart"/>
            <w:r w:rsidRPr="00341B41">
              <w:rPr>
                <w:rFonts w:ascii="Times New Roman" w:hAnsi="Times New Roman" w:cs="Times New Roman"/>
              </w:rPr>
              <w:t xml:space="preserve">   (</w:t>
            </w:r>
            <w:proofErr w:type="gramEnd"/>
            <w:r w:rsidRPr="00341B41">
              <w:rPr>
                <w:rFonts w:ascii="Times New Roman" w:hAnsi="Times New Roman" w:cs="Times New Roman"/>
              </w:rPr>
              <w:t>SD)</w:t>
            </w:r>
          </w:p>
        </w:tc>
        <w:tc>
          <w:tcPr>
            <w:tcW w:w="883" w:type="pct"/>
            <w:tcBorders>
              <w:bottom w:val="single" w:sz="4" w:space="0" w:color="auto"/>
            </w:tcBorders>
          </w:tcPr>
          <w:p w14:paraId="0DC4AF21"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Mean (SD)</w:t>
            </w:r>
          </w:p>
        </w:tc>
      </w:tr>
      <w:tr w:rsidR="00300B26" w:rsidRPr="00341B41" w14:paraId="7623BA52" w14:textId="77777777" w:rsidTr="00300B26">
        <w:trPr>
          <w:trHeight w:val="467"/>
        </w:trPr>
        <w:tc>
          <w:tcPr>
            <w:tcW w:w="776" w:type="pct"/>
            <w:tcBorders>
              <w:top w:val="single" w:sz="4" w:space="0" w:color="auto"/>
            </w:tcBorders>
          </w:tcPr>
          <w:p w14:paraId="24894033" w14:textId="77777777" w:rsidR="00300B26" w:rsidRPr="00341B41" w:rsidRDefault="00300B26" w:rsidP="00300B26">
            <w:pPr>
              <w:spacing w:after="160" w:line="259" w:lineRule="auto"/>
              <w:rPr>
                <w:rFonts w:ascii="Times New Roman" w:hAnsi="Times New Roman" w:cs="Times New Roman"/>
              </w:rPr>
            </w:pPr>
            <w:r w:rsidRPr="00341B41">
              <w:rPr>
                <w:rFonts w:ascii="Times New Roman" w:hAnsi="Times New Roman" w:cs="Times New Roman"/>
              </w:rPr>
              <w:t>Experienced</w:t>
            </w:r>
          </w:p>
        </w:tc>
        <w:tc>
          <w:tcPr>
            <w:tcW w:w="1255" w:type="pct"/>
            <w:tcBorders>
              <w:top w:val="single" w:sz="4" w:space="0" w:color="auto"/>
            </w:tcBorders>
          </w:tcPr>
          <w:p w14:paraId="40709A67"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66.63</w:t>
            </w:r>
            <w:proofErr w:type="gramStart"/>
            <w:r w:rsidRPr="00341B41">
              <w:rPr>
                <w:rFonts w:ascii="Times New Roman" w:hAnsi="Times New Roman" w:cs="Times New Roman"/>
              </w:rPr>
              <w:t>%  (</w:t>
            </w:r>
            <w:proofErr w:type="gramEnd"/>
            <w:r w:rsidRPr="00341B41">
              <w:rPr>
                <w:rFonts w:ascii="Times New Roman" w:hAnsi="Times New Roman" w:cs="Times New Roman"/>
              </w:rPr>
              <w:t>11.57)</w:t>
            </w:r>
          </w:p>
        </w:tc>
        <w:tc>
          <w:tcPr>
            <w:tcW w:w="847" w:type="pct"/>
            <w:tcBorders>
              <w:top w:val="single" w:sz="4" w:space="0" w:color="auto"/>
            </w:tcBorders>
          </w:tcPr>
          <w:p w14:paraId="3AE02BE6"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1841 (253)</w:t>
            </w:r>
          </w:p>
        </w:tc>
        <w:tc>
          <w:tcPr>
            <w:tcW w:w="1239" w:type="pct"/>
            <w:tcBorders>
              <w:top w:val="single" w:sz="4" w:space="0" w:color="auto"/>
            </w:tcBorders>
          </w:tcPr>
          <w:p w14:paraId="4500DF29"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66.50</w:t>
            </w:r>
            <w:proofErr w:type="gramStart"/>
            <w:r w:rsidRPr="00341B41">
              <w:rPr>
                <w:rFonts w:ascii="Times New Roman" w:hAnsi="Times New Roman" w:cs="Times New Roman"/>
              </w:rPr>
              <w:t>%  (</w:t>
            </w:r>
            <w:proofErr w:type="gramEnd"/>
            <w:r w:rsidRPr="00341B41">
              <w:rPr>
                <w:rFonts w:ascii="Times New Roman" w:hAnsi="Times New Roman" w:cs="Times New Roman"/>
              </w:rPr>
              <w:t>11.39)</w:t>
            </w:r>
          </w:p>
        </w:tc>
        <w:tc>
          <w:tcPr>
            <w:tcW w:w="883" w:type="pct"/>
            <w:tcBorders>
              <w:top w:val="single" w:sz="4" w:space="0" w:color="auto"/>
            </w:tcBorders>
          </w:tcPr>
          <w:p w14:paraId="4D7E021C"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1821 (261)</w:t>
            </w:r>
          </w:p>
        </w:tc>
      </w:tr>
      <w:tr w:rsidR="00300B26" w:rsidRPr="00341B41" w14:paraId="1662450E" w14:textId="77777777" w:rsidTr="00300B26">
        <w:trPr>
          <w:trHeight w:val="381"/>
        </w:trPr>
        <w:tc>
          <w:tcPr>
            <w:tcW w:w="776" w:type="pct"/>
            <w:tcBorders>
              <w:bottom w:val="single" w:sz="4" w:space="0" w:color="auto"/>
            </w:tcBorders>
          </w:tcPr>
          <w:p w14:paraId="53AFC6F0" w14:textId="77777777" w:rsidR="00300B26" w:rsidRPr="00341B41" w:rsidRDefault="00300B26" w:rsidP="00300B26">
            <w:pPr>
              <w:spacing w:after="160" w:line="259" w:lineRule="auto"/>
              <w:rPr>
                <w:rFonts w:ascii="Times New Roman" w:hAnsi="Times New Roman" w:cs="Times New Roman"/>
              </w:rPr>
            </w:pPr>
            <w:r w:rsidRPr="00341B41">
              <w:rPr>
                <w:rFonts w:ascii="Times New Roman" w:hAnsi="Times New Roman" w:cs="Times New Roman"/>
              </w:rPr>
              <w:t>Less experienced</w:t>
            </w:r>
          </w:p>
        </w:tc>
        <w:tc>
          <w:tcPr>
            <w:tcW w:w="1255" w:type="pct"/>
            <w:tcBorders>
              <w:bottom w:val="single" w:sz="4" w:space="0" w:color="auto"/>
            </w:tcBorders>
          </w:tcPr>
          <w:p w14:paraId="196FB570"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 xml:space="preserve">50.13% </w:t>
            </w:r>
            <w:proofErr w:type="gramStart"/>
            <w:r w:rsidRPr="00341B41">
              <w:rPr>
                <w:rFonts w:ascii="Times New Roman" w:hAnsi="Times New Roman" w:cs="Times New Roman"/>
              </w:rPr>
              <w:t xml:space="preserve">   (</w:t>
            </w:r>
            <w:proofErr w:type="gramEnd"/>
            <w:r w:rsidRPr="00341B41">
              <w:rPr>
                <w:rFonts w:ascii="Times New Roman" w:hAnsi="Times New Roman" w:cs="Times New Roman"/>
              </w:rPr>
              <w:t>4.62)</w:t>
            </w:r>
          </w:p>
        </w:tc>
        <w:tc>
          <w:tcPr>
            <w:tcW w:w="847" w:type="pct"/>
            <w:tcBorders>
              <w:bottom w:val="single" w:sz="4" w:space="0" w:color="auto"/>
            </w:tcBorders>
          </w:tcPr>
          <w:p w14:paraId="6D9051C4"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1448 (204)</w:t>
            </w:r>
          </w:p>
        </w:tc>
        <w:tc>
          <w:tcPr>
            <w:tcW w:w="1239" w:type="pct"/>
            <w:tcBorders>
              <w:bottom w:val="single" w:sz="4" w:space="0" w:color="auto"/>
            </w:tcBorders>
          </w:tcPr>
          <w:p w14:paraId="549DC25D"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 xml:space="preserve">50.94% </w:t>
            </w:r>
            <w:proofErr w:type="gramStart"/>
            <w:r w:rsidRPr="00341B41">
              <w:rPr>
                <w:rFonts w:ascii="Times New Roman" w:hAnsi="Times New Roman" w:cs="Times New Roman"/>
              </w:rPr>
              <w:t xml:space="preserve">   (</w:t>
            </w:r>
            <w:proofErr w:type="gramEnd"/>
            <w:r w:rsidRPr="00341B41">
              <w:rPr>
                <w:rFonts w:ascii="Times New Roman" w:hAnsi="Times New Roman" w:cs="Times New Roman"/>
              </w:rPr>
              <w:t>5.67)</w:t>
            </w:r>
          </w:p>
        </w:tc>
        <w:tc>
          <w:tcPr>
            <w:tcW w:w="883" w:type="pct"/>
            <w:tcBorders>
              <w:bottom w:val="single" w:sz="4" w:space="0" w:color="auto"/>
            </w:tcBorders>
          </w:tcPr>
          <w:p w14:paraId="433654DC" w14:textId="77777777" w:rsidR="00300B26" w:rsidRPr="00341B41" w:rsidRDefault="00300B26" w:rsidP="00300B26">
            <w:pPr>
              <w:spacing w:after="160" w:line="259" w:lineRule="auto"/>
              <w:jc w:val="center"/>
              <w:rPr>
                <w:rFonts w:ascii="Times New Roman" w:hAnsi="Times New Roman" w:cs="Times New Roman"/>
              </w:rPr>
            </w:pPr>
            <w:r w:rsidRPr="00341B41">
              <w:rPr>
                <w:rFonts w:ascii="Times New Roman" w:hAnsi="Times New Roman" w:cs="Times New Roman"/>
              </w:rPr>
              <w:t>1426 (201)</w:t>
            </w:r>
          </w:p>
        </w:tc>
      </w:tr>
    </w:tbl>
    <w:p w14:paraId="4A7AC140" w14:textId="05075AB7" w:rsidR="00F15E1C" w:rsidRPr="00341B41" w:rsidRDefault="008B5B86" w:rsidP="008B5B86">
      <w:pPr>
        <w:pStyle w:val="Caption"/>
      </w:pPr>
      <w:bookmarkStart w:id="44" w:name="_Toc486260918"/>
      <w:r w:rsidRPr="00341B41">
        <w:t xml:space="preserve">Table </w:t>
      </w:r>
      <w:r w:rsidRPr="00341B41">
        <w:fldChar w:fldCharType="begin"/>
      </w:r>
      <w:r w:rsidRPr="00341B41">
        <w:instrText xml:space="preserve"> SEQ Table \* ARABIC </w:instrText>
      </w:r>
      <w:r w:rsidRPr="00341B41">
        <w:fldChar w:fldCharType="separate"/>
      </w:r>
      <w:r w:rsidR="002F1FF0" w:rsidRPr="00341B41">
        <w:rPr>
          <w:noProof/>
        </w:rPr>
        <w:t>2</w:t>
      </w:r>
      <w:r w:rsidRPr="00341B41">
        <w:fldChar w:fldCharType="end"/>
      </w:r>
      <w:r w:rsidRPr="00341B41">
        <w:t>. Descriptive statistics of task performance in the experienced and less experienced groups for experiment 1</w:t>
      </w:r>
      <w:bookmarkEnd w:id="44"/>
    </w:p>
    <w:p w14:paraId="2AE4FC1E" w14:textId="2DA8E124" w:rsidR="008B5B86" w:rsidRPr="00341B41" w:rsidRDefault="008B5B86" w:rsidP="008B5B86">
      <w:pPr>
        <w:pStyle w:val="ThesisNormal"/>
      </w:pPr>
      <w:r w:rsidRPr="00341B41">
        <w:rPr>
          <w:i/>
        </w:rPr>
        <w:t xml:space="preserve">Note. </w:t>
      </w:r>
      <w:r w:rsidRPr="00341B41">
        <w:t xml:space="preserve">RT = </w:t>
      </w:r>
      <w:proofErr w:type="spellStart"/>
      <w:r w:rsidRPr="00341B41">
        <w:t>recaction</w:t>
      </w:r>
      <w:proofErr w:type="spellEnd"/>
      <w:r w:rsidRPr="00341B41">
        <w:t xml:space="preserve"> time, </w:t>
      </w:r>
      <w:proofErr w:type="spellStart"/>
      <w:r w:rsidRPr="00341B41">
        <w:t>ms</w:t>
      </w:r>
      <w:proofErr w:type="spellEnd"/>
      <w:r w:rsidRPr="00341B41">
        <w:t xml:space="preserve"> = milliseconds, SD = standard deviation</w:t>
      </w:r>
    </w:p>
    <w:p w14:paraId="42D1FE8A" w14:textId="77777777" w:rsidR="008B5B86" w:rsidRPr="00341B41" w:rsidRDefault="008B5B86" w:rsidP="008B5B86">
      <w:pPr>
        <w:pStyle w:val="ThesisNormal"/>
      </w:pPr>
    </w:p>
    <w:p w14:paraId="15626A64" w14:textId="2F6510B8" w:rsidR="001728E3" w:rsidRPr="00341B41" w:rsidRDefault="001728E3" w:rsidP="001728E3">
      <w:pPr>
        <w:pStyle w:val="Heading2"/>
      </w:pPr>
      <w:bookmarkStart w:id="45" w:name="_Toc486260857"/>
      <w:r w:rsidRPr="00341B41">
        <w:t>2.4.</w:t>
      </w:r>
      <w:r w:rsidRPr="00341B41">
        <w:tab/>
        <w:t>Experiment 1 – Discussion</w:t>
      </w:r>
      <w:bookmarkEnd w:id="45"/>
    </w:p>
    <w:p w14:paraId="45787846" w14:textId="78AA7EAD" w:rsidR="001728E3" w:rsidRPr="00341B41" w:rsidRDefault="001728E3" w:rsidP="001728E3">
      <w:r w:rsidRPr="00341B41">
        <w:t xml:space="preserve">In this experiment participants watched full tennis groundstrokes and were required to anticipate shot direction as quickly and as accurately as possible. The test did not show the expected expertise effects. Whilst the </w:t>
      </w:r>
      <w:r w:rsidR="00977CFD" w:rsidRPr="00341B41">
        <w:t>experienced</w:t>
      </w:r>
      <w:r w:rsidRPr="00341B41">
        <w:t xml:space="preserve"> group showed better anticipation accuracy, they responded slower meaning that the advantage in terms of accuracy could be explained by a speed-accuracy trade off. It was not clear that the test was tapping the cognitive factors that distinguish </w:t>
      </w:r>
      <w:r w:rsidR="00977CFD" w:rsidRPr="00341B41">
        <w:t>experienced from less experienced</w:t>
      </w:r>
      <w:r w:rsidRPr="00341B41">
        <w:t xml:space="preserve"> participants and </w:t>
      </w:r>
      <w:r w:rsidRPr="00341B41">
        <w:lastRenderedPageBreak/>
        <w:t xml:space="preserve">therefore may not be providing an effective examination of the role of mirroring in skilled anticipation. </w:t>
      </w:r>
    </w:p>
    <w:p w14:paraId="5CAF9DD9" w14:textId="77777777" w:rsidR="001728E3" w:rsidRPr="00341B41" w:rsidRDefault="001728E3" w:rsidP="001728E3">
      <w:pPr>
        <w:ind w:firstLine="720"/>
      </w:pPr>
      <w:r w:rsidRPr="00341B41">
        <w:t xml:space="preserve">One reason for this effect may be due to the experimental task being too easy. As other studies have shown, players will not anticipate a simple action </w:t>
      </w:r>
      <w:r w:rsidRPr="00341B41">
        <w:fldChar w:fldCharType="begin" w:fldLock="1"/>
      </w:r>
      <w:r w:rsidRPr="00341B41">
        <w:instrText>ADDIN CSL_CITATION { "citationItems" : [ { "id" : "ITEM-1", "itemData" : { "author" : [ { "dropping-particle" : "", "family" : "James", "given" : "N", "non-dropping-particle" : "", "parse-names" : false, "suffix" : "" }, { "dropping-particle" : "", "family" : "Bradley", "given" : "C", "non-dropping-particle" : "", "parse-names" : false, "suffix" : "" } ], "container-title" : "Science and Racket Sports III", "editor" : [ { "dropping-particle" : "", "family" : "Lees", "given" : "A", "non-dropping-particle" : "", "parse-names" : false, "suffix" : "" }, { "dropping-particle" : "", "family" : "Kahn", "given" : "J.F", "non-dropping-particle" : "", "parse-names" : false, "suffix" : "" }, { "dropping-particle" : "", "family" : "Maynard", "given" : "I.W", "non-dropping-particle" : "", "parse-names" : false, "suffix" : "" } ], "id" : "ITEM-1", "issued" : { "date-parts" : [ [ "2004" ] ] }, "page" : "247-252", "publisher" : "Routledge", "publisher-place" : "Abingdon, Oxfordshire", "title" : "Disgusing ones intentions: The availability of visual cues and situational probabilities when playing against an international level squash player", "type" : "chapter" }, "uris" : [ "http://www.mendeley.com/documents/?uuid=4c6c243d-75f7-4019-8110-38f1db1321ae" ] } ], "mendeley" : { "formattedCitation" : "(James &amp; Bradley, 2004)", "plainTextFormattedCitation" : "(James &amp; Bradley, 2004)", "previouslyFormattedCitation" : "(James &amp; Bradley, 2004)" }, "properties" : { "noteIndex" : 0 }, "schema" : "https://github.com/citation-style-language/schema/raw/master/csl-citation.json" }</w:instrText>
      </w:r>
      <w:r w:rsidRPr="00341B41">
        <w:fldChar w:fldCharType="separate"/>
      </w:r>
      <w:r w:rsidRPr="00341B41">
        <w:rPr>
          <w:noProof/>
        </w:rPr>
        <w:t>(James &amp; Bradley, 2004)</w:t>
      </w:r>
      <w:r w:rsidRPr="00341B41">
        <w:fldChar w:fldCharType="end"/>
      </w:r>
      <w:r w:rsidRPr="00341B41">
        <w:t xml:space="preserve">, especially when not under pressure </w:t>
      </w:r>
      <w:r w:rsidRPr="00341B41">
        <w:fldChar w:fldCharType="begin" w:fldLock="1"/>
      </w:r>
      <w:r w:rsidRPr="00341B41">
        <w:instrText>ADDIN CSL_CITATION { "citationItems" : [ { "id" : "ITEM-1", "itemData" : { "DOI" : "10.1080/02640414.2012.759658", "ISSN" : "1466-447X", "PMID" : "23362917", "abstract" : "We quantify the nature and frequency of anticipation behaviours in professional tennis using video coding of incidents where the time delay between the opponent's stroke and the reaction of the player were recorded. We argue that anticipation is based on uncertain information and should lead in some situations to erroneous decisions. We identified the transition between reaction (with 100% accuracy in the selection of where the ball is played on the court) and anticipation (with less than 100% accuracy) as being 140-160 ms after ball contact. Anticipation behaviours occurred on between 6.14% and 13.42% of the coded situations. These anticipation behaviours appeared almost exclusively in 'unfavourable' situations, where the opponent had a significant tactical advantage, with the type of playing surface having only a limited effect. Moreover, the decrease in accuracy with shorter response times is not monotonic, with an increase in response accuracy being observed for times shorter than 120 ms before ball contact. We propose that very early anticipation behaviours occur when players use significant context-specific information before the opponent's stroke. When such information is not available, players produce anticipation behaviours that are closer to the moment of ball-racket contact using information that is more likely to be based on the opponent's preparation of the stroke. This study opens new directions for research focusing on the testing and training of anticipation in fast ball sports.", "author" : [ { "dropping-particle" : "", "family" : "Triolet", "given" : "Celine", "non-dropping-particle" : "", "parse-names" : false, "suffix" : "" }, { "dropping-particle" : "", "family" : "Benguigui", "given" : "Nicolas", "non-dropping-particle" : "", "parse-names" : false, "suffix" : "" }, { "dropping-particle" : "", "family" : "Runigo", "given" : "Cyrille", "non-dropping-particle" : "Le", "parse-names" : false, "suffix" : "" }, { "dropping-particle" : "", "family" : "Williams", "given" : "Andrew Mark", "non-dropping-particle" : "", "parse-names" : false, "suffix" : "" } ], "container-title" : "Journal of Sports Sciences", "id" : "ITEM-1", "issue" : "8", "issued" : { "date-parts" : [ [ "2013" ] ] }, "page" : "820-30", "title" : "Quantifying the nature of anticipation in professional tennis.", "type" : "article-journal", "volume" : "31" }, "uris" : [ "http://www.mendeley.com/documents/?uuid=ddd0f10b-538d-43f3-bae4-250d7fbe76d8" ] } ], "mendeley" : { "formattedCitation" : "(Triolet et al., 2013)", "plainTextFormattedCitation" : "(Triolet et al., 2013)", "previouslyFormattedCitation" : "(Triolet et al., 2013)" }, "properties" : { "noteIndex" : 0 }, "schema" : "https://github.com/citation-style-language/schema/raw/master/csl-citation.json" }</w:instrText>
      </w:r>
      <w:r w:rsidRPr="00341B41">
        <w:fldChar w:fldCharType="separate"/>
      </w:r>
      <w:r w:rsidRPr="00341B41">
        <w:rPr>
          <w:noProof/>
        </w:rPr>
        <w:t>(Triolet et al., 2013)</w:t>
      </w:r>
      <w:r w:rsidRPr="00341B41">
        <w:fldChar w:fldCharType="end"/>
      </w:r>
      <w:r w:rsidRPr="00341B41">
        <w:t xml:space="preserve">. This is because the cost of unsuccessfully anticipating is high, so is only necessary when the potential benefits outweigh that cost. In this task, there was no punishment for not anticipating. As such, the easiest strategy was simply to wait until ball direction was clear. </w:t>
      </w:r>
    </w:p>
    <w:p w14:paraId="187873DE" w14:textId="3D6CE565" w:rsidR="001728E3" w:rsidRPr="00341B41" w:rsidRDefault="001728E3" w:rsidP="001728E3">
      <w:pPr>
        <w:ind w:firstLine="720"/>
        <w:rPr>
          <w:rFonts w:cs="Times New Roman"/>
        </w:rPr>
      </w:pPr>
      <w:r w:rsidRPr="00341B41">
        <w:t xml:space="preserve">Therefore, in order to force participants to make a judgement solely on kinematic cues, an occlusion paradigm was used for experiment 2. By yielding a single accuracy, it was possible to compare group differences on a trial-by-trial basis, and therefore isolate the trials that best discriminate experienced players from novices. The hypotheses for experiment 2 </w:t>
      </w:r>
      <w:r w:rsidRPr="00341B41">
        <w:rPr>
          <w:rFonts w:cs="Times New Roman"/>
        </w:rPr>
        <w:t xml:space="preserve">were that </w:t>
      </w:r>
      <w:r w:rsidR="00A11FFD" w:rsidRPr="00341B41">
        <w:rPr>
          <w:rFonts w:cs="Times New Roman"/>
        </w:rPr>
        <w:t>experienced</w:t>
      </w:r>
      <w:r w:rsidRPr="00341B41">
        <w:rPr>
          <w:rFonts w:cs="Times New Roman"/>
        </w:rPr>
        <w:t xml:space="preserve"> players should show better anticipation accuracy than </w:t>
      </w:r>
      <w:r w:rsidR="00A11FFD" w:rsidRPr="00341B41">
        <w:rPr>
          <w:rFonts w:cs="Times New Roman"/>
        </w:rPr>
        <w:t>less experienced</w:t>
      </w:r>
      <w:r w:rsidRPr="00341B41">
        <w:rPr>
          <w:rFonts w:cs="Times New Roman"/>
        </w:rPr>
        <w:t xml:space="preserve"> participants, and that the skilled group would be more accurate in anticipating right-handed (mirrored) trials compared to left-handed trials.</w:t>
      </w:r>
    </w:p>
    <w:p w14:paraId="46C59EA1" w14:textId="107C64F8" w:rsidR="001728E3" w:rsidRPr="00341B41" w:rsidRDefault="001728E3" w:rsidP="001728E3">
      <w:pPr>
        <w:pStyle w:val="Heading2"/>
      </w:pPr>
      <w:bookmarkStart w:id="46" w:name="_Toc486260858"/>
      <w:r w:rsidRPr="00341B41">
        <w:t>2.5.</w:t>
      </w:r>
      <w:r w:rsidRPr="00341B41">
        <w:tab/>
        <w:t>Experiment 2 – Method</w:t>
      </w:r>
      <w:bookmarkEnd w:id="46"/>
    </w:p>
    <w:p w14:paraId="26636919" w14:textId="45EE66D3" w:rsidR="001728E3" w:rsidRPr="00341B41" w:rsidRDefault="001728E3" w:rsidP="001728E3">
      <w:pPr>
        <w:pStyle w:val="Heading3"/>
      </w:pPr>
      <w:bookmarkStart w:id="47" w:name="_Toc486260859"/>
      <w:r w:rsidRPr="00341B41">
        <w:t>2.5.1.</w:t>
      </w:r>
      <w:r w:rsidRPr="00341B41">
        <w:tab/>
        <w:t>Participants</w:t>
      </w:r>
      <w:bookmarkEnd w:id="47"/>
    </w:p>
    <w:p w14:paraId="634E2C4A" w14:textId="796695A7" w:rsidR="001728E3" w:rsidRPr="00341B41" w:rsidRDefault="001728E3" w:rsidP="001728E3">
      <w:r w:rsidRPr="00341B41">
        <w:t xml:space="preserve">Thirty-three participants took part in the study, either in exchange for course credit or payment. Sixteen </w:t>
      </w:r>
      <w:r w:rsidR="0029330F" w:rsidRPr="00341B41">
        <w:t>experienced</w:t>
      </w:r>
      <w:r w:rsidRPr="00341B41">
        <w:t xml:space="preserve"> tennis players (25% female) were recruited from the University of Sheffield tennis club (N = 10) and a national tournament (N = 6). They reported playing regular tennis at a competitive level, and would be considered semi-elite </w:t>
      </w:r>
      <w:r w:rsidRPr="00341B41">
        <w:lastRenderedPageBreak/>
        <w:t>according to Swann et al (2015). Fifteen were right-handed. The</w:t>
      </w:r>
      <w:r w:rsidR="0076355F" w:rsidRPr="00341B41">
        <w:t xml:space="preserve"> means and SDs of the two group</w:t>
      </w:r>
      <w:r w:rsidRPr="00341B41">
        <w:t xml:space="preserve">s tennis playing experience is displayed in </w:t>
      </w:r>
      <w:r w:rsidRPr="00341B41">
        <w:rPr>
          <w:b/>
        </w:rPr>
        <w:t>Table 3</w:t>
      </w:r>
      <w:r w:rsidRPr="00341B41">
        <w:t xml:space="preserve">. </w:t>
      </w:r>
    </w:p>
    <w:p w14:paraId="19A4259D" w14:textId="5590E635" w:rsidR="001728E3" w:rsidRPr="00341B41" w:rsidRDefault="001728E3" w:rsidP="001728E3">
      <w:pPr>
        <w:ind w:firstLine="720"/>
      </w:pPr>
      <w:r w:rsidRPr="00341B41">
        <w:t xml:space="preserve">Seventeen University of Sheffield undergraduate students (88% female) were recruited as </w:t>
      </w:r>
      <w:r w:rsidR="0076355F" w:rsidRPr="00341B41">
        <w:t>less experienced</w:t>
      </w:r>
      <w:r w:rsidRPr="00341B41">
        <w:t xml:space="preserve"> participants. No one in this group reported having played tennis competitively (</w:t>
      </w:r>
      <w:r w:rsidRPr="00341B41">
        <w:rPr>
          <w:b/>
        </w:rPr>
        <w:t>Table 3</w:t>
      </w:r>
      <w:r w:rsidRPr="00341B41">
        <w:t>). All of the participants were right-handed. None of the participants in either group had taken part in experiment 1.</w:t>
      </w:r>
    </w:p>
    <w:p w14:paraId="0D1ED385" w14:textId="0A07033C" w:rsidR="008B5B86" w:rsidRPr="00341B41" w:rsidRDefault="008B5B86" w:rsidP="008B5B86">
      <w:pPr>
        <w:pStyle w:val="Caption"/>
      </w:pPr>
      <w:bookmarkStart w:id="48" w:name="_Toc486260919"/>
      <w:r w:rsidRPr="00341B41">
        <w:t xml:space="preserve">Table </w:t>
      </w:r>
      <w:r w:rsidRPr="00341B41">
        <w:fldChar w:fldCharType="begin"/>
      </w:r>
      <w:r w:rsidRPr="00341B41">
        <w:instrText xml:space="preserve"> SEQ Table \* ARABIC </w:instrText>
      </w:r>
      <w:r w:rsidRPr="00341B41">
        <w:fldChar w:fldCharType="separate"/>
      </w:r>
      <w:r w:rsidR="002F1FF0" w:rsidRPr="00341B41">
        <w:rPr>
          <w:noProof/>
        </w:rPr>
        <w:t>3</w:t>
      </w:r>
      <w:r w:rsidRPr="00341B41">
        <w:fldChar w:fldCharType="end"/>
      </w:r>
      <w:r w:rsidRPr="00341B41">
        <w:t>. Tennis experience in the groups for experiment 2</w:t>
      </w:r>
      <w:bookmarkEnd w:id="48"/>
    </w:p>
    <w:tbl>
      <w:tblPr>
        <w:tblStyle w:val="TableGrid"/>
        <w:tblW w:w="8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7"/>
        <w:gridCol w:w="1633"/>
        <w:gridCol w:w="1551"/>
        <w:gridCol w:w="1932"/>
        <w:gridCol w:w="2062"/>
      </w:tblGrid>
      <w:tr w:rsidR="008B5B86" w:rsidRPr="00341B41" w14:paraId="11707C95" w14:textId="77777777" w:rsidTr="00351C84">
        <w:trPr>
          <w:trHeight w:val="986"/>
        </w:trPr>
        <w:tc>
          <w:tcPr>
            <w:tcW w:w="1357" w:type="dxa"/>
          </w:tcPr>
          <w:p w14:paraId="43C11420" w14:textId="77777777" w:rsidR="008B5B86" w:rsidRPr="00341B41" w:rsidRDefault="008B5B86" w:rsidP="00351C84">
            <w:pPr>
              <w:spacing w:after="160" w:line="259" w:lineRule="auto"/>
              <w:rPr>
                <w:rFonts w:ascii="Times New Roman" w:hAnsi="Times New Roman" w:cs="Times New Roman"/>
                <w:u w:val="single"/>
              </w:rPr>
            </w:pPr>
            <w:r w:rsidRPr="00341B41">
              <w:rPr>
                <w:rFonts w:ascii="Times New Roman" w:hAnsi="Times New Roman" w:cs="Times New Roman"/>
                <w:u w:val="single"/>
              </w:rPr>
              <w:t>Group</w:t>
            </w:r>
          </w:p>
        </w:tc>
        <w:tc>
          <w:tcPr>
            <w:tcW w:w="1633" w:type="dxa"/>
          </w:tcPr>
          <w:p w14:paraId="612DE830" w14:textId="77777777" w:rsidR="008B5B86" w:rsidRPr="00341B41" w:rsidRDefault="008B5B86"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Age</w:t>
            </w:r>
          </w:p>
        </w:tc>
        <w:tc>
          <w:tcPr>
            <w:tcW w:w="1551" w:type="dxa"/>
          </w:tcPr>
          <w:p w14:paraId="39316E1A" w14:textId="77777777" w:rsidR="008B5B86" w:rsidRPr="00341B41" w:rsidRDefault="008B5B86"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Years of regular experience</w:t>
            </w:r>
          </w:p>
        </w:tc>
        <w:tc>
          <w:tcPr>
            <w:tcW w:w="1932" w:type="dxa"/>
          </w:tcPr>
          <w:p w14:paraId="3859AE2B" w14:textId="77777777" w:rsidR="008B5B86" w:rsidRPr="00341B41" w:rsidRDefault="008B5B86"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Hours played per week</w:t>
            </w:r>
          </w:p>
        </w:tc>
        <w:tc>
          <w:tcPr>
            <w:tcW w:w="2062" w:type="dxa"/>
          </w:tcPr>
          <w:p w14:paraId="637B6F7A" w14:textId="77777777" w:rsidR="008B5B86" w:rsidRPr="00341B41" w:rsidRDefault="008B5B86"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Years of formal training</w:t>
            </w:r>
          </w:p>
        </w:tc>
      </w:tr>
      <w:tr w:rsidR="008B5B86" w:rsidRPr="00341B41" w14:paraId="6253188A" w14:textId="77777777" w:rsidTr="00351C84">
        <w:trPr>
          <w:trHeight w:val="438"/>
        </w:trPr>
        <w:tc>
          <w:tcPr>
            <w:tcW w:w="1357" w:type="dxa"/>
            <w:tcBorders>
              <w:bottom w:val="single" w:sz="4" w:space="0" w:color="auto"/>
            </w:tcBorders>
          </w:tcPr>
          <w:p w14:paraId="23680AC4" w14:textId="77777777" w:rsidR="008B5B86" w:rsidRPr="00341B41" w:rsidRDefault="008B5B86" w:rsidP="00351C84">
            <w:pPr>
              <w:spacing w:after="160" w:line="259" w:lineRule="auto"/>
              <w:rPr>
                <w:rFonts w:ascii="Times New Roman" w:hAnsi="Times New Roman" w:cs="Times New Roman"/>
              </w:rPr>
            </w:pPr>
          </w:p>
        </w:tc>
        <w:tc>
          <w:tcPr>
            <w:tcW w:w="1633" w:type="dxa"/>
            <w:tcBorders>
              <w:bottom w:val="single" w:sz="4" w:space="0" w:color="auto"/>
            </w:tcBorders>
          </w:tcPr>
          <w:p w14:paraId="6971C23D"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1551" w:type="dxa"/>
            <w:tcBorders>
              <w:bottom w:val="single" w:sz="4" w:space="0" w:color="auto"/>
            </w:tcBorders>
          </w:tcPr>
          <w:p w14:paraId="4C359179"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1932" w:type="dxa"/>
            <w:tcBorders>
              <w:bottom w:val="single" w:sz="4" w:space="0" w:color="auto"/>
            </w:tcBorders>
          </w:tcPr>
          <w:p w14:paraId="3E1ABDB4"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2062" w:type="dxa"/>
            <w:tcBorders>
              <w:bottom w:val="single" w:sz="4" w:space="0" w:color="auto"/>
            </w:tcBorders>
          </w:tcPr>
          <w:p w14:paraId="22EC67B4"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r>
      <w:tr w:rsidR="008B5B86" w:rsidRPr="00341B41" w14:paraId="6B657E50" w14:textId="77777777" w:rsidTr="00300B26">
        <w:trPr>
          <w:trHeight w:val="417"/>
        </w:trPr>
        <w:tc>
          <w:tcPr>
            <w:tcW w:w="1357" w:type="dxa"/>
            <w:tcBorders>
              <w:top w:val="single" w:sz="4" w:space="0" w:color="auto"/>
            </w:tcBorders>
          </w:tcPr>
          <w:p w14:paraId="28E15028" w14:textId="6E30753E" w:rsidR="008B5B86" w:rsidRPr="00341B41" w:rsidRDefault="008B5B86" w:rsidP="00351C84">
            <w:pPr>
              <w:spacing w:after="160" w:line="259" w:lineRule="auto"/>
              <w:rPr>
                <w:rFonts w:ascii="Times New Roman" w:hAnsi="Times New Roman" w:cs="Times New Roman"/>
              </w:rPr>
            </w:pPr>
            <w:r w:rsidRPr="00341B41">
              <w:rPr>
                <w:rFonts w:ascii="Times New Roman" w:hAnsi="Times New Roman" w:cs="Times New Roman"/>
              </w:rPr>
              <w:t>Experienced</w:t>
            </w:r>
          </w:p>
        </w:tc>
        <w:tc>
          <w:tcPr>
            <w:tcW w:w="1633" w:type="dxa"/>
            <w:tcBorders>
              <w:top w:val="single" w:sz="4" w:space="0" w:color="auto"/>
            </w:tcBorders>
          </w:tcPr>
          <w:p w14:paraId="66CCE931"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21.38 (2.68)</w:t>
            </w:r>
          </w:p>
        </w:tc>
        <w:tc>
          <w:tcPr>
            <w:tcW w:w="1551" w:type="dxa"/>
            <w:tcBorders>
              <w:top w:val="single" w:sz="4" w:space="0" w:color="auto"/>
            </w:tcBorders>
          </w:tcPr>
          <w:p w14:paraId="5E1AF4C2"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11.75 (2.96)</w:t>
            </w:r>
          </w:p>
        </w:tc>
        <w:tc>
          <w:tcPr>
            <w:tcW w:w="1932" w:type="dxa"/>
            <w:tcBorders>
              <w:top w:val="single" w:sz="4" w:space="0" w:color="auto"/>
            </w:tcBorders>
          </w:tcPr>
          <w:p w14:paraId="4B2CAF43"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6.38 (2.50)</w:t>
            </w:r>
          </w:p>
        </w:tc>
        <w:tc>
          <w:tcPr>
            <w:tcW w:w="2062" w:type="dxa"/>
            <w:tcBorders>
              <w:top w:val="single" w:sz="4" w:space="0" w:color="auto"/>
            </w:tcBorders>
          </w:tcPr>
          <w:p w14:paraId="0C4C6FB1"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8.63 (2.09)</w:t>
            </w:r>
          </w:p>
        </w:tc>
      </w:tr>
      <w:tr w:rsidR="008B5B86" w:rsidRPr="00341B41" w14:paraId="1E7E713E" w14:textId="77777777" w:rsidTr="00300B26">
        <w:trPr>
          <w:trHeight w:val="438"/>
        </w:trPr>
        <w:tc>
          <w:tcPr>
            <w:tcW w:w="1357" w:type="dxa"/>
            <w:tcBorders>
              <w:bottom w:val="single" w:sz="4" w:space="0" w:color="auto"/>
            </w:tcBorders>
          </w:tcPr>
          <w:p w14:paraId="2FABB8ED" w14:textId="05132DAC" w:rsidR="008B5B86" w:rsidRPr="00341B41" w:rsidRDefault="008B5B86" w:rsidP="00351C84">
            <w:pPr>
              <w:spacing w:after="160" w:line="259" w:lineRule="auto"/>
              <w:rPr>
                <w:rFonts w:ascii="Times New Roman" w:hAnsi="Times New Roman" w:cs="Times New Roman"/>
              </w:rPr>
            </w:pPr>
            <w:r w:rsidRPr="00341B41">
              <w:rPr>
                <w:rFonts w:ascii="Times New Roman" w:hAnsi="Times New Roman" w:cs="Times New Roman"/>
              </w:rPr>
              <w:t>Less experienced</w:t>
            </w:r>
          </w:p>
        </w:tc>
        <w:tc>
          <w:tcPr>
            <w:tcW w:w="1633" w:type="dxa"/>
            <w:tcBorders>
              <w:bottom w:val="single" w:sz="4" w:space="0" w:color="auto"/>
            </w:tcBorders>
          </w:tcPr>
          <w:p w14:paraId="69E22B4B"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18.52 (0.62)</w:t>
            </w:r>
          </w:p>
        </w:tc>
        <w:tc>
          <w:tcPr>
            <w:tcW w:w="1551" w:type="dxa"/>
            <w:tcBorders>
              <w:bottom w:val="single" w:sz="4" w:space="0" w:color="auto"/>
            </w:tcBorders>
          </w:tcPr>
          <w:p w14:paraId="24A3DC3A"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1.82 (2.21)</w:t>
            </w:r>
          </w:p>
        </w:tc>
        <w:tc>
          <w:tcPr>
            <w:tcW w:w="1932" w:type="dxa"/>
            <w:tcBorders>
              <w:bottom w:val="single" w:sz="4" w:space="0" w:color="auto"/>
            </w:tcBorders>
          </w:tcPr>
          <w:p w14:paraId="3D4459D6"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0.94 (1.47)</w:t>
            </w:r>
          </w:p>
        </w:tc>
        <w:tc>
          <w:tcPr>
            <w:tcW w:w="2062" w:type="dxa"/>
            <w:tcBorders>
              <w:bottom w:val="single" w:sz="4" w:space="0" w:color="auto"/>
            </w:tcBorders>
          </w:tcPr>
          <w:p w14:paraId="02374C80" w14:textId="77777777" w:rsidR="008B5B86" w:rsidRPr="00341B41" w:rsidRDefault="008B5B86" w:rsidP="00351C84">
            <w:pPr>
              <w:spacing w:after="160" w:line="259" w:lineRule="auto"/>
              <w:jc w:val="center"/>
              <w:rPr>
                <w:rFonts w:ascii="Times New Roman" w:hAnsi="Times New Roman" w:cs="Times New Roman"/>
              </w:rPr>
            </w:pPr>
            <w:r w:rsidRPr="00341B41">
              <w:rPr>
                <w:rFonts w:ascii="Times New Roman" w:hAnsi="Times New Roman" w:cs="Times New Roman"/>
              </w:rPr>
              <w:t>0.53 (1.46</w:t>
            </w:r>
          </w:p>
        </w:tc>
      </w:tr>
    </w:tbl>
    <w:p w14:paraId="73CB077A" w14:textId="77777777" w:rsidR="008B5B86" w:rsidRPr="00341B41" w:rsidRDefault="008B5B86" w:rsidP="008B5B86">
      <w:pPr>
        <w:pStyle w:val="Caption"/>
        <w:rPr>
          <w:i w:val="0"/>
        </w:rPr>
      </w:pPr>
      <w:r w:rsidRPr="00341B41">
        <w:t xml:space="preserve">Note. </w:t>
      </w:r>
      <w:r w:rsidRPr="00341B41">
        <w:rPr>
          <w:i w:val="0"/>
        </w:rPr>
        <w:t>SD = standard deviation.</w:t>
      </w:r>
    </w:p>
    <w:p w14:paraId="59138874" w14:textId="77777777" w:rsidR="008B5B86" w:rsidRPr="00341B41" w:rsidRDefault="008B5B86" w:rsidP="008B5B86"/>
    <w:p w14:paraId="0F3A2D74" w14:textId="1227551E" w:rsidR="001728E3" w:rsidRPr="00341B41" w:rsidRDefault="001728E3" w:rsidP="001728E3">
      <w:pPr>
        <w:pStyle w:val="Heading3"/>
      </w:pPr>
      <w:bookmarkStart w:id="49" w:name="_Toc486260860"/>
      <w:r w:rsidRPr="00341B41">
        <w:t>2.5.2.</w:t>
      </w:r>
      <w:r w:rsidRPr="00341B41">
        <w:tab/>
        <w:t>Materials</w:t>
      </w:r>
      <w:bookmarkEnd w:id="49"/>
    </w:p>
    <w:p w14:paraId="2323790D" w14:textId="304660A8" w:rsidR="00351C84" w:rsidRPr="00341B41" w:rsidRDefault="001728E3" w:rsidP="001728E3">
      <w:r w:rsidRPr="00341B41">
        <w:t>The same video clips that were used in experiment 1 were used for experiment 2. Each clip was edited by occluding the shot 40ms (1 frame) before racket-ball contact (</w:t>
      </w:r>
      <w:r w:rsidRPr="00341B41">
        <w:rPr>
          <w:b/>
        </w:rPr>
        <w:t>Figure 3</w:t>
      </w:r>
      <w:r w:rsidRPr="00341B41">
        <w:t xml:space="preserve">). This occlusion point was selected based on previous work showing this occlusion point elicits the largest </w:t>
      </w:r>
      <w:r w:rsidR="00CB7E6F" w:rsidRPr="00341B41">
        <w:t>group</w:t>
      </w:r>
      <w:r w:rsidRPr="00341B41">
        <w:t xml:space="preserve"> difference in similar stimuli </w:t>
      </w:r>
      <w:r w:rsidRPr="00341B41">
        <w:fldChar w:fldCharType="begin" w:fldLock="1"/>
      </w:r>
      <w:r w:rsidRPr="00341B41">
        <w:instrText>ADDIN CSL_CITATION { "citationItems" : [ { "id" : "ITEM-1", "itemData" : { "DOI" : "10.1080/10413200902785811", "ISSN" : "1041-3200", "author" : [ { "dropping-particle" : "", "family" : "Rowe", "given" : "Richard", "non-dropping-particle" : "", "parse-names" : false, "suffix" : "" }, { "dropping-particle" : "", "family" : "Horswill", "given" : "Mark S.", "non-dropping-particle" : "", "parse-names" : false, "suffix" : "" }, { "dropping-particle" : "", "family" : "Kronvall-Parkinson", "given" : "Mette", "non-dropping-particle" : "", "parse-names" : false, "suffix" : "" }, { "dropping-particle" : "", "family" : "Poulter", "given" : "Damian R.", "non-dropping-particle" : "", "parse-names" : false, "suffix" : "" }, { "dropping-particle" : "", "family" : "McKenna", "given" : "Frank P.", "non-dropping-particle" : "", "parse-names" : false, "suffix" : "" } ], "container-title" : "Journal of Applied Sport Psychology", "id" : "ITEM-1", "issue" : "2", "issued" : { "date-parts" : [ [ "2009" ] ] }, "page" : "178-185", "title" : "The Effect of Disguise on Novice and Expert Tennis Players\u2019 Anticipation Ability", "type" : "article-journal", "volume" : "21" }, "uris" : [ "http://www.mendeley.com/documents/?uuid=abe5db58-f10e-46ff-919e-c1dd0e743ba3" ] } ], "mendeley" : { "formattedCitation" : "(Rowe et al., 2009)", "plainTextFormattedCitation" : "(Rowe et al., 2009)", "previouslyFormattedCitation" : "(Rowe et al., 2009)" }, "properties" : { "noteIndex" : 0 }, "schema" : "https://github.com/citation-style-language/schema/raw/master/csl-citation.json" }</w:instrText>
      </w:r>
      <w:r w:rsidRPr="00341B41">
        <w:fldChar w:fldCharType="separate"/>
      </w:r>
      <w:r w:rsidRPr="00341B41">
        <w:rPr>
          <w:noProof/>
        </w:rPr>
        <w:t>(Rowe et al., 2009)</w:t>
      </w:r>
      <w:r w:rsidRPr="00341B41">
        <w:fldChar w:fldCharType="end"/>
      </w:r>
      <w:r w:rsidRPr="00341B41">
        <w:t xml:space="preserve">. The trials were presented on a PC monitor with the sound turned off. The experiment was controlled from a second computer using a custom </w:t>
      </w:r>
      <w:r w:rsidR="00017BBC" w:rsidRPr="00341B41">
        <w:t>MATLAB</w:t>
      </w:r>
      <w:r w:rsidRPr="00341B41">
        <w:t xml:space="preserve"> script designed using </w:t>
      </w:r>
      <w:proofErr w:type="spellStart"/>
      <w:r w:rsidRPr="00341B41">
        <w:t>PsychToolbox</w:t>
      </w:r>
      <w:proofErr w:type="spellEnd"/>
      <w:r w:rsidRPr="00341B41">
        <w:t xml:space="preserve"> 3. For each trial, participants were required to watch the clip, and then following the point of occlusion were </w:t>
      </w:r>
      <w:r w:rsidRPr="00341B41">
        <w:lastRenderedPageBreak/>
        <w:t>required to press an appropriate key on the PC keyboard to indicate the direction that they thought the ball was going.</w:t>
      </w:r>
    </w:p>
    <w:p w14:paraId="5912987A" w14:textId="310158D4" w:rsidR="00351C84" w:rsidRPr="00341B41" w:rsidRDefault="00351C84" w:rsidP="0076355F">
      <w:r w:rsidRPr="00341B41">
        <w:rPr>
          <w:noProof/>
          <w:lang w:val="en-US"/>
        </w:rPr>
        <w:drawing>
          <wp:anchor distT="0" distB="0" distL="114300" distR="114300" simplePos="0" relativeHeight="251665408" behindDoc="0" locked="0" layoutInCell="1" allowOverlap="1" wp14:anchorId="3425F9CE" wp14:editId="29C977B0">
            <wp:simplePos x="0" y="0"/>
            <wp:positionH relativeFrom="column">
              <wp:posOffset>0</wp:posOffset>
            </wp:positionH>
            <wp:positionV relativeFrom="paragraph">
              <wp:posOffset>84455</wp:posOffset>
            </wp:positionV>
            <wp:extent cx="5501640" cy="922020"/>
            <wp:effectExtent l="0" t="0" r="10160" b="0"/>
            <wp:wrapSquare wrapText="bothSides"/>
            <wp:docPr id="13" name="Picture 13" descr="EEG%20channel%20results/EPS%20files/Figur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G%20channel%20results/EPS%20files/Figure%203.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3661" r="8237"/>
                    <a:stretch/>
                  </pic:blipFill>
                  <pic:spPr bwMode="auto">
                    <a:xfrm>
                      <a:off x="0" y="0"/>
                      <a:ext cx="5501640" cy="922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CD0E35" w14:textId="02E65334" w:rsidR="00351C84" w:rsidRPr="00341B41" w:rsidRDefault="00351C84" w:rsidP="00351C84">
      <w:pPr>
        <w:pStyle w:val="Caption"/>
      </w:pPr>
      <w:bookmarkStart w:id="50" w:name="_Toc488400752"/>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3</w:t>
      </w:r>
      <w:r w:rsidRPr="00341B41">
        <w:fldChar w:fldCharType="end"/>
      </w:r>
      <w:r w:rsidRPr="00341B41">
        <w:t>. An example of a single trial in experiment 2</w:t>
      </w:r>
      <w:bookmarkEnd w:id="50"/>
    </w:p>
    <w:p w14:paraId="4E366B68" w14:textId="4C8502E1" w:rsidR="00351C84" w:rsidRPr="00341B41" w:rsidRDefault="00351C84" w:rsidP="00351C84">
      <w:pPr>
        <w:pStyle w:val="NoSpacing"/>
        <w:rPr>
          <w:i/>
        </w:rPr>
      </w:pPr>
      <w:r w:rsidRPr="00341B41">
        <w:rPr>
          <w:i/>
        </w:rPr>
        <w:t>A – The start of the trial, before the player behind the camera has fed the shot. B – The point of occlusion, one frame (40ms) before the player’s racket makes contact with the ball. C – The screen asking for a response following the final frame of the video. Note this Figure represents a continuous video stimulu</w:t>
      </w:r>
      <w:r w:rsidR="009C0633" w:rsidRPr="00341B41">
        <w:rPr>
          <w:i/>
        </w:rPr>
        <w:t>s</w:t>
      </w:r>
      <w:r w:rsidRPr="00341B41">
        <w:rPr>
          <w:i/>
        </w:rPr>
        <w:t>.</w:t>
      </w:r>
    </w:p>
    <w:p w14:paraId="0AA6EAD6" w14:textId="77777777" w:rsidR="00351C84" w:rsidRPr="00341B41" w:rsidRDefault="00351C84" w:rsidP="00351C84"/>
    <w:p w14:paraId="11152CE7" w14:textId="61B2CA40" w:rsidR="001728E3" w:rsidRPr="00341B41" w:rsidRDefault="001728E3" w:rsidP="001728E3">
      <w:pPr>
        <w:pStyle w:val="Heading3"/>
      </w:pPr>
      <w:bookmarkStart w:id="51" w:name="_Toc486260861"/>
      <w:r w:rsidRPr="00341B41">
        <w:t>2.5.3.</w:t>
      </w:r>
      <w:r w:rsidRPr="00341B41">
        <w:tab/>
        <w:t>Procedure</w:t>
      </w:r>
      <w:bookmarkEnd w:id="51"/>
    </w:p>
    <w:p w14:paraId="746855DC" w14:textId="32D8DB82" w:rsidR="001728E3" w:rsidRPr="00341B41" w:rsidRDefault="001728E3" w:rsidP="001728E3">
      <w:r w:rsidRPr="00341B41">
        <w:t>The procedure was the same as experiment 1.</w:t>
      </w:r>
    </w:p>
    <w:p w14:paraId="03946808" w14:textId="2E80B0DA" w:rsidR="001728E3" w:rsidRPr="00341B41" w:rsidRDefault="001728E3" w:rsidP="001728E3">
      <w:pPr>
        <w:pStyle w:val="Heading2"/>
      </w:pPr>
      <w:bookmarkStart w:id="52" w:name="_Toc486260862"/>
      <w:r w:rsidRPr="00341B41">
        <w:t>2.6.</w:t>
      </w:r>
      <w:r w:rsidRPr="00341B41">
        <w:tab/>
        <w:t>Experiment 2 – Results</w:t>
      </w:r>
      <w:bookmarkEnd w:id="52"/>
    </w:p>
    <w:p w14:paraId="73F80519" w14:textId="77777777" w:rsidR="001728E3" w:rsidRPr="00341B41" w:rsidRDefault="001728E3" w:rsidP="001728E3">
      <w:r w:rsidRPr="00341B41">
        <w:t xml:space="preserve">Overall the scale showed excellent internal reliability (α = .93), and there was no evidence that removal of any trials could improve the scale reliability. There were no gender differences in anticipation accuracy; </w:t>
      </w:r>
      <w:r w:rsidRPr="00341B41">
        <w:rPr>
          <w:i/>
        </w:rPr>
        <w:t xml:space="preserve">t </w:t>
      </w:r>
      <w:r w:rsidRPr="00341B41">
        <w:t xml:space="preserve">(31) = 1.96, </w:t>
      </w:r>
      <w:r w:rsidRPr="00341B41">
        <w:rPr>
          <w:i/>
        </w:rPr>
        <w:t xml:space="preserve">p </w:t>
      </w:r>
      <w:r w:rsidRPr="00341B41">
        <w:t xml:space="preserve">= .06, </w:t>
      </w:r>
      <w:r w:rsidRPr="00341B41">
        <w:rPr>
          <w:i/>
        </w:rPr>
        <w:t xml:space="preserve">d </w:t>
      </w:r>
      <w:r w:rsidRPr="00341B41">
        <w:t xml:space="preserve">= 0.48 and no association between anticipation accuracy and age; </w:t>
      </w:r>
      <w:r w:rsidRPr="00341B41">
        <w:rPr>
          <w:i/>
        </w:rPr>
        <w:t xml:space="preserve">r </w:t>
      </w:r>
      <w:r w:rsidRPr="00341B41">
        <w:t xml:space="preserve">= .07, </w:t>
      </w:r>
      <w:r w:rsidRPr="00341B41">
        <w:rPr>
          <w:i/>
        </w:rPr>
        <w:t xml:space="preserve">p </w:t>
      </w:r>
      <w:r w:rsidRPr="00341B41">
        <w:t xml:space="preserve">= .68. </w:t>
      </w:r>
    </w:p>
    <w:p w14:paraId="6926AE2F" w14:textId="2833489F" w:rsidR="00351C84" w:rsidRPr="00341B41" w:rsidRDefault="001728E3" w:rsidP="00A45791">
      <w:pPr>
        <w:ind w:firstLine="720"/>
      </w:pPr>
      <w:r w:rsidRPr="00341B41">
        <w:t xml:space="preserve">Comparing between trial types, there was no difference in anticipation accuracy between forehand and backhand strokes, </w:t>
      </w:r>
      <w:r w:rsidRPr="00341B41">
        <w:rPr>
          <w:i/>
        </w:rPr>
        <w:t xml:space="preserve">t </w:t>
      </w:r>
      <w:r w:rsidRPr="00341B41">
        <w:t xml:space="preserve">(32) = -0.32, </w:t>
      </w:r>
      <w:r w:rsidRPr="00341B41">
        <w:rPr>
          <w:i/>
        </w:rPr>
        <w:t xml:space="preserve">p </w:t>
      </w:r>
      <w:r w:rsidRPr="00341B41">
        <w:t xml:space="preserve">= .75, </w:t>
      </w:r>
      <w:r w:rsidRPr="00341B41">
        <w:rPr>
          <w:i/>
        </w:rPr>
        <w:t xml:space="preserve">d </w:t>
      </w:r>
      <w:r w:rsidRPr="00341B41">
        <w:t xml:space="preserve">= 0.06, or between strokes that went left and strokes that went right, </w:t>
      </w:r>
      <w:r w:rsidRPr="00341B41">
        <w:rPr>
          <w:i/>
        </w:rPr>
        <w:t xml:space="preserve">t </w:t>
      </w:r>
      <w:r w:rsidRPr="00341B41">
        <w:t xml:space="preserve">(32) = 0.86, </w:t>
      </w:r>
      <w:r w:rsidRPr="00341B41">
        <w:rPr>
          <w:i/>
        </w:rPr>
        <w:t xml:space="preserve">p </w:t>
      </w:r>
      <w:r w:rsidRPr="00341B41">
        <w:t xml:space="preserve">= .40, </w:t>
      </w:r>
      <w:r w:rsidRPr="00341B41">
        <w:rPr>
          <w:i/>
        </w:rPr>
        <w:t xml:space="preserve">d </w:t>
      </w:r>
      <w:r w:rsidRPr="00341B41">
        <w:t xml:space="preserve">= 0.15. As in </w:t>
      </w:r>
      <w:r w:rsidRPr="00341B41">
        <w:lastRenderedPageBreak/>
        <w:t xml:space="preserve">experiment 1, player A (mean accuracy = 54.70%) was anticipated more accurately than player B (mean accuracy = 42.97%), </w:t>
      </w:r>
      <w:r w:rsidRPr="00341B41">
        <w:rPr>
          <w:i/>
        </w:rPr>
        <w:t>t</w:t>
      </w:r>
      <w:r w:rsidRPr="00341B41">
        <w:t xml:space="preserve"> (32) = 10.29, </w:t>
      </w:r>
      <w:r w:rsidRPr="00341B41">
        <w:rPr>
          <w:i/>
        </w:rPr>
        <w:t xml:space="preserve">p </w:t>
      </w:r>
      <w:r w:rsidRPr="00341B41">
        <w:t xml:space="preserve">&lt; .001, </w:t>
      </w:r>
      <w:r w:rsidRPr="00341B41">
        <w:rPr>
          <w:i/>
        </w:rPr>
        <w:t xml:space="preserve">d </w:t>
      </w:r>
      <w:r w:rsidRPr="00341B41">
        <w:t>= 1.80</w:t>
      </w:r>
      <w:r w:rsidR="00B05120" w:rsidRPr="00341B41">
        <w:t xml:space="preserve"> (see </w:t>
      </w:r>
      <w:r w:rsidR="00B05120" w:rsidRPr="00341B41">
        <w:rPr>
          <w:b/>
        </w:rPr>
        <w:t>Table 4</w:t>
      </w:r>
      <w:r w:rsidR="00B05120" w:rsidRPr="00341B41">
        <w:t>)</w:t>
      </w:r>
      <w:r w:rsidRPr="00341B41">
        <w:t xml:space="preserve">. </w:t>
      </w:r>
    </w:p>
    <w:p w14:paraId="0BF52FF9" w14:textId="5A98DA86" w:rsidR="00351C84" w:rsidRPr="00341B41" w:rsidRDefault="00351C84" w:rsidP="00351C84">
      <w:pPr>
        <w:pStyle w:val="Caption"/>
      </w:pPr>
      <w:bookmarkStart w:id="53" w:name="_Toc486260920"/>
      <w:r w:rsidRPr="00341B41">
        <w:t xml:space="preserve">Table </w:t>
      </w:r>
      <w:r w:rsidRPr="00341B41">
        <w:fldChar w:fldCharType="begin"/>
      </w:r>
      <w:r w:rsidRPr="00341B41">
        <w:instrText xml:space="preserve"> SEQ Table \* ARABIC </w:instrText>
      </w:r>
      <w:r w:rsidRPr="00341B41">
        <w:fldChar w:fldCharType="separate"/>
      </w:r>
      <w:r w:rsidR="002F1FF0" w:rsidRPr="00341B41">
        <w:rPr>
          <w:noProof/>
        </w:rPr>
        <w:t>4</w:t>
      </w:r>
      <w:r w:rsidRPr="00341B41">
        <w:fldChar w:fldCharType="end"/>
      </w:r>
      <w:r w:rsidRPr="00341B41">
        <w:t>. Differences in anticipation accuracy between the two observed players</w:t>
      </w:r>
      <w:bookmarkEnd w:id="53"/>
    </w:p>
    <w:tbl>
      <w:tblPr>
        <w:tblStyle w:val="TableGrid"/>
        <w:tblW w:w="8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4"/>
        <w:gridCol w:w="3039"/>
        <w:gridCol w:w="2887"/>
      </w:tblGrid>
      <w:tr w:rsidR="00351C84" w:rsidRPr="00341B41" w14:paraId="4B334F53" w14:textId="77777777" w:rsidTr="00351C84">
        <w:trPr>
          <w:trHeight w:val="360"/>
        </w:trPr>
        <w:tc>
          <w:tcPr>
            <w:tcW w:w="2524" w:type="dxa"/>
          </w:tcPr>
          <w:p w14:paraId="7B20F752" w14:textId="77777777" w:rsidR="00351C84" w:rsidRPr="00341B41" w:rsidRDefault="00351C84" w:rsidP="00351C84">
            <w:pPr>
              <w:spacing w:after="160" w:line="259" w:lineRule="auto"/>
              <w:rPr>
                <w:rFonts w:ascii="Times New Roman" w:hAnsi="Times New Roman" w:cs="Times New Roman"/>
                <w:u w:val="single"/>
              </w:rPr>
            </w:pPr>
            <w:r w:rsidRPr="00341B41">
              <w:rPr>
                <w:rFonts w:ascii="Times New Roman" w:hAnsi="Times New Roman" w:cs="Times New Roman"/>
                <w:u w:val="single"/>
              </w:rPr>
              <w:t>Group</w:t>
            </w:r>
          </w:p>
        </w:tc>
        <w:tc>
          <w:tcPr>
            <w:tcW w:w="3039" w:type="dxa"/>
          </w:tcPr>
          <w:p w14:paraId="3ABCFCFA" w14:textId="79E7537B" w:rsidR="00351C84" w:rsidRPr="00341B41" w:rsidRDefault="00351C84"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Player 1</w:t>
            </w:r>
          </w:p>
        </w:tc>
        <w:tc>
          <w:tcPr>
            <w:tcW w:w="2887" w:type="dxa"/>
          </w:tcPr>
          <w:p w14:paraId="7F41C3C8" w14:textId="0A3709D7" w:rsidR="00351C84" w:rsidRPr="00341B41" w:rsidRDefault="00351C84" w:rsidP="00351C84">
            <w:pPr>
              <w:spacing w:after="160" w:line="259" w:lineRule="auto"/>
              <w:jc w:val="center"/>
              <w:rPr>
                <w:rFonts w:ascii="Times New Roman" w:hAnsi="Times New Roman" w:cs="Times New Roman"/>
                <w:u w:val="single"/>
              </w:rPr>
            </w:pPr>
            <w:r w:rsidRPr="00341B41">
              <w:rPr>
                <w:rFonts w:ascii="Times New Roman" w:hAnsi="Times New Roman" w:cs="Times New Roman"/>
                <w:u w:val="single"/>
              </w:rPr>
              <w:t>Player 2</w:t>
            </w:r>
          </w:p>
        </w:tc>
      </w:tr>
      <w:tr w:rsidR="00351C84" w:rsidRPr="00341B41" w14:paraId="1C609735" w14:textId="77777777" w:rsidTr="00351C84">
        <w:trPr>
          <w:trHeight w:val="94"/>
        </w:trPr>
        <w:tc>
          <w:tcPr>
            <w:tcW w:w="2524" w:type="dxa"/>
            <w:tcBorders>
              <w:bottom w:val="single" w:sz="4" w:space="0" w:color="auto"/>
            </w:tcBorders>
          </w:tcPr>
          <w:p w14:paraId="0A76F8F3" w14:textId="77777777" w:rsidR="00351C84" w:rsidRPr="00341B41" w:rsidRDefault="00351C84" w:rsidP="00351C84">
            <w:pPr>
              <w:spacing w:after="160" w:line="259" w:lineRule="auto"/>
              <w:rPr>
                <w:rFonts w:ascii="Times New Roman" w:hAnsi="Times New Roman" w:cs="Times New Roman"/>
              </w:rPr>
            </w:pPr>
          </w:p>
        </w:tc>
        <w:tc>
          <w:tcPr>
            <w:tcW w:w="3039" w:type="dxa"/>
            <w:tcBorders>
              <w:bottom w:val="single" w:sz="4" w:space="0" w:color="auto"/>
            </w:tcBorders>
          </w:tcPr>
          <w:p w14:paraId="113934EF" w14:textId="77777777"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c>
          <w:tcPr>
            <w:tcW w:w="2887" w:type="dxa"/>
            <w:tcBorders>
              <w:bottom w:val="single" w:sz="4" w:space="0" w:color="auto"/>
            </w:tcBorders>
          </w:tcPr>
          <w:p w14:paraId="5AB06035" w14:textId="77777777"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Mean (SD)</w:t>
            </w:r>
          </w:p>
        </w:tc>
      </w:tr>
      <w:tr w:rsidR="00351C84" w:rsidRPr="00341B41" w14:paraId="6D83B6ED" w14:textId="77777777" w:rsidTr="00300B26">
        <w:trPr>
          <w:trHeight w:val="451"/>
        </w:trPr>
        <w:tc>
          <w:tcPr>
            <w:tcW w:w="2524" w:type="dxa"/>
            <w:tcBorders>
              <w:top w:val="single" w:sz="4" w:space="0" w:color="auto"/>
            </w:tcBorders>
          </w:tcPr>
          <w:p w14:paraId="409594B6" w14:textId="77777777" w:rsidR="00351C84" w:rsidRPr="00341B41" w:rsidRDefault="00351C84" w:rsidP="00351C84">
            <w:pPr>
              <w:spacing w:after="160" w:line="259" w:lineRule="auto"/>
              <w:rPr>
                <w:rFonts w:ascii="Times New Roman" w:hAnsi="Times New Roman" w:cs="Times New Roman"/>
              </w:rPr>
            </w:pPr>
            <w:r w:rsidRPr="00341B41">
              <w:rPr>
                <w:rFonts w:ascii="Times New Roman" w:hAnsi="Times New Roman" w:cs="Times New Roman"/>
              </w:rPr>
              <w:t>Experienced</w:t>
            </w:r>
          </w:p>
        </w:tc>
        <w:tc>
          <w:tcPr>
            <w:tcW w:w="3039" w:type="dxa"/>
            <w:tcBorders>
              <w:top w:val="single" w:sz="4" w:space="0" w:color="auto"/>
            </w:tcBorders>
          </w:tcPr>
          <w:p w14:paraId="4576D665" w14:textId="73CC06DB"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52.55% (5.63)</w:t>
            </w:r>
          </w:p>
        </w:tc>
        <w:tc>
          <w:tcPr>
            <w:tcW w:w="2887" w:type="dxa"/>
            <w:tcBorders>
              <w:top w:val="single" w:sz="4" w:space="0" w:color="auto"/>
            </w:tcBorders>
          </w:tcPr>
          <w:p w14:paraId="7B0BB715" w14:textId="6F98D388"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40.64% (3.78)</w:t>
            </w:r>
          </w:p>
        </w:tc>
      </w:tr>
      <w:tr w:rsidR="00351C84" w:rsidRPr="00341B41" w14:paraId="03DF92CA" w14:textId="77777777" w:rsidTr="00300B26">
        <w:trPr>
          <w:trHeight w:val="474"/>
        </w:trPr>
        <w:tc>
          <w:tcPr>
            <w:tcW w:w="2524" w:type="dxa"/>
            <w:tcBorders>
              <w:bottom w:val="single" w:sz="4" w:space="0" w:color="auto"/>
            </w:tcBorders>
          </w:tcPr>
          <w:p w14:paraId="710D9CC1" w14:textId="77777777" w:rsidR="00351C84" w:rsidRPr="00341B41" w:rsidRDefault="00351C84" w:rsidP="00351C84">
            <w:pPr>
              <w:spacing w:after="160" w:line="259" w:lineRule="auto"/>
              <w:rPr>
                <w:rFonts w:ascii="Times New Roman" w:hAnsi="Times New Roman" w:cs="Times New Roman"/>
              </w:rPr>
            </w:pPr>
            <w:r w:rsidRPr="00341B41">
              <w:rPr>
                <w:rFonts w:ascii="Times New Roman" w:hAnsi="Times New Roman" w:cs="Times New Roman"/>
              </w:rPr>
              <w:t>Less experienced</w:t>
            </w:r>
          </w:p>
        </w:tc>
        <w:tc>
          <w:tcPr>
            <w:tcW w:w="3039" w:type="dxa"/>
            <w:tcBorders>
              <w:bottom w:val="single" w:sz="4" w:space="0" w:color="auto"/>
            </w:tcBorders>
          </w:tcPr>
          <w:p w14:paraId="32437F4A" w14:textId="43B46CBF"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56.59% (4.02)</w:t>
            </w:r>
          </w:p>
        </w:tc>
        <w:tc>
          <w:tcPr>
            <w:tcW w:w="2887" w:type="dxa"/>
            <w:tcBorders>
              <w:bottom w:val="single" w:sz="4" w:space="0" w:color="auto"/>
            </w:tcBorders>
          </w:tcPr>
          <w:p w14:paraId="6277185E" w14:textId="3C9E74D0" w:rsidR="00351C84" w:rsidRPr="00341B41" w:rsidRDefault="00351C84" w:rsidP="00351C84">
            <w:pPr>
              <w:spacing w:after="160" w:line="259" w:lineRule="auto"/>
              <w:jc w:val="center"/>
              <w:rPr>
                <w:rFonts w:ascii="Times New Roman" w:hAnsi="Times New Roman" w:cs="Times New Roman"/>
              </w:rPr>
            </w:pPr>
            <w:r w:rsidRPr="00341B41">
              <w:rPr>
                <w:rFonts w:ascii="Times New Roman" w:hAnsi="Times New Roman" w:cs="Times New Roman"/>
              </w:rPr>
              <w:t>44.00% (5.01)</w:t>
            </w:r>
          </w:p>
        </w:tc>
      </w:tr>
    </w:tbl>
    <w:p w14:paraId="022990EC" w14:textId="25F41B9E" w:rsidR="00351C84" w:rsidRPr="00341B41" w:rsidRDefault="00351C84" w:rsidP="00351C84">
      <w:pPr>
        <w:pStyle w:val="Caption"/>
        <w:rPr>
          <w:i w:val="0"/>
        </w:rPr>
      </w:pPr>
      <w:r w:rsidRPr="00341B41">
        <w:t xml:space="preserve">Note. </w:t>
      </w:r>
      <w:r w:rsidRPr="00341B41">
        <w:rPr>
          <w:i w:val="0"/>
        </w:rPr>
        <w:t>SD = standard deviation.</w:t>
      </w:r>
    </w:p>
    <w:p w14:paraId="0956FDDE" w14:textId="77777777" w:rsidR="00351C84" w:rsidRPr="00341B41" w:rsidRDefault="00351C84" w:rsidP="00351C84"/>
    <w:p w14:paraId="104FD694" w14:textId="5730B749" w:rsidR="00351C84" w:rsidRPr="00341B41" w:rsidRDefault="001728E3" w:rsidP="00351C84">
      <w:pPr>
        <w:ind w:firstLine="720"/>
      </w:pPr>
      <w:r w:rsidRPr="00341B41">
        <w:t xml:space="preserve">Over the whole test, there was not a significant difference in anticipation accuracy between the </w:t>
      </w:r>
      <w:r w:rsidR="0029330F" w:rsidRPr="00341B41">
        <w:t>experienced</w:t>
      </w:r>
      <w:r w:rsidRPr="00341B41">
        <w:t xml:space="preserve"> (48.09% correct, SD = 3.76) and </w:t>
      </w:r>
      <w:r w:rsidR="00D15C0A" w:rsidRPr="00341B41">
        <w:t>less</w:t>
      </w:r>
      <w:r w:rsidRPr="00341B41">
        <w:t xml:space="preserve"> (50.29%, SD 3.17) groups, </w:t>
      </w:r>
      <w:r w:rsidRPr="00341B41">
        <w:rPr>
          <w:i/>
        </w:rPr>
        <w:t xml:space="preserve">t </w:t>
      </w:r>
      <w:r w:rsidRPr="00341B41">
        <w:t xml:space="preserve">(32) = 1.82, </w:t>
      </w:r>
      <w:r w:rsidRPr="00341B41">
        <w:rPr>
          <w:i/>
        </w:rPr>
        <w:t xml:space="preserve">p </w:t>
      </w:r>
      <w:r w:rsidRPr="00341B41">
        <w:t xml:space="preserve">= .07, </w:t>
      </w:r>
      <w:r w:rsidRPr="00341B41">
        <w:rPr>
          <w:i/>
        </w:rPr>
        <w:t xml:space="preserve">d </w:t>
      </w:r>
      <w:r w:rsidRPr="00341B41">
        <w:t xml:space="preserve">= 0.63). It is possible that only some of the trials are good at distinguishing </w:t>
      </w:r>
      <w:r w:rsidR="0029330F" w:rsidRPr="00341B41">
        <w:t>experienced</w:t>
      </w:r>
      <w:r w:rsidRPr="00341B41">
        <w:t xml:space="preserve"> from </w:t>
      </w:r>
      <w:r w:rsidR="00D15C0A" w:rsidRPr="00341B41">
        <w:t>less experienced</w:t>
      </w:r>
      <w:r w:rsidRPr="00341B41">
        <w:t xml:space="preserve"> participants but this is not shown in a whole test analysis. Therefore, the test materials were refined using a split-half method.</w:t>
      </w:r>
      <w:r w:rsidR="00351C84" w:rsidRPr="00341B41">
        <w:t xml:space="preserve"> </w:t>
      </w:r>
    </w:p>
    <w:p w14:paraId="1D1B026E" w14:textId="322BFEA9" w:rsidR="001728E3" w:rsidRPr="00341B41" w:rsidRDefault="001728E3" w:rsidP="00351C84">
      <w:pPr>
        <w:ind w:firstLine="720"/>
      </w:pPr>
      <w:r w:rsidRPr="00341B41">
        <w:t xml:space="preserve">The split-half method assesses the internal consistency of a set of results, by ‘splitting’ the data into two halves and comparing the results of one half of the data with the results of the second half of the data. If the two halves of the data show similar results, this suggests that the test has internal reliability. </w:t>
      </w:r>
      <w:r w:rsidR="00D15C0A" w:rsidRPr="00341B41">
        <w:t>The</w:t>
      </w:r>
      <w:r w:rsidRPr="00341B41">
        <w:t xml:space="preserve"> split-half method</w:t>
      </w:r>
      <w:r w:rsidR="00D15C0A" w:rsidRPr="00341B41">
        <w:t xml:space="preserve"> was used</w:t>
      </w:r>
      <w:r w:rsidRPr="00341B41">
        <w:t xml:space="preserve"> to detect trials that consistently show an expertise effect i.e. an expertise effect is observed in both halves of the dataset. </w:t>
      </w:r>
    </w:p>
    <w:p w14:paraId="7961B1F9" w14:textId="05CAE32C" w:rsidR="001728E3" w:rsidRPr="00341B41" w:rsidRDefault="001728E3" w:rsidP="001728E3">
      <w:pPr>
        <w:ind w:firstLine="720"/>
      </w:pPr>
      <w:r w:rsidRPr="00341B41">
        <w:t xml:space="preserve">Using this method, 16 </w:t>
      </w:r>
      <w:r w:rsidR="0029330F" w:rsidRPr="00341B41">
        <w:t>experienced</w:t>
      </w:r>
      <w:r w:rsidRPr="00341B41">
        <w:t xml:space="preserve"> and 16 </w:t>
      </w:r>
      <w:r w:rsidR="00D15C0A" w:rsidRPr="00341B41">
        <w:t>less experienced</w:t>
      </w:r>
      <w:r w:rsidRPr="00341B41">
        <w:t xml:space="preserve"> players were randomly assigned</w:t>
      </w:r>
      <w:r w:rsidR="0029330F" w:rsidRPr="00341B41">
        <w:t xml:space="preserve"> to one ‘half’, and the other 16 experienced and 17</w:t>
      </w:r>
      <w:r w:rsidRPr="00341B41">
        <w:t xml:space="preserve"> </w:t>
      </w:r>
      <w:r w:rsidR="00D15C0A" w:rsidRPr="00341B41">
        <w:t xml:space="preserve">less </w:t>
      </w:r>
      <w:proofErr w:type="spellStart"/>
      <w:r w:rsidR="00D15C0A" w:rsidRPr="00341B41">
        <w:t>experiencd</w:t>
      </w:r>
      <w:proofErr w:type="spellEnd"/>
      <w:r w:rsidRPr="00341B41">
        <w:t xml:space="preserve"> participants were randomly assigned to the other. Randomisation was performed using the </w:t>
      </w:r>
      <w:proofErr w:type="spellStart"/>
      <w:r w:rsidRPr="00341B41">
        <w:t>Blockrand</w:t>
      </w:r>
      <w:proofErr w:type="spellEnd"/>
      <w:r w:rsidRPr="00341B41">
        <w:t xml:space="preserve"> </w:t>
      </w:r>
      <w:r w:rsidRPr="00341B41">
        <w:lastRenderedPageBreak/>
        <w:t>package in R</w:t>
      </w:r>
      <w:r w:rsidR="00100EED" w:rsidRPr="00341B41">
        <w:t xml:space="preserve"> </w:t>
      </w:r>
      <w:r w:rsidR="00100EED" w:rsidRPr="00341B41">
        <w:fldChar w:fldCharType="begin" w:fldLock="1"/>
      </w:r>
      <w:r w:rsidR="007C5587" w:rsidRPr="00341B41">
        <w:instrText>ADDIN CSL_CITATION { "citationItems" : [ { "id" : "ITEM-1", "itemData" : { "author" : [ { "dropping-particle" : "", "family" : "Snow", "given" : "Greg", "non-dropping-particle" : "", "parse-names" : false, "suffix" : "" } ], "id" : "ITEM-1", "issued" : { "date-parts" : [ [ "2013" ] ] }, "publisher" : "R package version 1.3.", "title" : "blockrand: Randomization for block random clinical trials", "type" : "article" }, "uris" : [ "http://www.mendeley.com/documents/?uuid=1a8d0885-bb57-45ba-8271-e373067127bf" ] } ], "mendeley" : { "formattedCitation" : "(Snow, 2013)", "plainTextFormattedCitation" : "(Snow, 2013)", "previouslyFormattedCitation" : "(Snow, 2013)" }, "properties" : { "noteIndex" : 0 }, "schema" : "https://github.com/citation-style-language/schema/raw/master/csl-citation.json" }</w:instrText>
      </w:r>
      <w:r w:rsidR="00100EED" w:rsidRPr="00341B41">
        <w:fldChar w:fldCharType="separate"/>
      </w:r>
      <w:r w:rsidR="00100EED" w:rsidRPr="00341B41">
        <w:rPr>
          <w:noProof/>
        </w:rPr>
        <w:t>(Snow, 2013)</w:t>
      </w:r>
      <w:r w:rsidR="00100EED" w:rsidRPr="00341B41">
        <w:fldChar w:fldCharType="end"/>
      </w:r>
      <w:r w:rsidRPr="00341B41">
        <w:t xml:space="preserve">. In the first half of the data, a subset of items that showed a significant expertise effect were identified by examining clips on a trial by trial basis. Eighty-three of the 200 trials showed a significant positive expertise effect, i.e. </w:t>
      </w:r>
      <w:r w:rsidR="0029330F" w:rsidRPr="00341B41">
        <w:t>experienced</w:t>
      </w:r>
      <w:r w:rsidRPr="00341B41">
        <w:t xml:space="preserve"> participants were more accurate than </w:t>
      </w:r>
      <w:r w:rsidR="00D15C0A" w:rsidRPr="00341B41">
        <w:t>less experienced</w:t>
      </w:r>
      <w:r w:rsidRPr="00341B41">
        <w:t xml:space="preserve"> participants in the first half of the data. Anticipation accuracy scores are displayed in </w:t>
      </w:r>
      <w:r w:rsidRPr="00341B41">
        <w:rPr>
          <w:b/>
        </w:rPr>
        <w:t xml:space="preserve">Table </w:t>
      </w:r>
      <w:r w:rsidR="00B05120" w:rsidRPr="00341B41">
        <w:rPr>
          <w:b/>
        </w:rPr>
        <w:t>5</w:t>
      </w:r>
      <w:r w:rsidRPr="00341B41">
        <w:t xml:space="preserve">. </w:t>
      </w:r>
    </w:p>
    <w:p w14:paraId="789C84F9" w14:textId="7F3A70A6" w:rsidR="001728E3" w:rsidRPr="00341B41" w:rsidRDefault="001728E3" w:rsidP="001728E3">
      <w:pPr>
        <w:ind w:firstLine="720"/>
      </w:pPr>
      <w:r w:rsidRPr="00341B41">
        <w:t xml:space="preserve">In order to establish that these 83 trials consistently showed a positive </w:t>
      </w:r>
      <w:r w:rsidR="00D15C0A" w:rsidRPr="00341B41">
        <w:t>expertise</w:t>
      </w:r>
      <w:r w:rsidRPr="00341B41">
        <w:t xml:space="preserve"> effect, the same trials were analysed in the second half of the dataset. Of the trials showing an expertise effect in the first half of the dataset, 69.88% continued to show an expertise effect in the second half. A </w:t>
      </w:r>
      <m:oMath>
        <m:r>
          <w:rPr>
            <w:rFonts w:ascii="Cambria Math" w:hAnsi="Cambria Math"/>
          </w:rPr>
          <m:t>χ</m:t>
        </m:r>
      </m:oMath>
      <w:r w:rsidRPr="00341B41">
        <w:rPr>
          <w:vertAlign w:val="superscript"/>
        </w:rPr>
        <w:t xml:space="preserve"> 2</w:t>
      </w:r>
      <w:r w:rsidRPr="00341B41">
        <w:t xml:space="preserve"> test of association showed a significant association between expertise effects on trials across both halves of the dataset, </w:t>
      </w:r>
      <m:oMath>
        <m:r>
          <w:rPr>
            <w:rFonts w:ascii="Cambria Math" w:hAnsi="Cambria Math"/>
          </w:rPr>
          <m:t>χ</m:t>
        </m:r>
      </m:oMath>
      <w:r w:rsidRPr="00341B41">
        <w:rPr>
          <w:vertAlign w:val="superscript"/>
        </w:rPr>
        <w:t xml:space="preserve"> 2 </w:t>
      </w:r>
      <w:r w:rsidRPr="00341B41">
        <w:t xml:space="preserve">(4) = 56.67, </w:t>
      </w:r>
      <w:r w:rsidRPr="00341B41">
        <w:rPr>
          <w:i/>
        </w:rPr>
        <w:t xml:space="preserve">p </w:t>
      </w:r>
      <w:r w:rsidRPr="00341B41">
        <w:t xml:space="preserve">&lt; .001. Constructing a scale score using only trials showing an expertise effect in half 1 of the dataset provided a strong expertise effect in the second half of the dataset in the expected direction; </w:t>
      </w:r>
      <w:r w:rsidRPr="00341B41">
        <w:rPr>
          <w:i/>
        </w:rPr>
        <w:t xml:space="preserve">t </w:t>
      </w:r>
      <w:r w:rsidRPr="00341B41">
        <w:t xml:space="preserve">(16) = 4.54, </w:t>
      </w:r>
      <w:r w:rsidRPr="00341B41">
        <w:rPr>
          <w:i/>
        </w:rPr>
        <w:t xml:space="preserve">p </w:t>
      </w:r>
      <w:r w:rsidRPr="00341B41">
        <w:t xml:space="preserve">&lt; .001, </w:t>
      </w:r>
      <w:r w:rsidRPr="00341B41">
        <w:rPr>
          <w:i/>
        </w:rPr>
        <w:t xml:space="preserve">d </w:t>
      </w:r>
      <w:r w:rsidRPr="00341B41">
        <w:t xml:space="preserve">= 2.34. As shown in </w:t>
      </w:r>
      <w:r w:rsidRPr="00341B41">
        <w:rPr>
          <w:b/>
        </w:rPr>
        <w:t xml:space="preserve">Table </w:t>
      </w:r>
      <w:r w:rsidR="00B05120" w:rsidRPr="00341B41">
        <w:rPr>
          <w:b/>
        </w:rPr>
        <w:t>5</w:t>
      </w:r>
      <w:r w:rsidRPr="00341B41">
        <w:t xml:space="preserve">, </w:t>
      </w:r>
      <w:r w:rsidR="0029330F" w:rsidRPr="00341B41">
        <w:t>experienced participants</w:t>
      </w:r>
      <w:r w:rsidRPr="00341B41">
        <w:t xml:space="preserve"> were significantly more accurate in predicting shot direction in the second half of the data, which was entirely independent from the first half of the data in which the effective trials were identified. </w:t>
      </w:r>
    </w:p>
    <w:p w14:paraId="2C9DBC7F" w14:textId="7272A177" w:rsidR="00F92A91" w:rsidRPr="00341B41" w:rsidRDefault="00F92A91" w:rsidP="00F92A91">
      <w:pPr>
        <w:pStyle w:val="Caption"/>
      </w:pPr>
      <w:bookmarkStart w:id="54" w:name="_Toc486260921"/>
      <w:r w:rsidRPr="00341B41">
        <w:t xml:space="preserve">Table </w:t>
      </w:r>
      <w:r w:rsidRPr="00341B41">
        <w:fldChar w:fldCharType="begin"/>
      </w:r>
      <w:r w:rsidRPr="00341B41">
        <w:instrText xml:space="preserve"> SEQ Table \* ARABIC </w:instrText>
      </w:r>
      <w:r w:rsidRPr="00341B41">
        <w:fldChar w:fldCharType="separate"/>
      </w:r>
      <w:r w:rsidR="002F1FF0" w:rsidRPr="00341B41">
        <w:rPr>
          <w:noProof/>
        </w:rPr>
        <w:t>5</w:t>
      </w:r>
      <w:r w:rsidRPr="00341B41">
        <w:fldChar w:fldCharType="end"/>
      </w:r>
      <w:r w:rsidRPr="00341B41">
        <w:t>. Anticipation accuracy in the subset of trials showing a significant expertise effect</w:t>
      </w:r>
      <w:bookmarkEnd w:id="54"/>
    </w:p>
    <w:tbl>
      <w:tblPr>
        <w:tblStyle w:val="TableGrid"/>
        <w:tblpPr w:leftFromText="180" w:rightFromText="180" w:vertAnchor="text" w:horzAnchor="page" w:tblpX="2530" w:tblpY="365"/>
        <w:tblW w:w="83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0"/>
        <w:gridCol w:w="69"/>
        <w:gridCol w:w="2845"/>
        <w:gridCol w:w="2860"/>
      </w:tblGrid>
      <w:tr w:rsidR="00F92A91" w:rsidRPr="00341B41" w14:paraId="6A8AA4A5" w14:textId="77777777" w:rsidTr="00403C76">
        <w:trPr>
          <w:trHeight w:val="446"/>
        </w:trPr>
        <w:tc>
          <w:tcPr>
            <w:tcW w:w="2530" w:type="dxa"/>
          </w:tcPr>
          <w:p w14:paraId="1A09BEA5" w14:textId="77777777" w:rsidR="00F92A91" w:rsidRPr="00341B41" w:rsidRDefault="00F92A91" w:rsidP="00403C76">
            <w:pPr>
              <w:spacing w:before="100" w:beforeAutospacing="1" w:after="100" w:afterAutospacing="1"/>
              <w:jc w:val="center"/>
              <w:rPr>
                <w:rFonts w:ascii="Times New Roman" w:hAnsi="Times New Roman" w:cs="Times New Roman"/>
              </w:rPr>
            </w:pPr>
          </w:p>
        </w:tc>
        <w:tc>
          <w:tcPr>
            <w:tcW w:w="5774" w:type="dxa"/>
            <w:gridSpan w:val="3"/>
          </w:tcPr>
          <w:p w14:paraId="02E3719F" w14:textId="77777777" w:rsidR="00F92A91" w:rsidRPr="00341B41" w:rsidRDefault="00F92A91" w:rsidP="00403C76">
            <w:pPr>
              <w:spacing w:before="100" w:beforeAutospacing="1" w:after="100" w:afterAutospacing="1"/>
              <w:jc w:val="center"/>
              <w:rPr>
                <w:rFonts w:ascii="Times New Roman" w:hAnsi="Times New Roman" w:cs="Times New Roman"/>
                <w:u w:val="single"/>
              </w:rPr>
            </w:pPr>
            <w:r w:rsidRPr="00341B41">
              <w:rPr>
                <w:rFonts w:ascii="Times New Roman" w:hAnsi="Times New Roman" w:cs="Times New Roman"/>
                <w:u w:val="single"/>
              </w:rPr>
              <w:t>Anticipation accuracy (% correct)</w:t>
            </w:r>
          </w:p>
        </w:tc>
      </w:tr>
      <w:tr w:rsidR="00F92A91" w:rsidRPr="00341B41" w14:paraId="254519E5" w14:textId="77777777" w:rsidTr="00403C76">
        <w:trPr>
          <w:trHeight w:val="446"/>
        </w:trPr>
        <w:tc>
          <w:tcPr>
            <w:tcW w:w="2599" w:type="dxa"/>
            <w:gridSpan w:val="2"/>
            <w:tcBorders>
              <w:bottom w:val="single" w:sz="4" w:space="0" w:color="auto"/>
            </w:tcBorders>
          </w:tcPr>
          <w:p w14:paraId="63DB3D83" w14:textId="77777777" w:rsidR="00F92A91" w:rsidRPr="00341B41" w:rsidRDefault="00F92A91" w:rsidP="00403C76">
            <w:pPr>
              <w:rPr>
                <w:rFonts w:ascii="Times New Roman" w:hAnsi="Times New Roman" w:cs="Times New Roman"/>
              </w:rPr>
            </w:pPr>
          </w:p>
        </w:tc>
        <w:tc>
          <w:tcPr>
            <w:tcW w:w="2845" w:type="dxa"/>
            <w:tcBorders>
              <w:bottom w:val="single" w:sz="4" w:space="0" w:color="auto"/>
            </w:tcBorders>
          </w:tcPr>
          <w:p w14:paraId="6CD3A6D3" w14:textId="77777777" w:rsidR="00F92A91" w:rsidRPr="00341B41" w:rsidRDefault="00F92A91" w:rsidP="00403C76">
            <w:pPr>
              <w:spacing w:before="100" w:beforeAutospacing="1" w:after="100" w:afterAutospacing="1"/>
              <w:jc w:val="center"/>
              <w:rPr>
                <w:rFonts w:ascii="Times New Roman" w:hAnsi="Times New Roman" w:cs="Times New Roman"/>
                <w:u w:val="single"/>
              </w:rPr>
            </w:pPr>
            <w:r w:rsidRPr="00341B41">
              <w:rPr>
                <w:rFonts w:ascii="Times New Roman" w:hAnsi="Times New Roman" w:cs="Times New Roman"/>
                <w:u w:val="single"/>
              </w:rPr>
              <w:t>Half 1</w:t>
            </w:r>
          </w:p>
        </w:tc>
        <w:tc>
          <w:tcPr>
            <w:tcW w:w="2860" w:type="dxa"/>
            <w:tcBorders>
              <w:bottom w:val="single" w:sz="4" w:space="0" w:color="auto"/>
            </w:tcBorders>
          </w:tcPr>
          <w:p w14:paraId="0EB3DD7F" w14:textId="77777777" w:rsidR="00F92A91" w:rsidRPr="00341B41" w:rsidRDefault="00F92A91" w:rsidP="00403C76">
            <w:pPr>
              <w:spacing w:before="100" w:beforeAutospacing="1" w:after="100" w:afterAutospacing="1"/>
              <w:jc w:val="center"/>
              <w:rPr>
                <w:rFonts w:ascii="Times New Roman" w:hAnsi="Times New Roman" w:cs="Times New Roman"/>
                <w:u w:val="single"/>
              </w:rPr>
            </w:pPr>
            <w:r w:rsidRPr="00341B41">
              <w:rPr>
                <w:rFonts w:ascii="Times New Roman" w:hAnsi="Times New Roman" w:cs="Times New Roman"/>
                <w:u w:val="single"/>
              </w:rPr>
              <w:t>Half 2</w:t>
            </w:r>
          </w:p>
        </w:tc>
      </w:tr>
      <w:tr w:rsidR="00F92A91" w:rsidRPr="00341B41" w14:paraId="47172AAB" w14:textId="77777777" w:rsidTr="00403C76">
        <w:trPr>
          <w:trHeight w:val="447"/>
        </w:trPr>
        <w:tc>
          <w:tcPr>
            <w:tcW w:w="2599" w:type="dxa"/>
            <w:gridSpan w:val="2"/>
            <w:tcBorders>
              <w:top w:val="single" w:sz="4" w:space="0" w:color="auto"/>
            </w:tcBorders>
          </w:tcPr>
          <w:p w14:paraId="66FF27FA" w14:textId="77777777" w:rsidR="00F92A91" w:rsidRPr="00341B41" w:rsidRDefault="00F92A91" w:rsidP="00403C76">
            <w:pPr>
              <w:spacing w:after="160" w:line="259" w:lineRule="auto"/>
              <w:rPr>
                <w:rFonts w:ascii="Times New Roman" w:hAnsi="Times New Roman" w:cs="Times New Roman"/>
              </w:rPr>
            </w:pPr>
            <w:r w:rsidRPr="00341B41">
              <w:rPr>
                <w:rFonts w:ascii="Times New Roman" w:hAnsi="Times New Roman" w:cs="Times New Roman"/>
              </w:rPr>
              <w:t>Experienced</w:t>
            </w:r>
          </w:p>
        </w:tc>
        <w:tc>
          <w:tcPr>
            <w:tcW w:w="2845" w:type="dxa"/>
            <w:tcBorders>
              <w:top w:val="single" w:sz="4" w:space="0" w:color="auto"/>
            </w:tcBorders>
          </w:tcPr>
          <w:p w14:paraId="65AD8E17" w14:textId="77777777" w:rsidR="00F92A91" w:rsidRPr="00341B41" w:rsidRDefault="00F92A91" w:rsidP="00403C76">
            <w:pPr>
              <w:spacing w:before="100" w:beforeAutospacing="1" w:after="100" w:afterAutospacing="1"/>
              <w:jc w:val="center"/>
              <w:rPr>
                <w:rFonts w:ascii="Times New Roman" w:hAnsi="Times New Roman" w:cs="Times New Roman"/>
              </w:rPr>
            </w:pPr>
            <w:r w:rsidRPr="00341B41">
              <w:rPr>
                <w:rFonts w:ascii="Times New Roman" w:hAnsi="Times New Roman" w:cs="Times New Roman"/>
              </w:rPr>
              <w:t>65.66% (9.90)</w:t>
            </w:r>
          </w:p>
        </w:tc>
        <w:tc>
          <w:tcPr>
            <w:tcW w:w="2860" w:type="dxa"/>
            <w:tcBorders>
              <w:top w:val="single" w:sz="4" w:space="0" w:color="auto"/>
            </w:tcBorders>
          </w:tcPr>
          <w:p w14:paraId="4E30F440" w14:textId="77777777" w:rsidR="00F92A91" w:rsidRPr="00341B41" w:rsidRDefault="00F92A91" w:rsidP="00403C76">
            <w:pPr>
              <w:spacing w:before="100" w:beforeAutospacing="1" w:after="100" w:afterAutospacing="1"/>
              <w:jc w:val="center"/>
              <w:rPr>
                <w:rFonts w:ascii="Times New Roman" w:hAnsi="Times New Roman" w:cs="Times New Roman"/>
              </w:rPr>
            </w:pPr>
            <w:r w:rsidRPr="00341B41">
              <w:rPr>
                <w:rFonts w:ascii="Times New Roman" w:hAnsi="Times New Roman" w:cs="Times New Roman"/>
              </w:rPr>
              <w:t>62.78% (9.81)</w:t>
            </w:r>
          </w:p>
        </w:tc>
      </w:tr>
      <w:tr w:rsidR="00F92A91" w:rsidRPr="00341B41" w14:paraId="3EFB11BF" w14:textId="77777777" w:rsidTr="00403C76">
        <w:trPr>
          <w:trHeight w:val="424"/>
        </w:trPr>
        <w:tc>
          <w:tcPr>
            <w:tcW w:w="2599" w:type="dxa"/>
            <w:gridSpan w:val="2"/>
            <w:tcBorders>
              <w:bottom w:val="single" w:sz="4" w:space="0" w:color="auto"/>
            </w:tcBorders>
          </w:tcPr>
          <w:p w14:paraId="5ECCBFC8" w14:textId="77777777" w:rsidR="00F92A91" w:rsidRPr="00341B41" w:rsidRDefault="00F92A91" w:rsidP="00403C76">
            <w:pPr>
              <w:spacing w:after="160" w:line="259" w:lineRule="auto"/>
              <w:rPr>
                <w:rFonts w:ascii="Times New Roman" w:hAnsi="Times New Roman" w:cs="Times New Roman"/>
              </w:rPr>
            </w:pPr>
            <w:r w:rsidRPr="00341B41">
              <w:rPr>
                <w:rFonts w:ascii="Times New Roman" w:hAnsi="Times New Roman" w:cs="Times New Roman"/>
              </w:rPr>
              <w:t>Less experienced</w:t>
            </w:r>
          </w:p>
        </w:tc>
        <w:tc>
          <w:tcPr>
            <w:tcW w:w="2845" w:type="dxa"/>
            <w:tcBorders>
              <w:bottom w:val="single" w:sz="4" w:space="0" w:color="auto"/>
            </w:tcBorders>
          </w:tcPr>
          <w:p w14:paraId="6FE63771" w14:textId="77777777" w:rsidR="00F92A91" w:rsidRPr="00341B41" w:rsidRDefault="00F92A91" w:rsidP="00403C76">
            <w:pPr>
              <w:spacing w:before="100" w:beforeAutospacing="1" w:after="100" w:afterAutospacing="1"/>
              <w:jc w:val="center"/>
              <w:rPr>
                <w:rFonts w:ascii="Times New Roman" w:hAnsi="Times New Roman" w:cs="Times New Roman"/>
              </w:rPr>
            </w:pPr>
            <w:r w:rsidRPr="00341B41">
              <w:rPr>
                <w:rFonts w:ascii="Times New Roman" w:hAnsi="Times New Roman" w:cs="Times New Roman"/>
              </w:rPr>
              <w:t>42.92% (4.69)</w:t>
            </w:r>
          </w:p>
        </w:tc>
        <w:tc>
          <w:tcPr>
            <w:tcW w:w="2860" w:type="dxa"/>
            <w:tcBorders>
              <w:bottom w:val="single" w:sz="4" w:space="0" w:color="auto"/>
            </w:tcBorders>
          </w:tcPr>
          <w:p w14:paraId="6DE9D772" w14:textId="77777777" w:rsidR="00F92A91" w:rsidRPr="00341B41" w:rsidRDefault="00F92A91" w:rsidP="00403C76">
            <w:pPr>
              <w:spacing w:before="100" w:beforeAutospacing="1" w:after="100" w:afterAutospacing="1"/>
              <w:jc w:val="center"/>
              <w:rPr>
                <w:rFonts w:ascii="Times New Roman" w:hAnsi="Times New Roman" w:cs="Times New Roman"/>
              </w:rPr>
            </w:pPr>
            <w:r w:rsidRPr="00341B41">
              <w:rPr>
                <w:rFonts w:ascii="Times New Roman" w:hAnsi="Times New Roman" w:cs="Times New Roman"/>
              </w:rPr>
              <w:t>44.44% (5.95)</w:t>
            </w:r>
          </w:p>
        </w:tc>
      </w:tr>
    </w:tbl>
    <w:p w14:paraId="40E4A46D" w14:textId="77777777" w:rsidR="00F92A91" w:rsidRPr="00341B41" w:rsidRDefault="00F92A91" w:rsidP="00F92A91">
      <w:pPr>
        <w:rPr>
          <w:szCs w:val="24"/>
        </w:rPr>
      </w:pPr>
    </w:p>
    <w:p w14:paraId="3DA7CB88" w14:textId="7148F774" w:rsidR="005B47BD" w:rsidRPr="00341B41" w:rsidRDefault="001728E3" w:rsidP="00F92A91">
      <w:pPr>
        <w:ind w:firstLine="720"/>
      </w:pPr>
      <w:r w:rsidRPr="00341B41">
        <w:lastRenderedPageBreak/>
        <w:t xml:space="preserve">Having refined the test materials to create a set of trials that could reliably distinguish </w:t>
      </w:r>
      <w:r w:rsidR="0029330F" w:rsidRPr="00341B41">
        <w:t>experienced</w:t>
      </w:r>
      <w:r w:rsidRPr="00341B41">
        <w:t xml:space="preserve"> from </w:t>
      </w:r>
      <w:r w:rsidR="00C75E5F" w:rsidRPr="00341B41">
        <w:t>less experienced</w:t>
      </w:r>
      <w:r w:rsidRPr="00341B41">
        <w:t xml:space="preserve"> participants based on their anticipation accuracy, we looked at differences in anticipation accuracy between mirrored and </w:t>
      </w:r>
      <w:proofErr w:type="spellStart"/>
      <w:r w:rsidRPr="00341B41">
        <w:t>unmirrored</w:t>
      </w:r>
      <w:proofErr w:type="spellEnd"/>
      <w:r w:rsidRPr="00341B41">
        <w:t xml:space="preserve"> trials. With chance level set at 50% accuracy, a two-way mixed ANOVA showed there to be a significant main effect of expertise, </w:t>
      </w:r>
      <w:r w:rsidRPr="00341B41">
        <w:rPr>
          <w:i/>
        </w:rPr>
        <w:t>F</w:t>
      </w:r>
      <w:r w:rsidRPr="00341B41">
        <w:t xml:space="preserve"> (1, 31) = 26.94, </w:t>
      </w:r>
      <w:r w:rsidRPr="00341B41">
        <w:rPr>
          <w:i/>
        </w:rPr>
        <w:t xml:space="preserve">p </w:t>
      </w:r>
      <w:r w:rsidRPr="00341B41">
        <w:t xml:space="preserve">&lt; .001, </w:t>
      </w:r>
      <w:r w:rsidRPr="00341B41">
        <w:rPr>
          <w:bCs/>
          <w:i/>
          <w:color w:val="1A1A1A"/>
          <w:lang w:val="en-US"/>
        </w:rPr>
        <w:t>η</w:t>
      </w:r>
      <w:r w:rsidRPr="00341B41">
        <w:rPr>
          <w:bCs/>
          <w:i/>
          <w:color w:val="1A1A1A"/>
          <w:vertAlign w:val="subscript"/>
          <w:lang w:val="en-US"/>
        </w:rPr>
        <w:t>p</w:t>
      </w:r>
      <w:r w:rsidRPr="00341B41">
        <w:rPr>
          <w:bCs/>
          <w:i/>
          <w:color w:val="1A1A1A"/>
          <w:vertAlign w:val="superscript"/>
          <w:lang w:val="en-US"/>
        </w:rPr>
        <w:t>2</w:t>
      </w:r>
      <w:r w:rsidRPr="00341B41">
        <w:rPr>
          <w:bCs/>
          <w:color w:val="1A1A1A"/>
          <w:lang w:val="en-US"/>
        </w:rPr>
        <w:t xml:space="preserve"> = 0.47</w:t>
      </w:r>
      <w:r w:rsidRPr="00341B41">
        <w:t xml:space="preserve">, with </w:t>
      </w:r>
      <w:r w:rsidR="0029330F" w:rsidRPr="00341B41">
        <w:t>experienced</w:t>
      </w:r>
      <w:r w:rsidRPr="00341B41">
        <w:t xml:space="preserve"> participants being significantly more accurate (mean = 61.29%, 95% CI = 56.99% - 65.59%) than </w:t>
      </w:r>
      <w:r w:rsidR="00C75E5F" w:rsidRPr="00341B41">
        <w:t>less experienced</w:t>
      </w:r>
      <w:r w:rsidRPr="00341B41">
        <w:t xml:space="preserve"> participants (mean = 46.04%, 95% CI = 41.87% - 50.21%). There was no main effect of mirroring; </w:t>
      </w:r>
      <w:r w:rsidRPr="00341B41">
        <w:rPr>
          <w:i/>
        </w:rPr>
        <w:t>F</w:t>
      </w:r>
      <w:r w:rsidRPr="00341B41">
        <w:t xml:space="preserve"> (1, 31) = 0.02, </w:t>
      </w:r>
      <w:r w:rsidRPr="00341B41">
        <w:rPr>
          <w:i/>
        </w:rPr>
        <w:t>p</w:t>
      </w:r>
      <w:r w:rsidRPr="00341B41">
        <w:t xml:space="preserve"> = .89, </w:t>
      </w:r>
      <w:r w:rsidRPr="00341B41">
        <w:rPr>
          <w:bCs/>
          <w:i/>
          <w:color w:val="1A1A1A"/>
          <w:lang w:val="en-US"/>
        </w:rPr>
        <w:t>η</w:t>
      </w:r>
      <w:r w:rsidRPr="00341B41">
        <w:rPr>
          <w:bCs/>
          <w:i/>
          <w:color w:val="1A1A1A"/>
          <w:vertAlign w:val="subscript"/>
          <w:lang w:val="en-US"/>
        </w:rPr>
        <w:t>p</w:t>
      </w:r>
      <w:r w:rsidRPr="00341B41">
        <w:rPr>
          <w:bCs/>
          <w:i/>
          <w:color w:val="1A1A1A"/>
          <w:vertAlign w:val="superscript"/>
          <w:lang w:val="en-US"/>
        </w:rPr>
        <w:t>2</w:t>
      </w:r>
      <w:r w:rsidRPr="00341B41">
        <w:rPr>
          <w:bCs/>
          <w:i/>
          <w:color w:val="1A1A1A"/>
          <w:lang w:val="en-US"/>
        </w:rPr>
        <w:t xml:space="preserve"> </w:t>
      </w:r>
      <w:r w:rsidRPr="00341B41">
        <w:rPr>
          <w:bCs/>
          <w:color w:val="1A1A1A"/>
          <w:lang w:val="en-US"/>
        </w:rPr>
        <w:t>&lt; 0.01</w:t>
      </w:r>
      <w:r w:rsidRPr="00341B41">
        <w:t xml:space="preserve"> nor was there a significant group X mirroring interaction; </w:t>
      </w:r>
      <w:r w:rsidRPr="00341B41">
        <w:rPr>
          <w:i/>
        </w:rPr>
        <w:t xml:space="preserve">F </w:t>
      </w:r>
      <w:r w:rsidRPr="00341B41">
        <w:t xml:space="preserve">(1, 31) = 0.77, </w:t>
      </w:r>
      <w:r w:rsidRPr="00341B41">
        <w:rPr>
          <w:i/>
        </w:rPr>
        <w:t xml:space="preserve">p </w:t>
      </w:r>
      <w:r w:rsidRPr="00341B41">
        <w:t xml:space="preserve">= .39, </w:t>
      </w:r>
      <w:r w:rsidRPr="00341B41">
        <w:rPr>
          <w:bCs/>
          <w:i/>
          <w:color w:val="1A1A1A"/>
          <w:lang w:val="en-US"/>
        </w:rPr>
        <w:t>η</w:t>
      </w:r>
      <w:r w:rsidRPr="00341B41">
        <w:rPr>
          <w:bCs/>
          <w:i/>
          <w:color w:val="1A1A1A"/>
          <w:vertAlign w:val="subscript"/>
          <w:lang w:val="en-US"/>
        </w:rPr>
        <w:t>p</w:t>
      </w:r>
      <w:r w:rsidRPr="00341B41">
        <w:rPr>
          <w:bCs/>
          <w:i/>
          <w:color w:val="1A1A1A"/>
          <w:vertAlign w:val="superscript"/>
          <w:lang w:val="en-US"/>
        </w:rPr>
        <w:t>2</w:t>
      </w:r>
      <w:r w:rsidRPr="00341B41">
        <w:rPr>
          <w:bCs/>
          <w:i/>
          <w:color w:val="1A1A1A"/>
          <w:lang w:val="en-US"/>
        </w:rPr>
        <w:t xml:space="preserve"> </w:t>
      </w:r>
      <w:r w:rsidRPr="00341B41">
        <w:rPr>
          <w:bCs/>
          <w:color w:val="1A1A1A"/>
          <w:lang w:val="en-US"/>
        </w:rPr>
        <w:t>= 0.02</w:t>
      </w:r>
      <w:r w:rsidRPr="00341B41">
        <w:t>.</w:t>
      </w:r>
      <w:r w:rsidR="00670497" w:rsidRPr="00341B41">
        <w:t xml:space="preserve"> </w:t>
      </w:r>
      <w:r w:rsidRPr="00341B41">
        <w:t>Note that the analysis was also run on just the second half of the dataset, producing the same results.</w:t>
      </w:r>
      <w:r w:rsidR="00100EED" w:rsidRPr="00341B41">
        <w:t xml:space="preserve"> This shows that the results of mirroring were consistent across both halves of the dataset, suggesting internal consistency with regards to the effect of mirroring.</w:t>
      </w:r>
    </w:p>
    <w:p w14:paraId="1914E084" w14:textId="3DE833D8" w:rsidR="006418E7" w:rsidRPr="00341B41" w:rsidRDefault="006418E7" w:rsidP="006418E7">
      <w:pPr>
        <w:pStyle w:val="Heading2"/>
      </w:pPr>
      <w:bookmarkStart w:id="55" w:name="_Toc486260863"/>
      <w:r w:rsidRPr="00341B41">
        <w:t>2.7.</w:t>
      </w:r>
      <w:r w:rsidRPr="00341B41">
        <w:tab/>
        <w:t>Experiment 2 – Discussion</w:t>
      </w:r>
      <w:bookmarkEnd w:id="55"/>
    </w:p>
    <w:p w14:paraId="758ABEEE" w14:textId="5FC0FEF3" w:rsidR="006418E7" w:rsidRPr="00341B41" w:rsidRDefault="006418E7" w:rsidP="006418E7">
      <w:r w:rsidRPr="00341B41">
        <w:t xml:space="preserve">Experiment 2 used a temporal occlusion paradigm to test anticipation skill in a group of experienced tennis players and </w:t>
      </w:r>
      <w:r w:rsidR="0041391E" w:rsidRPr="00341B41">
        <w:t>less experienced</w:t>
      </w:r>
      <w:r w:rsidRPr="00341B41">
        <w:t xml:space="preserve"> novices, with the occlusion point set 40ms before racket-ball contact. In contrast with other research </w:t>
      </w:r>
      <w:r w:rsidRPr="00341B41">
        <w:fldChar w:fldCharType="begin" w:fldLock="1"/>
      </w:r>
      <w:r w:rsidRPr="00341B41">
        <w:instrText>ADDIN CSL_CITATION { "citationItems" : [ { "id" : "ITEM-1", "itemData" : { "DOI" : "10.3758/APP", "author" : [ { "dropping-particle" : "", "family" : "Hagemann", "given" : "Norbert", "non-dropping-particle" : "", "parse-names" : false, "suffix" : "" } ], "container-title" : "Attention, Perception and Psychophysics", "id" : "ITEM-1", "issue" : "7", "issued" : { "date-parts" : [ [ "2009" ] ] }, "page" : "1641-1648", "title" : "The advantage of being left-handed in interactive sports", "type" : "article-journal", "volume" : "71" }, "uris" : [ "http://www.mendeley.com/documents/?uuid=eb1991d5-2f75-4fdd-b763-68ca70e09ada" ] }, { "id" : "ITEM-2",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"ITEM-2",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"id" : "ITEM-3", "itemData" : { "DOI" : "10.1016/j.humov.2015.01.018", "ISSN" : "01679457", "author" : [ { "dropping-particle" : "", "family" : "Loffing", "given" : "Florian", "non-dropping-particle" : "", "parse-names" : false, "suffix" : "" }, { "dropping-particle" : "", "family" : "Hagemann", "given" : "Norbert", "non-dropping-particle" : "", "parse-names" : false, "suffix" : "" }, { "dropping-particle" : "", "family" : "Schorer", "given" : "J\u00f6rg", "non-dropping-particle" : "", "parse-names" : false, "suffix" : "" }, { "dropping-particle" : "", "family" : "Baker", "given" : "Joseph", "non-dropping-particle" : "", "parse-names" : false, "suffix" : "" } ], "container-title" : "Human Movement Science", "id" : "ITEM-3", "issued" : { "date-parts" : [ [ "2015" ] ] }, "page" : "410-421", "publisher" : "Elsevier B.V.", "title" : "Skilled players\u2019 and novices\u2019 difficulty anticipating left- vs. right-handed opponents\u2019 action intentions varies across different points in time", "type" : "article-journal", "volume" : "40" }, "uris" : [ "http://www.mendeley.com/documents/?uuid=5e1fa130-9272-4e47-b586-712e2e812099" ] } ], "mendeley" : { "formattedCitation" : "(Hagemann, 2009; Loffing et al., 2015, 2012)", "plainTextFormattedCitation" : "(Hagemann, 2009; Loffing et al., 2015, 2012)", "previouslyFormattedCitation" : "(Hagemann, 2009; Loffing et al., 2015, 2012)" }, "properties" : { "noteIndex" : 0 }, "schema" : "https://github.com/citation-style-language/schema/raw/master/csl-citation.json" }</w:instrText>
      </w:r>
      <w:r w:rsidRPr="00341B41">
        <w:fldChar w:fldCharType="separate"/>
      </w:r>
      <w:r w:rsidRPr="00341B41">
        <w:rPr>
          <w:noProof/>
        </w:rPr>
        <w:t>(Hagemann, 2009; Loffing et al., 2015, 2012)</w:t>
      </w:r>
      <w:r w:rsidRPr="00341B41">
        <w:fldChar w:fldCharType="end"/>
      </w:r>
      <w:r w:rsidRPr="00341B41">
        <w:t xml:space="preserve">, no effect of mirroring on anticipation accuracy of tennis groundstrokes was found for either group. </w:t>
      </w:r>
    </w:p>
    <w:p w14:paraId="5F485CDB" w14:textId="30B33A70" w:rsidR="006418E7" w:rsidRPr="00341B41" w:rsidRDefault="006418E7" w:rsidP="006418E7">
      <w:pPr>
        <w:ind w:firstLine="720"/>
      </w:pPr>
      <w:r w:rsidRPr="00341B41">
        <w:t xml:space="preserve">The </w:t>
      </w:r>
      <w:r w:rsidR="00873A60" w:rsidRPr="00341B41">
        <w:t>less experienced</w:t>
      </w:r>
      <w:r w:rsidRPr="00341B41">
        <w:t xml:space="preserve"> group performed at chance level, suggesting they were unable to extract any meaningful information from the video with which to anticipate. Therefore, it is not surprising that mirroring did not disrupt their anticipation performance. It is less clear why there was no effect of mirroring in the </w:t>
      </w:r>
      <w:r w:rsidR="0029330F" w:rsidRPr="00341B41">
        <w:t>experienced</w:t>
      </w:r>
      <w:r w:rsidRPr="00341B41">
        <w:t xml:space="preserve"> participants. </w:t>
      </w:r>
    </w:p>
    <w:p w14:paraId="51F5FDC1" w14:textId="6063DA42" w:rsidR="006418E7" w:rsidRPr="00341B41" w:rsidRDefault="006418E7" w:rsidP="006418E7">
      <w:pPr>
        <w:ind w:firstLine="720"/>
      </w:pPr>
      <w:r w:rsidRPr="00341B41">
        <w:lastRenderedPageBreak/>
        <w:t xml:space="preserve">A few methodological differences between this study and others should be noted. Firstly, in studying volleyball, where mirroring has been shown to affect </w:t>
      </w:r>
      <w:r w:rsidR="00FE7C5C" w:rsidRPr="00341B41">
        <w:t>experienced</w:t>
      </w:r>
      <w:r w:rsidRPr="00341B41">
        <w:t xml:space="preserve"> players, the authors presented arguably more complex stimuli than presented here </w:t>
      </w:r>
      <w:r w:rsidRPr="00341B41">
        <w:fldChar w:fldCharType="begin" w:fldLock="1"/>
      </w:r>
      <w:r w:rsidRPr="00341B41">
        <w:instrText>ADDIN CSL_CITATION { "citationItems" : [ { "id" : "ITEM-1", "itemData" : { "DOI" : "10.1016/j.humov.2015.01.018", "ISSN" : "01679457", "author" : [ { "dropping-particle" : "", "family" : "Loffing", "given" : "Florian", "non-dropping-particle" : "", "parse-names" : false, "suffix" : "" }, { "dropping-particle" : "", "family" : "Hagemann", "given" : "Norbert", "non-dropping-particle" : "", "parse-names" : false, "suffix" : "" }, { "dropping-particle" : "", "family" : "Schorer", "given" : "J\u00f6rg", "non-dropping-particle" : "", "parse-names" : false, "suffix" : "" }, { "dropping-particle" : "", "family" : "Baker", "given" : "Joseph", "non-dropping-particle" : "", "parse-names" : false, "suffix" : "" } ], "container-title" : "Human Movement Science", "id" : "ITEM-1", "issued" : { "date-parts" : [ [ "2015" ] ] }, "page" : "410-421", "publisher" : "Elsevier B.V.", "title" : "Skilled players\u2019 and novices\u2019 difficulty anticipating left- vs. right-handed opponents\u2019 action intentions varies across different points in time", "type" : "article-journal", "volume" : "40" }, "uris" : [ "http://www.mendeley.com/documents/?uuid=5e1fa130-9272-4e47-b586-712e2e812099" ] } ], "mendeley" : { "formattedCitation" : "(Loffing et al., 2015)", "plainTextFormattedCitation" : "(Loffing et al., 2015)", "previouslyFormattedCitation" : "(Loffing et al., 2015)" }, "properties" : { "noteIndex" : 0 }, "schema" : "https://github.com/citation-style-language/schema/raw/master/csl-citation.json" }</w:instrText>
      </w:r>
      <w:r w:rsidRPr="00341B41">
        <w:fldChar w:fldCharType="separate"/>
      </w:r>
      <w:r w:rsidRPr="00341B41">
        <w:rPr>
          <w:noProof/>
        </w:rPr>
        <w:t>(Loffing et al., 2015)</w:t>
      </w:r>
      <w:r w:rsidRPr="00341B41">
        <w:fldChar w:fldCharType="end"/>
      </w:r>
      <w:r w:rsidR="00FE7C5C" w:rsidRPr="00341B41">
        <w:t>. Participants viewed stimuli</w:t>
      </w:r>
      <w:r w:rsidRPr="00341B41">
        <w:t xml:space="preserve"> from the point of view of an opposing defender at the back of the court, and the video consisted of two attacking players, and two other defending players. Due to the multiple players present on court in the volleyball study, experts may have been recognizing patterns in the layout of the other players to anticipate, which is likely to be reliant on the perceptual frequency of such layouts </w:t>
      </w:r>
      <w:r w:rsidRPr="00341B41">
        <w:fldChar w:fldCharType="begin" w:fldLock="1"/>
      </w:r>
      <w:r w:rsidRPr="00341B41">
        <w:instrText>ADDIN CSL_CITATION { "citationItems" : [ { "id" : "ITEM-1", "itemData" : { "DOI" : "10.1002/acp", "author" : [ { "dropping-particle" : "", "family" : "North", "given" : "JS", "non-dropping-particle" : "", "parse-names" : false, "suffix" : "" }, { "dropping-particle" : "", "family" : "Williams", "given" : "Andrew Mark", "non-dropping-particle" : "", "parse-names" : false, "suffix" : "" }, { "dropping-particle" : "", "family" : "Hodges", "given" : "Nicola J", "non-dropping-particle" : "", "parse-names" : false, "suffix" : "" }, { "dropping-particle" : "", "family" : "Ward", "given" : "Paul", "non-dropping-particle" : "", "parse-names" : false, "suffix" : "" }, { "dropping-particle" : "", "family" : "Ericsson", "given" : "K Anders", "non-dropping-particle" : "", "parse-names" : false, "suffix" : "" } ], "container-title" : "Applied Cognitive Psychology", "id" : "ITEM-1", "issue" : "May", "issued" : { "date-parts" : [ [ "2009" ] ] }, "page" : "878-894", "title" : "Perceiving Patterns in Dynamic Action Sequences: Investigating the Processes Underpinning Stimulus Recognition and Anticipation Skill", "type" : "article-journal", "volume" : "894" }, "uris" : [ "http://www.mendeley.com/documents/?uuid=006810bc-618e-4832-8a7c-16d96c3db0e8" ] } ], "mendeley" : { "formattedCitation" : "(J. North, Williams, Hodges, Ward, &amp; Ericsson, 2009)", "manualFormatting" : "(North, Williams, Hodges, Ward, &amp; Ericsson, 2009)", "plainTextFormattedCitation" : "(J. North, Williams, Hodges, Ward, &amp; Ericsson, 2009)", "previouslyFormattedCitation" : "(J. North, Williams, Hodges, Ward, &amp; Ericsson, 2009)" }, "properties" : { "noteIndex" : 0 }, "schema" : "https://github.com/citation-style-language/schema/raw/master/csl-citation.json" }</w:instrText>
      </w:r>
      <w:r w:rsidRPr="00341B41">
        <w:fldChar w:fldCharType="separate"/>
      </w:r>
      <w:r w:rsidRPr="00341B41">
        <w:rPr>
          <w:noProof/>
        </w:rPr>
        <w:t>(North, Williams, Hodges, Ward, &amp; Ericsson, 2009)</w:t>
      </w:r>
      <w:r w:rsidRPr="00341B41">
        <w:fldChar w:fldCharType="end"/>
      </w:r>
      <w:r w:rsidRPr="00341B41">
        <w:t xml:space="preserve">. </w:t>
      </w:r>
    </w:p>
    <w:p w14:paraId="094782D4" w14:textId="70ED9084" w:rsidR="006418E7" w:rsidRPr="00341B41" w:rsidRDefault="006418E7" w:rsidP="006418E7">
      <w:pPr>
        <w:ind w:firstLine="720"/>
      </w:pPr>
      <w:r w:rsidRPr="00341B41">
        <w:t xml:space="preserve">However, using simpler stimuli, the mirroring effect in skilled volleyball players remains </w:t>
      </w:r>
      <w:r w:rsidRPr="00341B41">
        <w:fldChar w:fldCharType="begin" w:fldLock="1"/>
      </w:r>
      <w:r w:rsidRPr="00341B41">
        <w:instrText>ADDIN CSL_CITATION { "citationItems" : [ { "id" : "ITEM-1",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"ITEM-1",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"mendeley" : { "formattedCitation" : "(Loffing et al., 2012)", "plainTextFormattedCitation" : "(Loffing et al., 2012)", "previouslyFormattedCitation" : "(Loffing et al., 2012)" }, "properties" : { "noteIndex" : 0 }, "schema" : "https://github.com/citation-style-language/schema/raw/master/csl-citation.json" }</w:instrText>
      </w:r>
      <w:r w:rsidRPr="00341B41">
        <w:fldChar w:fldCharType="separate"/>
      </w:r>
      <w:r w:rsidRPr="00341B41">
        <w:rPr>
          <w:noProof/>
        </w:rPr>
        <w:t>(Loffing et al., 2012)</w:t>
      </w:r>
      <w:r w:rsidRPr="00341B41">
        <w:fldChar w:fldCharType="end"/>
      </w:r>
      <w:r w:rsidRPr="00341B41">
        <w:t xml:space="preserve">. In </w:t>
      </w:r>
      <w:r w:rsidR="00A2109B" w:rsidRPr="00341B41">
        <w:t>experienced</w:t>
      </w:r>
      <w:r w:rsidRPr="00341B41">
        <w:t xml:space="preserve"> players, the greatest difference in accuracy between mirrored and </w:t>
      </w:r>
      <w:proofErr w:type="spellStart"/>
      <w:r w:rsidRPr="00341B41">
        <w:t>unmirrored</w:t>
      </w:r>
      <w:proofErr w:type="spellEnd"/>
      <w:r w:rsidRPr="00341B41">
        <w:t xml:space="preserve"> shots was at the earliest occlusion point (-160ms). This work used a later occlusion point (-40ms). Whilst it is difficult to compare occlusion points across sports, it may be the case that mirroring only affects expert anticipation at early occlusion levels. </w:t>
      </w:r>
    </w:p>
    <w:p w14:paraId="2FDAA8A4" w14:textId="4CD43C0F" w:rsidR="006418E7" w:rsidRPr="00341B41" w:rsidRDefault="006418E7" w:rsidP="006418E7">
      <w:pPr>
        <w:ind w:firstLine="720"/>
      </w:pPr>
      <w:r w:rsidRPr="00341B41">
        <w:t xml:space="preserve">One study of handedness in tennis anticipation tested the effects of mirroring both a natural right handed player and a natural left handed player </w:t>
      </w:r>
      <w:r w:rsidRPr="00341B41">
        <w:fldChar w:fldCharType="begin" w:fldLock="1"/>
      </w:r>
      <w:r w:rsidRPr="00341B41">
        <w:instrText>ADDIN CSL_CITATION { "citationItems" : [ { "id" : "ITEM-1", "itemData" : { "DOI" : "10.3758/APP", "author" : [ { "dropping-particle" : "", "family" : "Hagemann", "given" : "Norbert", "non-dropping-particle" : "", "parse-names" : false, "suffix" : "" } ], "container-title" : "Attention, Perception and Psychophysics", "id" : "ITEM-1", "issue" : "7", "issued" : { "date-parts" : [ [ "2009" ] ] }, "page" : "1641-1648", "title" : "The advantage of being left-handed in interactive sports", "type" : "article-journal", "volume" : "71" }, "uris" : [ "http://www.mendeley.com/documents/?uuid=eb1991d5-2f75-4fdd-b763-68ca70e09ada" ] } ], "mendeley" : { "formattedCitation" : "(Hagemann, 2009)", "plainTextFormattedCitation" : "(Hagemann, 2009)", "previouslyFormattedCitation" : "(Hagemann, 2009)" }, "properties" : { "noteIndex" : 0 }, "schema" : "https://github.com/citation-style-language/schema/raw/master/csl-citation.json" }</w:instrText>
      </w:r>
      <w:r w:rsidRPr="00341B41">
        <w:fldChar w:fldCharType="separate"/>
      </w:r>
      <w:r w:rsidRPr="00341B41">
        <w:rPr>
          <w:noProof/>
        </w:rPr>
        <w:t>(Hagemann, 2009)</w:t>
      </w:r>
      <w:r w:rsidRPr="00341B41">
        <w:fldChar w:fldCharType="end"/>
      </w:r>
      <w:r w:rsidRPr="00341B41">
        <w:t xml:space="preserve">. </w:t>
      </w:r>
      <w:r w:rsidRPr="00341B41">
        <w:rPr>
          <w:rFonts w:cs="Times New Roman"/>
        </w:rPr>
        <w:t xml:space="preserve">They found a smaller difference in anticipation accuracy between natural left-handed shots and mirrored right-handed shots than between natural right-handed shots and mirrored left-handed shots. Specifically, a naturally presented right-handed player was easier to anticipate than a left-handed player mirrored to create the appearance of a right-handed player. They also found variation in anticipation performance between the four players </w:t>
      </w:r>
      <w:r w:rsidRPr="00341B41">
        <w:rPr>
          <w:rFonts w:cs="Times New Roman"/>
        </w:rPr>
        <w:lastRenderedPageBreak/>
        <w:t xml:space="preserve">being observed, suggesting individual differences in the player’s kinematics can </w:t>
      </w:r>
      <w:r w:rsidR="00B03065" w:rsidRPr="00341B41">
        <w:rPr>
          <w:rFonts w:cs="Times New Roman"/>
        </w:rPr>
        <w:t>affect</w:t>
      </w:r>
      <w:r w:rsidRPr="00341B41">
        <w:rPr>
          <w:rFonts w:cs="Times New Roman"/>
        </w:rPr>
        <w:t xml:space="preserve"> anticipation accuracy.</w:t>
      </w:r>
      <w:r w:rsidRPr="00341B41">
        <w:t xml:space="preserve"> </w:t>
      </w:r>
    </w:p>
    <w:p w14:paraId="463CAECD" w14:textId="77777777" w:rsidR="006418E7" w:rsidRPr="00341B41" w:rsidRDefault="006418E7" w:rsidP="006418E7">
      <w:pPr>
        <w:ind w:firstLine="720"/>
      </w:pPr>
      <w:r w:rsidRPr="00341B41">
        <w:rPr>
          <w:rFonts w:cs="Times New Roman"/>
        </w:rPr>
        <w:t>Because two natural left-handed players were observed in the present study, an effect of handedness may be smaller than if two natural right-handed players were used. This would suggest different characteristics in the kinematics of left- and right-handed players, rather than the two being essentially mirror images of each other. To address this issue, kinematic analysis on a large sample of left- and right-handed players would need to be performed.</w:t>
      </w:r>
      <w:r w:rsidRPr="00341B41">
        <w:t xml:space="preserve"> </w:t>
      </w:r>
    </w:p>
    <w:p w14:paraId="7D137EAF" w14:textId="027C1DEF" w:rsidR="006418E7" w:rsidRPr="00341B41" w:rsidRDefault="006418E7" w:rsidP="006418E7">
      <w:pPr>
        <w:ind w:firstLine="720"/>
      </w:pPr>
      <w:r w:rsidRPr="00341B41">
        <w:rPr>
          <w:rFonts w:cs="Times New Roman"/>
        </w:rPr>
        <w:t xml:space="preserve">It should be noted that the expertise of the </w:t>
      </w:r>
      <w:r w:rsidR="00240FD1" w:rsidRPr="00341B41">
        <w:rPr>
          <w:rFonts w:cs="Times New Roman"/>
        </w:rPr>
        <w:t>experienced</w:t>
      </w:r>
      <w:r w:rsidRPr="00341B41">
        <w:rPr>
          <w:rFonts w:cs="Times New Roman"/>
        </w:rPr>
        <w:t xml:space="preserve"> group in this study may not be as high as in other studies. The majority of </w:t>
      </w:r>
      <w:r w:rsidR="00240FD1" w:rsidRPr="00341B41">
        <w:rPr>
          <w:rFonts w:cs="Times New Roman"/>
        </w:rPr>
        <w:t>experienced</w:t>
      </w:r>
      <w:r w:rsidRPr="00341B41">
        <w:rPr>
          <w:rFonts w:cs="Times New Roman"/>
        </w:rPr>
        <w:t xml:space="preserve"> participants in this study were recruited from university teams, whilst other work has been able to recruit players from national level leagues who had slightly longer tennis playing experience, in terms of years of play </w:t>
      </w:r>
      <w:r w:rsidRPr="00341B41">
        <w:rPr>
          <w:rFonts w:cs="Times New Roman"/>
        </w:rPr>
        <w:fldChar w:fldCharType="begin" w:fldLock="1"/>
      </w:r>
      <w:r w:rsidRPr="00341B41">
        <w:rPr>
          <w:rFonts w:cs="Times New Roman"/>
        </w:rPr>
        <w:instrText>ADDIN CSL_CITATION { "citationItems" : [ { "id" : "ITEM-1",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"ITEM-1",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"id" : "ITEM-2", "itemData" : { "DOI" : "10.1016/j.humov.2015.01.018", "ISSN" : "01679457", "author" : [ { "dropping-particle" : "", "family" : "Loffing", "given" : "Florian", "non-dropping-particle" : "", "parse-names" : false, "suffix" : "" }, { "dropping-particle" : "", "family" : "Hagemann", "given" : "Norbert", "non-dropping-particle" : "", "parse-names" : false, "suffix" : "" }, { "dropping-particle" : "", "family" : "Schorer", "given" : "J\u00f6rg", "non-dropping-particle" : "", "parse-names" : false, "suffix" : "" }, { "dropping-particle" : "", "family" : "Baker", "given" : "Joseph", "non-dropping-particle" : "", "parse-names" : false, "suffix" : "" } ], "container-title" : "Human Movement Science", "id" : "ITEM-2", "issued" : { "date-parts" : [ [ "2015" ] ] }, "page" : "410-421", "publisher" : "Elsevier B.V.", "title" : "Skilled players\u2019 and novices\u2019 difficulty anticipating left- vs. right-handed opponents\u2019 action intentions varies across different points in time", "type" : "article-journal", "volume" : "40" }, "uris" : [ "http://www.mendeley.com/documents/?uuid=5e1fa130-9272-4e47-b586-712e2e812099" ] }, { "id" : "ITEM-3", "itemData" : { "DOI" : "10.3758/APP", "author" : [ { "dropping-particle" : "", "family" : "Hagemann", "given" : "Norbert", "non-dropping-particle" : "", "parse-names" : false, "suffix" : "" } ], "container-title" : "Attention, Perception and Psychophysics", "id" : "ITEM-3", "issue" : "7", "issued" : { "date-parts" : [ [ "2009" ] ] }, "page" : "1641-1648", "title" : "The advantage of being left-handed in interactive sports", "type" : "article-journal", "volume" : "71" }, "uris" : [ "http://www.mendeley.com/documents/?uuid=eb1991d5-2f75-4fdd-b763-68ca70e09ada" ] } ], "mendeley" : { "formattedCitation" : "(Hagemann, 2009; Loffing et al., 2015, 2012)", "plainTextFormattedCitation" : "(Hagemann, 2009; Loffing et al., 2015, 2012)", "previouslyFormattedCitation" : "(Hagemann, 2009; Loffing et al., 2015, 2012)" }, "properties" : { "noteIndex" : 0 }, "schema" : "https://github.com/citation-style-language/schema/raw/master/csl-citation.json" }</w:instrText>
      </w:r>
      <w:r w:rsidRPr="00341B41">
        <w:rPr>
          <w:rFonts w:cs="Times New Roman"/>
        </w:rPr>
        <w:fldChar w:fldCharType="separate"/>
      </w:r>
      <w:r w:rsidRPr="00341B41">
        <w:rPr>
          <w:rFonts w:cs="Times New Roman"/>
          <w:noProof/>
        </w:rPr>
        <w:t>(Hagemann, 2009; Loffing et al., 2015, 2012)</w:t>
      </w:r>
      <w:r w:rsidRPr="00341B41">
        <w:rPr>
          <w:rFonts w:cs="Times New Roman"/>
        </w:rPr>
        <w:fldChar w:fldCharType="end"/>
      </w:r>
      <w:r w:rsidRPr="00341B41">
        <w:rPr>
          <w:rFonts w:cs="Times New Roman"/>
        </w:rPr>
        <w:t xml:space="preserve">. It could be that perceptual frequency effects only affect players at a very high level of expertise, which the players in the current sample had not achieved. It should be noted though that 6 of the </w:t>
      </w:r>
      <w:r w:rsidR="00240FD1" w:rsidRPr="00341B41">
        <w:rPr>
          <w:rFonts w:cs="Times New Roman"/>
        </w:rPr>
        <w:t>experienced</w:t>
      </w:r>
      <w:r w:rsidRPr="00341B41">
        <w:rPr>
          <w:rFonts w:cs="Times New Roman"/>
        </w:rPr>
        <w:t xml:space="preserve"> players in this study were recruited from a national level tournament, and showed no differences from the university players (analysis not reported). Secondly, the sample size used in this study was relatively small, although it is comparable to other studies looking at the effect of mirroring </w:t>
      </w:r>
      <w:r w:rsidRPr="00341B41">
        <w:rPr>
          <w:rFonts w:cs="Times New Roman"/>
        </w:rPr>
        <w:fldChar w:fldCharType="begin" w:fldLock="1"/>
      </w:r>
      <w:r w:rsidRPr="00341B41">
        <w:rPr>
          <w:rFonts w:cs="Times New Roman"/>
        </w:rPr>
        <w:instrText>ADDIN CSL_CITATION { "citationItems" : [ { "id" : "ITEM-1", "itemData" : { "DOI" : "10.3758/s13414-011-0252-1", "ISSN" : "1943-393X", "PMID" : "22147534", "abstract" : "High ball speeds and close distances between competitors require athletes in interactive sports to correctly anticipate an opponent's intentions in order to render appropriate reactions. Although it is considered crucial for successful performance, such skill appears impaired when athletes are confronted with a left-handed opponent, possibly because of athletes' reduced perceptual familiarity with rarely encountered left-handed actions. To test this negative perceptual frequency effect hypothesis, we invited 18 skilled and 18 novice volleyball players to predict shot directions of left- and right-handed attacks in a video-based visual anticipation task. In accordance with our predictions, and with recent reports on laterality differences in visual perception, the outcome of left-handed actions was significantly less accurately predicted than the outcome of right-handed attacks. In addition, this left-right bias was most distinct when predictions had to be based on preimpact (i.e., before hand-ball contact) kinematic cues, and skilled players were generally more affected by the opponents' handedness than were novices. The study's findings corroborate the assumption that skilled visual perception is attuned to more frequently encountered actions.", "author" : [ { "dropping-particle" : "", "family" : "Loffing", "given" : "Florian", "non-dropping-particle" : "", "parse-names" : false, "suffix" : "" }, { "dropping-particle" : "", "family" : "Schorer", "given" : "J\u00f6rg", "non-dropping-particle" : "", "parse-names" : false, "suffix" : "" }, { "dropping-particle" : "", "family" : "Hagemann", "given" : "Norbert", "non-dropping-particle" : "", "parse-names" : false, "suffix" : "" }, { "dropping-particle" : "", "family" : "Baker", "given" : "Joseph", "non-dropping-particle" : "", "parse-names" : false, "suffix" : "" } ], "container-title" : "Attention, Perception and Psychophysics", "id" : "ITEM-1", "issue" : "2", "issued" : { "date-parts" : [ [ "2012" ] ] }, "page" : "446-53", "title" : "On the advantage of being left-handed in volleyball: further evidence of the specificity of skilled visual perception.", "type" : "article-journal", "volume" : "74" }, "uris" : [ "http://www.mendeley.com/documents/?uuid=fcd9fa5c-ab1f-4db2-b460-d8c489f1bbcd" ] } ], "mendeley" : { "formattedCitation" : "(Loffing et al., 2012)", "plainTextFormattedCitation" : "(Loffing et al., 2012)", "previouslyFormattedCitation" : "(Loffing et al., 2012)" }, "properties" : { "noteIndex" : 0 }, "schema" : "https://github.com/citation-style-language/schema/raw/master/csl-citation.json" }</w:instrText>
      </w:r>
      <w:r w:rsidRPr="00341B41">
        <w:rPr>
          <w:rFonts w:cs="Times New Roman"/>
        </w:rPr>
        <w:fldChar w:fldCharType="separate"/>
      </w:r>
      <w:r w:rsidRPr="00341B41">
        <w:rPr>
          <w:rFonts w:cs="Times New Roman"/>
          <w:noProof/>
        </w:rPr>
        <w:t>(Loffing et al., 2012)</w:t>
      </w:r>
      <w:r w:rsidRPr="00341B41">
        <w:rPr>
          <w:rFonts w:cs="Times New Roman"/>
        </w:rPr>
        <w:fldChar w:fldCharType="end"/>
      </w:r>
      <w:r w:rsidRPr="00341B41">
        <w:rPr>
          <w:rFonts w:cs="Times New Roman"/>
        </w:rPr>
        <w:t>.</w:t>
      </w:r>
      <w:r w:rsidRPr="00341B41">
        <w:t xml:space="preserve"> </w:t>
      </w:r>
    </w:p>
    <w:p w14:paraId="5F384965" w14:textId="77777777" w:rsidR="006418E7" w:rsidRPr="00341B41" w:rsidRDefault="006418E7" w:rsidP="006418E7">
      <w:pPr>
        <w:ind w:firstLine="720"/>
      </w:pPr>
      <w:r w:rsidRPr="00341B41">
        <w:t xml:space="preserve">A limitation of the mirroring approach to study the effect of handedness is that it does not preserve any kinematic differences that may exist in the stroke play of genuinely left and </w:t>
      </w:r>
      <w:proofErr w:type="gramStart"/>
      <w:r w:rsidRPr="00341B41">
        <w:t>right handed</w:t>
      </w:r>
      <w:proofErr w:type="gramEnd"/>
      <w:r w:rsidRPr="00341B41">
        <w:t xml:space="preserve"> players. It is also possible that anticipation based on strategic </w:t>
      </w:r>
      <w:r w:rsidRPr="00341B41">
        <w:lastRenderedPageBreak/>
        <w:t xml:space="preserve">situations may differ for left-handers and right-handers. These issues will need to be addressed in studies that take samples of left-handers and right-handers to form their video stimuli. </w:t>
      </w:r>
    </w:p>
    <w:p w14:paraId="5FCD2649" w14:textId="3EEE2B79" w:rsidR="006418E7" w:rsidRPr="00341B41" w:rsidRDefault="006418E7" w:rsidP="006418E7">
      <w:pPr>
        <w:ind w:firstLine="720"/>
      </w:pPr>
      <w:r w:rsidRPr="00341B41">
        <w:rPr>
          <w:rFonts w:cs="Times New Roman"/>
        </w:rPr>
        <w:t xml:space="preserve">Because there were no changes in the kinematic trace between the natural and mirrored trials, and there were no changes in anticipation accuracy between the two conditions, the results of this experiment suggest that experienced players were able to access early kinematic cues in the opponent’s body movements to anticipate, and this ability as no affected by the visual change induced by mirroring. The implication of this is that </w:t>
      </w:r>
      <w:r w:rsidR="004B6B7C" w:rsidRPr="00341B41">
        <w:rPr>
          <w:rFonts w:cs="Times New Roman"/>
        </w:rPr>
        <w:t>experienced</w:t>
      </w:r>
      <w:r w:rsidRPr="00341B41">
        <w:rPr>
          <w:rFonts w:cs="Times New Roman"/>
        </w:rPr>
        <w:t xml:space="preserve"> players may be able to process both the mirrored and the </w:t>
      </w:r>
      <w:proofErr w:type="spellStart"/>
      <w:r w:rsidRPr="00341B41">
        <w:rPr>
          <w:rFonts w:cs="Times New Roman"/>
        </w:rPr>
        <w:t>unmirrored</w:t>
      </w:r>
      <w:proofErr w:type="spellEnd"/>
      <w:r w:rsidRPr="00341B41">
        <w:rPr>
          <w:rFonts w:cs="Times New Roman"/>
        </w:rPr>
        <w:t xml:space="preserve"> shots in the same way as in both cases the goal of the action being anticipated is the same. This is supported by TMS evidence that shows the activation of the motor system during action observation is effector independent </w:t>
      </w:r>
      <w:r w:rsidRPr="00341B41">
        <w:rPr>
          <w:rFonts w:cs="Times New Roman"/>
        </w:rPr>
        <w:fldChar w:fldCharType="begin" w:fldLock="1"/>
      </w:r>
      <w:r w:rsidRPr="00341B41">
        <w:rPr>
          <w:rFonts w:cs="Times New Roman"/>
        </w:rPr>
        <w:instrText>ADDIN CSL_CITATION { "citationItems" : [ { "id" : "ITEM-1", "itemData" : { "ISBN" : "1662-5161 (Electronic)\\r1662-5161 (Linking)", "ISSN" : "1662-5161", "PMID" : "23408666", "abstract" : "The idea of motor resonance was born at the time that it was demonstrated that cortical and spinal pathways of the motor system are specifically activated during both action-observation and execution. What is not known is if the human action observation-execution matching system simulates actions through motor representations specifically attuned to the laterality of the observed effectors (i.e., effector-dependent representations) or through abstract motor representations unconnected to the observed effector (i.e., effector-independent representations). To answer that question we need to know how the information necessary for motor resonance is represented or integrated within the representation of an effector. Transcranial magnetic stimulation (TMS)-induced motor evoked potentials (MEPs) were thus recorded from the dominant and non-dominant hands of left- and right-handed participants while they observed a left- or a right-handed model grasping an object. The anatomical correspondence between the effector being observed and the observer's effector classically reported in the literature was confirmed by the MEP response in the dominant hand of participants observing models with their same hand preference. This effect was found in both left- as well as in right-handers. When a broader spectrum of options, such as actions performed by a model with a different hand preference, was instead considered, that correspondence disappeared. Motor resonance was noted in the observer's dominant effector regardless of the laterality of the hand being observed. This would indicate that there is a more sophisticated mechanism which works to convert someone else's pattern of movement into the observer's optimal motor commands and that effector-independent representations specifically modulate motor resonance.", "author" : [ { "dropping-particle" : "", "family" : "Sartori", "given" : "Luisa", "non-dropping-particle" : "", "parse-names" : false, "suffix" : "" }, { "dropping-particle" : "", "family" : "Begliomini", "given" : "Chiara", "non-dropping-particle" : "", "parse-names" : false, "suffix" : "" }, { "dropping-particle" : "", "family" : "Castiello", "given" : "Umberto", "non-dropping-particle" : "", "parse-names" : false, "suffix" : "" } ], "container-title" : "Frontiers in Human Neuroscience", "id" : "ITEM-1", "issue" : "February", "issued" : { "date-parts" : [ [ "2013" ] ] }, "page" : "33", "title" : "Motor resonance in left- and right-handers: evidence for effector-independent motor representations.", "type" : "article-journal", "volume" : "7" }, "uris" : [ "http://www.mendeley.com/documents/?uuid=c914641a-d4ae-4015-9087-0183b11a40c4" ] } ], "mendeley" : { "formattedCitation" : "(Sartori, Begliomini, &amp; Castiello, 2013)", "plainTextFormattedCitation" : "(Sartori, Begliomini, &amp; Castiello, 2013)", "previouslyFormattedCitation" : "(Sartori, Begliomini, &amp; Castiello, 2013)" }, "properties" : { "noteIndex" : 0 }, "schema" : "https://github.com/citation-style-language/schema/raw/master/csl-citation.json" }</w:instrText>
      </w:r>
      <w:r w:rsidRPr="00341B41">
        <w:rPr>
          <w:rFonts w:cs="Times New Roman"/>
        </w:rPr>
        <w:fldChar w:fldCharType="separate"/>
      </w:r>
      <w:r w:rsidRPr="00341B41">
        <w:rPr>
          <w:rFonts w:cs="Times New Roman"/>
          <w:noProof/>
        </w:rPr>
        <w:t>(Sartori, Begliomini, &amp; Castiello, 2013)</w:t>
      </w:r>
      <w:r w:rsidRPr="00341B41">
        <w:rPr>
          <w:rFonts w:cs="Times New Roman"/>
        </w:rPr>
        <w:fldChar w:fldCharType="end"/>
      </w:r>
      <w:r w:rsidRPr="00341B41">
        <w:rPr>
          <w:rFonts w:cs="Times New Roman"/>
        </w:rPr>
        <w:t xml:space="preserve">. This study showed that during action observation of hand actions, participant’s activated motor representations of their dominant hand, regardless of the hand used by the observed model. This is likely because participants have a better representation of how to perform the action with their dominant hand. </w:t>
      </w:r>
      <w:r w:rsidRPr="00341B41">
        <w:t xml:space="preserve"> </w:t>
      </w:r>
    </w:p>
    <w:p w14:paraId="6190F7D1" w14:textId="5C429ECD" w:rsidR="006418E7" w:rsidRPr="00341B41" w:rsidRDefault="006418E7" w:rsidP="006418E7">
      <w:pPr>
        <w:ind w:firstLine="720"/>
      </w:pPr>
      <w:r w:rsidRPr="00341B41">
        <w:rPr>
          <w:rFonts w:cs="Times New Roman"/>
        </w:rPr>
        <w:t xml:space="preserve">Only a subset of the trials showed the expected expertise effect. The reasons why not all of the trials showed an expertise effect is unclear. One possible explanation is that the required kinematic cues needed to anticipate a tennis groundstroke were not present in all of the trials. As shown from the in situ studies, anticipation does not occur on every shot </w:t>
      </w:r>
      <w:r w:rsidRPr="00341B41">
        <w:rPr>
          <w:rFonts w:cs="Times New Roman"/>
        </w:rPr>
        <w:fldChar w:fldCharType="begin" w:fldLock="1"/>
      </w:r>
      <w:r w:rsidRPr="00341B41">
        <w:rPr>
          <w:rFonts w:cs="Times New Roman"/>
        </w:rPr>
        <w:instrText>ADDIN CSL_CITATION { "citationItems" : [ { "id" : "ITEM-1", "itemData" : { "DOI" : "10.1080/02640414.2012.759658", "ISSN" : "1466-447X", "PMID" : "23362917", "abstract" : "We quantify the nature and frequency of anticipation behaviours in professional tennis using video coding of incidents where the time delay between the opponent's stroke and the reaction of the player were recorded. We argue that anticipation is based on uncertain information and should lead in some situations to erroneous decisions. We identified the transition between reaction (with 100% accuracy in the selection of where the ball is played on the court) and anticipation (with less than 100% accuracy) as being 140-160 ms after ball contact. Anticipation behaviours occurred on between 6.14% and 13.42% of the coded situations. These anticipation behaviours appeared almost exclusively in 'unfavourable' situations, where the opponent had a significant tactical advantage, with the type of playing surface having only a limited effect. Moreover, the decrease in accuracy with shorter response times is not monotonic, with an increase in response accuracy being observed for times shorter than 120 ms before ball contact. We propose that very early anticipation behaviours occur when players use significant context-specific information before the opponent's stroke. When such information is not available, players produce anticipation behaviours that are closer to the moment of ball-racket contact using information that is more likely to be based on the opponent's preparation of the stroke. This study opens new directions for research focusing on the testing and training of anticipation in fast ball sports.", "author" : [ { "dropping-particle" : "", "family" : "Triolet", "given" : "Celine", "non-dropping-particle" : "", "parse-names" : false, "suffix" : "" }, { "dropping-particle" : "", "family" : "Benguigui", "given" : "Nicolas", "non-dropping-particle" : "", "parse-names" : false, "suffix" : "" }, { "dropping-particle" : "", "family" : "Runigo", "given" : "Cyrille", "non-dropping-particle" : "Le", "parse-names" : false, "suffix" : "" }, { "dropping-particle" : "", "family" : "Williams", "given" : "Andrew Mark", "non-dropping-particle" : "", "parse-names" : false, "suffix" : "" } ], "container-title" : "Journal of Sports Sciences", "id" : "ITEM-1", "issue" : "8", "issued" : { "date-parts" : [ [ "2013" ] ] }, "page" : "820-30", "title" : "Quantifying the nature of anticipation in professional tennis.", "type" : "article-journal", "volume" : "31" }, "uris" : [ "http://www.mendeley.com/documents/?uuid=ddd0f10b-538d-43f3-bae4-250d7fbe76d8" ] } ], "mendeley" : { "formattedCitation" : "(Triolet et al., 2013)", "plainTextFormattedCitation" : "(Triolet et al., 2013)", "previouslyFormattedCitation" : "(Triolet et al., 2013)" }, "properties" : { "noteIndex" : 0 }, "schema" : "https://github.com/citation-style-language/schema/raw/master/csl-citation.json" }</w:instrText>
      </w:r>
      <w:r w:rsidRPr="00341B41">
        <w:rPr>
          <w:rFonts w:cs="Times New Roman"/>
        </w:rPr>
        <w:fldChar w:fldCharType="separate"/>
      </w:r>
      <w:r w:rsidRPr="00341B41">
        <w:rPr>
          <w:rFonts w:cs="Times New Roman"/>
          <w:noProof/>
        </w:rPr>
        <w:t>(Triolet et al., 2013)</w:t>
      </w:r>
      <w:r w:rsidRPr="00341B41">
        <w:rPr>
          <w:rFonts w:cs="Times New Roman"/>
        </w:rPr>
        <w:fldChar w:fldCharType="end"/>
      </w:r>
      <w:r w:rsidRPr="00341B41">
        <w:rPr>
          <w:rFonts w:cs="Times New Roman"/>
        </w:rPr>
        <w:t xml:space="preserve">. If there were no useful cues available to the players on some of the trials, no expertise effect would be expected, because the mechanism required for successful anticipation is unavailable. This work is believed to be the first experiment using </w:t>
      </w:r>
      <w:r w:rsidRPr="00341B41">
        <w:rPr>
          <w:rFonts w:cs="Times New Roman"/>
        </w:rPr>
        <w:lastRenderedPageBreak/>
        <w:t>a temporal occlusion paradigm to analyse accuracy rates on a trial-by-trial basis. Therefore, it is unclear if such issues exist in other studies using this methodology, or if it is unique to this dataset.</w:t>
      </w:r>
    </w:p>
    <w:p w14:paraId="3D501616" w14:textId="7DB134AD" w:rsidR="00243674" w:rsidRPr="00341B41" w:rsidRDefault="002C3F02" w:rsidP="00243674">
      <w:r w:rsidRPr="00341B41">
        <w:tab/>
      </w:r>
      <w:r w:rsidR="00243674" w:rsidRPr="00341B41">
        <w:t xml:space="preserve">A number of limitations with the experimental design should be considered. First, the gender distribution of the two groups was uneven, with more female participants in the </w:t>
      </w:r>
      <w:r w:rsidR="005C6252" w:rsidRPr="00341B41">
        <w:t>less experienced</w:t>
      </w:r>
      <w:r w:rsidR="00243674" w:rsidRPr="00341B41">
        <w:t xml:space="preserve"> group and more male participants in the experienced group. This arose due to different demographic make-ups of the groups during recruitment. Furthermore, both players that participants had to anticipate were male, so there is potential for significant differences to arise due to gender differences, rather than expertise differences. Some research has found no differences between unskilled male and female participants in the anticipation of soccer moves made by male players </w:t>
      </w:r>
      <w:r w:rsidR="00243674" w:rsidRPr="00341B41">
        <w:fldChar w:fldCharType="begin" w:fldLock="1"/>
      </w:r>
      <w:r w:rsidR="00243674" w:rsidRPr="00341B41">
        <w:instrText>ADDIN CSL_CITATION { "citationItems" : [ { "id" : "ITEM-1",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"ITEM-1",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"(Wright et al., 2013)", "plainTextFormattedCitation" : "(Wright et al., 2013)", "previouslyFormattedCitation" : "(Wright et al., 2013)" }, "properties" : { "noteIndex" : 0 }, "schema" : "https://github.com/citation-style-language/schema/raw/master/csl-citation.json" }</w:instrText>
      </w:r>
      <w:r w:rsidR="00243674" w:rsidRPr="00341B41">
        <w:fldChar w:fldCharType="separate"/>
      </w:r>
      <w:r w:rsidR="00243674" w:rsidRPr="00341B41">
        <w:rPr>
          <w:noProof/>
        </w:rPr>
        <w:t>(Wright et al., 2013)</w:t>
      </w:r>
      <w:r w:rsidR="00243674" w:rsidRPr="00341B41">
        <w:fldChar w:fldCharType="end"/>
      </w:r>
      <w:r w:rsidR="00243674" w:rsidRPr="00341B41">
        <w:t xml:space="preserve">, suggesting results of the </w:t>
      </w:r>
      <w:r w:rsidR="00992366" w:rsidRPr="00341B41">
        <w:t xml:space="preserve">less </w:t>
      </w:r>
      <w:r w:rsidR="00C256AF" w:rsidRPr="00341B41">
        <w:t>experienced</w:t>
      </w:r>
      <w:r w:rsidR="00243674" w:rsidRPr="00341B41">
        <w:t xml:space="preserve"> group would not have been different if more males participants were used. </w:t>
      </w:r>
    </w:p>
    <w:p w14:paraId="446C2BC6" w14:textId="77777777" w:rsidR="00243674" w:rsidRPr="00341B41" w:rsidRDefault="00243674" w:rsidP="00243674">
      <w:r w:rsidRPr="00341B41">
        <w:tab/>
        <w:t xml:space="preserve">Despite this, there is still an issue of kinematic differences between male and female athletes </w:t>
      </w:r>
      <w:r w:rsidRPr="00341B41">
        <w:fldChar w:fldCharType="begin" w:fldLock="1"/>
      </w:r>
      <w:r w:rsidRPr="00341B41">
        <w:instrText>ADDIN CSL_CITATION { "citationItems" : [ { "id" : "ITEM-1", "itemData" : { "ISBN" : "1303-2968 (Electronic)\\r1303-2968 (Linking)", "ISSN" : "13032968", "PMID" : "24701127", "abstract" : "The rapid rise in female participation in soccer worldwide has not been followed by a corresponding increase in the number of studies biomechanically that target female kicking patterns to determine if differences exist between males and females. The objectives of this study were to examine kinematic instep kicking differences between elite female and male soccer players in dominant and nondominant limbs. Eight elite soccer players, six females and two males, volunteered as subjects in the study. Subjects took a two-step angled approach of 45-60 degrees to a stationary soccer ball positioned between two force platforms and kicked the ball with the instep portion of the foot as hard as possible into netting which was draped from the ceiling. Ball velocity was the dependent variable. We evaluated six additional variables that have previously been shown to be important predictors of instep kicking ball speed. The males generally kicked the ball faster than the females and displayed greater kinematic variables, including maximum toe velocity, ball contact ball velocity, mean toe velocity, mean toe acceleration, and ankle velocity at ball contact, all of which contributed to faster ball speed. There was one exception. One of the elite females kicked faster than the two elite males and demonstrated higher or similar kinematic patterns when compared with the males. Our conclusions were that females do not instep kick the ball as fast as males, but there are exceptions, as our data demonstrates", "author" : [ { "dropping-particle" : "", "family" : "Barfield", "given" : "William Roy", "non-dropping-particle" : "", "parse-names" : false, "suffix" : "" }, { "dropping-particle" : "", "family" : "Kirkendall", "given" : "Donald T.", "non-dropping-particle" : "", "parse-names" : false, "suffix" : "" }, { "dropping-particle" : "", "family" : "Yu", "given" : "Bing", "non-dropping-particle" : "", "parse-names" : false, "suffix" : "" } ], "container-title" : "Journal of Sports Science and Medicine", "id" : "ITEM-1", "issue" : "3", "issued" : { "date-parts" : [ [ "2002" ] ] }, "page" : "72-79", "title" : "Kinematic instep kicking differences between elite female and male soccer players", "type" : "article-journal", "volume" : "1" }, "uris" : [ "http://www.mendeley.com/documents/?uuid=06427790-193a-4e18-af00-4fbc3ec3a339" ] }, { "id" : "ITEM-2", "itemData" : { "DOI" : "10.5812/asjsm.24013", "ISBN" : "2008-000X (Print) 2008-000X (Linking)", "ISSN" : "20087209", "PMID" : "25741413", "abstract" : "BACKGROUND: Fatigue seems to have a significant effect on soccer kick performance. However, the duration of these effects has not been previously investigated. OBJECTIVES: The purpose of the present study was to investigate the duration of the acute effects of fatigue on soccer kick performance in males and females. PATIENTS AND METHODS: Ten male (age: 26.3 +/- 4.9 years, height: 178.1 +/- 5.1 cm, mass: 81.3 +/- 8.1 kg) and ten female (age: 24.4 +/- 4.2 years, height: 169.7 +/- 5.7 cm, mass: 61.8 +/- 5.1 kg) amateur soccer players performed three instep kicks prior to and after running on a treadmill till exhaustion. Three-dimensional kinematics were collected pre- and post-fatigue. RESULTS: Analysis of variance indicated a statistically significant decline in ball speed during the first and the second trial after fatigue (P &lt; 0.05), but recovered to pre-fatigue levels during the third post-fatigue kicking trial (P &gt; 0.05). Similarly, maximum ankle, knee and hip linear velocity and ankle angular displacement were significantly lower during the first two trials (P &lt; 0.05), but not during the third trial after fatigue (P &gt; 0.05). CONCLUSIONS: Soccer kick parameters recovered to pre-fatigue levels approximately within a minute after the end of the protocol. These findings have a practical meaning for players who have to perform set piece kicks under fatigue conditions and for coaches who have to guide their players.", "author" : [ { "dropping-particle" : "", "family" : "Katis", "given" : "Athanasios", "non-dropping-particle" : "", "parse-names" : false, "suffix" : "" }, { "dropping-particle" : "", "family" : "Amiridis", "given" : "Ioannis", "non-dropping-particle" : "", "parse-names" : false, "suffix" : "" }, { "dropping-particle" : "", "family" : "Kellis", "given" : "Eleftherios", "non-dropping-particle" : "", "parse-names" : false, "suffix" : "" }, { "dropping-particle" : "", "family" : "Lees", "given" : "Adrian", "non-dropping-particle" : "", "parse-names" : false, "suffix" : "" } ], "container-title" : "Asian Journal of Sports Medicine", "id" : "ITEM-2", "issue" : "4", "issued" : { "date-parts" : [ [ "2014" ] ] }, "title" : "Recovery of powerful kick biomechanics after intense running fatigue in male and female soccer players", "type" : "article-journal", "volume" : "5" }, "uris" : [ "http://www.mendeley.com/documents/?uuid=1cd7ee4f-eed7-41c6-84e1-4a581d82f715" ] } ], "mendeley" : { "formattedCitation" : "(Barfield, Kirkendall, &amp; Yu, 2002; Katis, Amiridis, Kellis, &amp; Lees, 2014)", "plainTextFormattedCitation" : "(Barfield, Kirkendall, &amp; Yu, 2002; Katis, Amiridis, Kellis, &amp; Lees, 2014)", "previouslyFormattedCitation" : "(Barfield, Kirkendall, &amp; Yu, 2002; Katis, Amiridis, Kellis, &amp; Lees, 2014)" }, "properties" : { "noteIndex" : 0 }, "schema" : "https://github.com/citation-style-language/schema/raw/master/csl-citation.json" }</w:instrText>
      </w:r>
      <w:r w:rsidRPr="00341B41">
        <w:fldChar w:fldCharType="separate"/>
      </w:r>
      <w:r w:rsidRPr="00341B41">
        <w:rPr>
          <w:noProof/>
        </w:rPr>
        <w:t>(Barfield, Kirkendall, &amp; Yu, 2002; Katis, Amiridis, Kellis, &amp; Lees, 2014)</w:t>
      </w:r>
      <w:r w:rsidRPr="00341B41">
        <w:fldChar w:fldCharType="end"/>
      </w:r>
      <w:r w:rsidRPr="00341B41">
        <w:t xml:space="preserve">. It is possible that female participants may have had more difficulty anticipating shots based on the kinematics of the observed player due to inherent differences between the way males and females perform shots in tennis. In one study, the kinematics of world-class level male and female tennis players were compared </w:t>
      </w:r>
      <w:r w:rsidRPr="00341B41">
        <w:fldChar w:fldCharType="begin" w:fldLock="1"/>
      </w:r>
      <w:r w:rsidRPr="00341B41">
        <w:instrText>ADDIN CSL_CITATION { "citationItems" : [ { "id" : "ITEM-1", "itemData" : { "DOI" : "10.1080/14763140308522807", "ISSN" : "1476-3141", "PMID" : "14658245", "abstract" : "The purpose of this study was to quantify ranges and speeds of movement, from shoulder external rotation to ball impact, in the tennis service actions of world class players. Two electronically synchronised 200 Hz video cameras were used to record 20 tennis players during singles competition at the Sydney 2000 Olympic games. Three-dimensional motion of 20 landmarks on each player and racquet were manually digitized. Based upon the mean values for this group, the elbow flexed to 104 degrees and the upper arm rotated into 172 degrees of shoulder external rotation as the front knee extended. From this cocked position, there was a rapid sequence of segment rotations. The order of maximum angular velocities was trunk tilt (280 degrees/s), upper torso rotation (870 degrees/s), pelvis rotation (440 degrees/s), elbow extension (1510 degrees/s), wrist flexion (1950 degrees/s), and shoulder internal rotation. Shoulder internal rotation was greater for males (2420 degrees/s) than females (1370 degrees/s), which may be related to the faster ball velocity produced by the males (50.8 m/s) than the females (41.5 m/s). Although both genders produced segment rotations in the same order, maximum upper torso velocity occurred earlier for females (0.075 s before impact) than for males (0.058 s). At impact, the trunk was tilted 48 degrees above horizontal, the arm was abducted 101 degrees and the elbow, wrist, and lead knee were slightly flexed. Male and female players should be trained to develop the kinematics measured in this study in order to produce effective high-velocity serves.", "author" : [ { "dropping-particle" : "", "family" : "Fleisig", "given" : "Glenn", "non-dropping-particle" : "", "parse-names" : false, "suffix" : "" }, { "dropping-particle" : "", "family" : "Nicholls", "given" : "Rochelle", "non-dropping-particle" : "", "parse-names" : false, "suffix" : "" }, { "dropping-particle" : "", "family" : "Elliott", "given" : "Bruce", "non-dropping-particle" : "", "parse-names" : false, "suffix" : "" }, { "dropping-particle" : "", "family" : "Escamilla", "given" : "Rafael", "non-dropping-particle" : "", "parse-names" : false, "suffix" : "" } ], "container-title" : "Sports Biomechanics", "id" : "ITEM-1", "issue" : "1", "issued" : { "date-parts" : [ [ "2003" ] ] }, "page" : "51-64", "title" : "Kinematics used by world class tennis players to produce high-velocity serves", "type" : "article-journal", "volume" : "2" }, "uris" : [ "http://www.mendeley.com/documents/?uuid=7b2e894f-97b7-4607-8199-9e4d539ee5e2" ] } ], "mendeley" : { "formattedCitation" : "(Fleisig, Nicholls, Elliott, &amp; Escamilla, 2003)", "plainTextFormattedCitation" : "(Fleisig, Nicholls, Elliott, &amp; Escamilla, 2003)", "previouslyFormattedCitation" : "(Fleisig, Nicholls, Elliott, &amp; Escamilla, 2003)" }, "properties" : { "noteIndex" : 0 }, "schema" : "https://github.com/citation-style-language/schema/raw/master/csl-citation.json" }</w:instrText>
      </w:r>
      <w:r w:rsidRPr="00341B41">
        <w:fldChar w:fldCharType="separate"/>
      </w:r>
      <w:r w:rsidRPr="00341B41">
        <w:rPr>
          <w:noProof/>
        </w:rPr>
        <w:t>(Fleisig, Nicholls, Elliott, &amp; Escamilla, 2003)</w:t>
      </w:r>
      <w:r w:rsidRPr="00341B41">
        <w:fldChar w:fldCharType="end"/>
      </w:r>
      <w:r w:rsidRPr="00341B41">
        <w:t xml:space="preserve">. They looked at a range of kinematic features such as trunk tilt, upper torso rotation, pelvis rotation, elbow extension, wrist flexion, and shoulder internal rotation. They found no differences between male and female players in many of their measures, but noted that the amount of internal shoulder rotation was greater for males than females. This finding was </w:t>
      </w:r>
      <w:r w:rsidRPr="00341B41">
        <w:lastRenderedPageBreak/>
        <w:t xml:space="preserve">replicated in a similar study, who also showed the majority of kinematic variables did not differ between male and female players </w:t>
      </w:r>
      <w:r w:rsidRPr="00341B41">
        <w:fldChar w:fldCharType="begin" w:fldLock="1"/>
      </w:r>
      <w:r w:rsidRPr="00341B41">
        <w:instrText>ADDIN CSL_CITATION { "citationItems" : [ { "id" : "ITEM-1", "itemData" : { "author" : [ { "dropping-particle" : "", "family" : "Elliott", "given" : "Bruce C", "non-dropping-particle" : "", "parse-names" : false, "suffix" : "" }, { "dropping-particle" : "", "family" : "Whiteside", "given" : "David", "non-dropping-particle" : "", "parse-names" : false, "suffix" : "" }, { "dropping-particle" : "", "family" : "Lay", "given" : "Brendan", "non-dropping-particle" : "", "parse-names" : false, "suffix" : "" }, { "dropping-particle" : "", "family" : "Reid", "given" : "Macher", "non-dropping-particle" : "", "parse-names" : false, "suffix" : "" } ], "container-title" : "31st Conference of the International Society of Biomechanics in Sport", "id" : "ITEM-1", "issued" : { "date-parts" : [ [ "2013" ] ] }, "publisher-place" : "Taipei", "title" : "The female tennis serve: An analagous version of the male serve?", "type" : "paper-conference" }, "uris" : [ "http://www.mendeley.com/documents/?uuid=6403ee1b-3fa9-4a00-9259-94dc54d5dfa3" ] } ], "mendeley" : { "formattedCitation" : "(Elliott, Whiteside, Lay, &amp; Reid, 2013)", "plainTextFormattedCitation" : "(Elliott, Whiteside, Lay, &amp; Reid, 2013)", "previouslyFormattedCitation" : "(Elliott, Whiteside, Lay, &amp; Reid, 2013)" }, "properties" : { "noteIndex" : 0 }, "schema" : "https://github.com/citation-style-language/schema/raw/master/csl-citation.json" }</w:instrText>
      </w:r>
      <w:r w:rsidRPr="00341B41">
        <w:fldChar w:fldCharType="separate"/>
      </w:r>
      <w:r w:rsidRPr="00341B41">
        <w:rPr>
          <w:noProof/>
        </w:rPr>
        <w:t>(Elliott, Whiteside, Lay, &amp; Reid, 2013)</w:t>
      </w:r>
      <w:r w:rsidRPr="00341B41">
        <w:fldChar w:fldCharType="end"/>
      </w:r>
      <w:r w:rsidRPr="00341B41">
        <w:t xml:space="preserve">. These findings suggest that kinematic differences between male and female tennis players do not differ substantially, reducing the likelihood that the results can be explained by females being less familiar with the observed kinematics of a male player. </w:t>
      </w:r>
    </w:p>
    <w:p w14:paraId="04D82659" w14:textId="77777777" w:rsidR="00243674" w:rsidRPr="00341B41" w:rsidRDefault="00243674" w:rsidP="00243674">
      <w:r w:rsidRPr="00341B41">
        <w:tab/>
        <w:t>Due to practical limitations, the monitor size and screen resolution were smaller than are often used in anticipation research, and may limit the study’s ecological validity. For example, presenting trials on a smaller screen may make it difficult for participants to view the player’s actions clearly, which would make anticipation harder than normal because the necessary kinematic cues cannot be clearly observed. It is worth noting however that the fact expertise effects were observed suggests there was sufficient ecological validity to tap into the experienced player’s domain specific expertise.</w:t>
      </w:r>
    </w:p>
    <w:p w14:paraId="7343C885" w14:textId="7E24F540" w:rsidR="00243674" w:rsidRPr="00341B41" w:rsidRDefault="00243674" w:rsidP="002B28FF">
      <w:pPr>
        <w:ind w:firstLine="720"/>
      </w:pPr>
      <w:r w:rsidRPr="00341B41">
        <w:t>It is</w:t>
      </w:r>
      <w:r w:rsidR="002B28FF" w:rsidRPr="00341B41">
        <w:t xml:space="preserve"> also</w:t>
      </w:r>
      <w:r w:rsidRPr="00341B41">
        <w:t xml:space="preserve"> worth considering potential reasons why the two models differed in how easy they were to anticipate. One reason could be due to the instructions given to the players at the time of filming, and how they may have interpreted those instructions. It is possible that by being instructed to “perform prototypical shots clearly aimed to the left or </w:t>
      </w:r>
      <w:proofErr w:type="gramStart"/>
      <w:r w:rsidRPr="00341B41">
        <w:t>right hand</w:t>
      </w:r>
      <w:proofErr w:type="gramEnd"/>
      <w:r w:rsidRPr="00341B41">
        <w:t xml:space="preserve"> side of the court” will result in ‘telegraphed’ shots that are relatively easy to judge. Alternatively, a player might clearly aim to one side of the court but hit shots to the other side thereby being inadvertently deceptive. As such, player A (the easier player to anticipate) may have used the former interpretation of the instructions, whilst player B (the harder player to anticipate) may have used the latter interpretation. Alternatively, the two players could have both interpreted the instructions clearly. The differences coul</w:t>
      </w:r>
      <w:r w:rsidR="006C34F7" w:rsidRPr="00341B41">
        <w:t>d result from one of the player</w:t>
      </w:r>
      <w:r w:rsidRPr="00341B41">
        <w:t xml:space="preserve">s being better able to produce simple demonstration shots as required </w:t>
      </w:r>
      <w:r w:rsidRPr="00341B41">
        <w:lastRenderedPageBreak/>
        <w:t xml:space="preserve">(which are easier to anticipate) whereas the other player played shots with a more competitive </w:t>
      </w:r>
      <w:proofErr w:type="spellStart"/>
      <w:r w:rsidRPr="00341B41">
        <w:t>mindset</w:t>
      </w:r>
      <w:proofErr w:type="spellEnd"/>
      <w:r w:rsidRPr="00341B41">
        <w:t xml:space="preserve">, which would naturally contain more disguise.  </w:t>
      </w:r>
    </w:p>
    <w:p w14:paraId="60320DE4" w14:textId="258F8596" w:rsidR="00243674" w:rsidRPr="00341B41" w:rsidRDefault="00243674" w:rsidP="002A4241">
      <w:pPr>
        <w:ind w:firstLine="720"/>
      </w:pPr>
      <w:r w:rsidRPr="00341B41">
        <w:t>A final potential limitation is in the selection of experimental shots. Whilst only shots where the ball had a clear left or right final landing point were used, this judgement was made only by one individual. This means it was not possible to establish any inter-rater reliability, and may have led to bias with regards to the criteria for shot selection. However, both groups saw the same clips and a group difference was observed. Therefore, this limitation does not confound the effect of expertise.</w:t>
      </w:r>
    </w:p>
    <w:p w14:paraId="0711E41F" w14:textId="7CB359FA" w:rsidR="00133625" w:rsidRPr="00341B41" w:rsidRDefault="0029330F" w:rsidP="00243674">
      <w:pPr>
        <w:ind w:firstLine="720"/>
        <w:rPr>
          <w:rFonts w:cs="Times New Roman"/>
        </w:rPr>
      </w:pPr>
      <w:r w:rsidRPr="00341B41">
        <w:t xml:space="preserve">With these in mind, a split-half methodology established </w:t>
      </w:r>
      <w:r w:rsidRPr="00341B41">
        <w:rPr>
          <w:rFonts w:cs="Times New Roman"/>
        </w:rPr>
        <w:t xml:space="preserve">the reliability of the trials that showed an expertise effect. Therefore, a test made up of trials shown to elucidate an expertise effect, with experienced players significantly and reliably more accurate than novices, the criteria of the expert performance approach that to be informative on the processes underlying expert performance, a task must be able to distinguish experienced from unexperienced novices has been met. Therefore, the main aim of these experiments has been achieved. This means it is now possible to use this test in an EEG study in order to investigate the role of the sensorimotor system in experienced and </w:t>
      </w:r>
      <w:r w:rsidR="00163CF5" w:rsidRPr="00341B41">
        <w:rPr>
          <w:rFonts w:cs="Times New Roman"/>
        </w:rPr>
        <w:t>less experienced</w:t>
      </w:r>
      <w:r w:rsidRPr="00341B41">
        <w:rPr>
          <w:rFonts w:cs="Times New Roman"/>
        </w:rPr>
        <w:t xml:space="preserve"> tennis players during an action observation and anticipation task.</w:t>
      </w:r>
    </w:p>
    <w:p w14:paraId="564C48D5" w14:textId="77777777" w:rsidR="004462D6" w:rsidRPr="00341B41" w:rsidRDefault="004462D6" w:rsidP="004462D6">
      <w:pPr>
        <w:rPr>
          <w:rFonts w:cs="Times New Roman"/>
        </w:rPr>
      </w:pPr>
    </w:p>
    <w:p w14:paraId="6ECDBF08" w14:textId="77777777" w:rsidR="004462D6" w:rsidRPr="00341B41" w:rsidRDefault="004462D6" w:rsidP="004462D6">
      <w:pPr>
        <w:rPr>
          <w:rFonts w:cs="Times New Roman"/>
        </w:rPr>
        <w:sectPr w:rsidR="004462D6" w:rsidRPr="00341B41" w:rsidSect="00805FAB">
          <w:pgSz w:w="12240" w:h="15840"/>
          <w:pgMar w:top="1440" w:right="1138" w:bottom="1440" w:left="2275" w:header="720" w:footer="720" w:gutter="0"/>
          <w:cols w:space="720"/>
          <w:titlePg/>
          <w:docGrid w:linePitch="360"/>
        </w:sectPr>
      </w:pPr>
    </w:p>
    <w:p w14:paraId="79F879DE" w14:textId="4719EBC2" w:rsidR="004462D6" w:rsidRPr="00341B41" w:rsidRDefault="004462D6" w:rsidP="004462D6">
      <w:pPr>
        <w:pStyle w:val="Heading1"/>
      </w:pPr>
      <w:bookmarkStart w:id="56" w:name="_Toc486260864"/>
      <w:r w:rsidRPr="00341B41">
        <w:lastRenderedPageBreak/>
        <w:t>Chapter 3 – The role of cortical sensorimotor oscillations in action anticipation</w:t>
      </w:r>
      <w:bookmarkEnd w:id="56"/>
    </w:p>
    <w:p w14:paraId="66D9A849" w14:textId="7F4ADC0A" w:rsidR="004462D6" w:rsidRPr="00341B41" w:rsidRDefault="004462D6" w:rsidP="004462D6">
      <w:pPr>
        <w:pStyle w:val="Heading2"/>
      </w:pPr>
      <w:bookmarkStart w:id="57" w:name="_Toc486260865"/>
      <w:r w:rsidRPr="00341B41">
        <w:t>3.1.</w:t>
      </w:r>
      <w:r w:rsidRPr="00341B41">
        <w:tab/>
        <w:t>Introduction</w:t>
      </w:r>
      <w:bookmarkEnd w:id="57"/>
    </w:p>
    <w:p w14:paraId="48765941" w14:textId="247B60F9" w:rsidR="004462D6" w:rsidRPr="00341B41" w:rsidRDefault="004462D6" w:rsidP="004462D6">
      <w:r w:rsidRPr="00341B41">
        <w:t>The sensorimotor system believed to play an important role in the understanding of other people’s actions (</w:t>
      </w:r>
      <w:r w:rsidR="00D94652" w:rsidRPr="00341B41">
        <w:t>see section 1.6</w:t>
      </w:r>
      <w:r w:rsidR="009029C5" w:rsidRPr="00341B41">
        <w:t xml:space="preserve"> </w:t>
      </w:r>
      <w:r w:rsidR="00D94652" w:rsidRPr="00341B41">
        <w:t>f</w:t>
      </w:r>
      <w:r w:rsidR="009029C5" w:rsidRPr="00341B41">
        <w:t>or more detail</w:t>
      </w:r>
      <w:r w:rsidRPr="00341B41">
        <w:t xml:space="preserve">). There is some evidence that the sensorimotor system may help in facilitating action anticipation in experienced athletes, though the specificity is unclear </w:t>
      </w:r>
      <w:r w:rsidRPr="00341B41">
        <w:fldChar w:fldCharType="begin" w:fldLock="1"/>
      </w:r>
      <w:r w:rsidR="007579B1"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"ITEM-3", "issue" : "2", "issued" : { "date-parts" : [ [ "2010", "1", "27" ] ] }, "page" : "94-8", "title" : "Functional MRI reveals expert-novice differences during sport-related anticipation.", "type" : "article-journal", "volume" : "21" }, "uris" : [ "http://www.mendeley.com/documents/?uuid=725596c1-c912-41b6-83c3-6d654c4bff23" ] }, { "id" : "ITEM-4",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"ITEM-4",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"ITEM-5",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"ITEM-5",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"(Balser, Lorey, Pilgramm, Naumann, et al., 2014; Balser, Lorey, Pilgramm, Stark, et al., 2014; Wright et al., 2010, 2011, 2013)", "manualFormatting" : "(e.g. Balser, Lorey, Pilgramm, Naumann, et al., 2014; Balser, Lorey, Pilgramm, Stark, et al., 2014; Wright et al., 2010, 2011, 2013)", "plainTextFormattedCitation" : "(Balser, Lorey, Pilgramm, Naumann, et al., 2014; Balser, Lorey, Pilgramm, Stark, et al., 2014; Wright et al., 2010, 2011, 2013)", "previouslyFormattedCitation" : "(Balser, Lorey, Pilgramm, Naumann, et al., 2014; Balser, Lorey, Pilgramm, Stark, et al., 2014; Wright et al., 2010, 2011, 2013)" }, "properties" : { "noteIndex" : 0 }, "schema" : "https://github.com/citation-style-language/schema/raw/master/csl-citation.json" }</w:instrText>
      </w:r>
      <w:r w:rsidRPr="00341B41">
        <w:fldChar w:fldCharType="separate"/>
      </w:r>
      <w:r w:rsidRPr="00341B41">
        <w:rPr>
          <w:noProof/>
        </w:rPr>
        <w:t>(e.g. Balser, Lorey, Pilgramm, Naumann, et al., 2014; Balser, Lorey, Pilgramm, Stark, et al., 2014; Wright et al., 2010, 2011, 2013)</w:t>
      </w:r>
      <w:r w:rsidRPr="00341B41">
        <w:fldChar w:fldCharType="end"/>
      </w:r>
      <w:r w:rsidRPr="00341B41">
        <w:t xml:space="preserve">. Using </w:t>
      </w:r>
      <w:r w:rsidR="003E12DC" w:rsidRPr="00341B41">
        <w:t>EEG,</w:t>
      </w:r>
      <w:r w:rsidRPr="00341B41">
        <w:t xml:space="preserve"> it is possible to measure sensorimotor system activity by recording event-related power changes in the mu (8-13Hz) and beta (15-25Hz) frequency bands, with overall event-related </w:t>
      </w:r>
      <w:proofErr w:type="spellStart"/>
      <w:r w:rsidRPr="00341B41">
        <w:t>desynchronisation</w:t>
      </w:r>
      <w:proofErr w:type="spellEnd"/>
      <w:r w:rsidRPr="00341B41">
        <w:t xml:space="preserve"> (ERD) indicative of sensorimotor engagement (</w:t>
      </w:r>
      <w:r w:rsidR="003E12DC" w:rsidRPr="00341B41">
        <w:t>see section 1.8</w:t>
      </w:r>
      <w:r w:rsidRPr="00341B41">
        <w:t>).</w:t>
      </w:r>
    </w:p>
    <w:p w14:paraId="09215FF4" w14:textId="48BFA77A" w:rsidR="004462D6" w:rsidRPr="00341B41" w:rsidRDefault="004462D6" w:rsidP="004462D6">
      <w:r w:rsidRPr="00341B41">
        <w:tab/>
        <w:t xml:space="preserve">Using this approach, a number of studies have found the sensorimotor system to be modulated by the degree of motor expertise an individual has in the action being observed </w:t>
      </w:r>
      <w:r w:rsidRPr="00341B41">
        <w:fldChar w:fldCharType="begin" w:fldLock="1"/>
      </w:r>
      <w:r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fldChar w:fldCharType="separate"/>
      </w:r>
      <w:r w:rsidRPr="00341B41">
        <w:rPr>
          <w:noProof/>
        </w:rPr>
        <w:t>(Cannon et al., 2014)</w:t>
      </w:r>
      <w:r w:rsidRPr="00341B41">
        <w:fldChar w:fldCharType="end"/>
      </w:r>
      <w:r w:rsidRPr="00341B41">
        <w:t xml:space="preserve">, including two studies that found greater use of the sensorimotor system during action observation in samples of expert dancers </w:t>
      </w:r>
      <w:r w:rsidRPr="00341B41">
        <w:fldChar w:fldCharType="begin" w:fldLock="1"/>
      </w:r>
      <w:r w:rsidRPr="00341B41">
        <w:instrText>ADDIN CSL_CITATION { "citationItems" : [ { "id" : "ITEM-1",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"ITEM-1", "issue" : "12", "issued" : { "date-parts" : [ [ "2008" ] ] }, "page" : "3380-3384", "title" : "Expertise in dance modulates alpha/beta event-related desynchronization during action observation", "type" : "article-journal", "volume" : "27" }, "uris" : [ "http://www.mendeley.com/documents/?uuid=c2a43f47-aaef-4a12-80c1-a869c17e8baf" ] } ], "mendeley" : { "formattedCitation" : "(Orgs et al., 2008)", "plainTextFormattedCitation" : "(Orgs et al., 2008)", "previouslyFormattedCitation" : "(Orgs et al., 2008)" }, "properties" : { "noteIndex" : 0 }, "schema" : "https://github.com/citation-style-language/schema/raw/master/csl-citation.json" }</w:instrText>
      </w:r>
      <w:r w:rsidRPr="00341B41">
        <w:fldChar w:fldCharType="separate"/>
      </w:r>
      <w:r w:rsidRPr="00341B41">
        <w:rPr>
          <w:noProof/>
        </w:rPr>
        <w:t>(Orgs et al., 2008)</w:t>
      </w:r>
      <w:r w:rsidRPr="00341B41">
        <w:fldChar w:fldCharType="end"/>
      </w:r>
      <w:r w:rsidRPr="00341B41">
        <w:t xml:space="preserve"> and table-tennis players </w:t>
      </w:r>
      <w:r w:rsidRPr="00341B41">
        <w:fldChar w:fldCharType="begin" w:fldLock="1"/>
      </w:r>
      <w:r w:rsidRPr="00341B41">
        <w:instrText>ADDIN CSL_CITATION { "citationItems" : [ { "id" : "ITEM-1",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"ITEM-1",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"(Wolf et al., 2014)", "plainTextFormattedCitation" : "(Wolf et al., 2014)", "previouslyFormattedCitation" : "(Wolf et al., 2014)" }, "properties" : { "noteIndex" : 0 }, "schema" : "https://github.com/citation-style-language/schema/raw/master/csl-citation.json" }</w:instrText>
      </w:r>
      <w:r w:rsidRPr="00341B41">
        <w:fldChar w:fldCharType="separate"/>
      </w:r>
      <w:r w:rsidRPr="00341B41">
        <w:rPr>
          <w:noProof/>
        </w:rPr>
        <w:t>(Wolf et al., 2014)</w:t>
      </w:r>
      <w:r w:rsidRPr="00341B41">
        <w:fldChar w:fldCharType="end"/>
      </w:r>
      <w:r w:rsidRPr="00341B41">
        <w:t xml:space="preserve">, compared to novice participants. Whilst interesting, a couple of limitations exist in these studies. First, ERD is measured across long time periods in all of these studies. For instance, Cannon et al (2014) obtained a single ERD value for the entire action observation period, whereas the other two studies analysed ERD across 1 second bins </w:t>
      </w:r>
      <w:r w:rsidRPr="00341B41">
        <w:fldChar w:fldCharType="begin" w:fldLock="1"/>
      </w:r>
      <w:r w:rsidRPr="00341B41">
        <w:instrText>ADDIN CSL_CITATION { "citationItems" : [ { "id" : "ITEM-1",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"ITEM-1", "issue" : "12", "issued" : { "date-parts" : [ [ "2008" ] ] }, "page" : "3380-3384", "title" : "Expertise in dance modulates alpha/beta event-related desynchronization during action observation", "type" : "article-journal", "volume" : "27" }, "uris" : [ "http://www.mendeley.com/documents/?uuid=c2a43f47-aaef-4a12-80c1-a869c17e8baf" ] }, { "id" : "ITEM-2",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"ITEM-2",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"(Orgs et al., 2008; Wolf et al., 2014)", "plainTextFormattedCitation" : "(Orgs et al., 2008; Wolf et al., 2014)", "previouslyFormattedCitation" : "(Orgs et al., 2008; Wolf et al., 2014)" }, "properties" : { "noteIndex" : 0 }, "schema" : "https://github.com/citation-style-language/schema/raw/master/csl-citation.json" }</w:instrText>
      </w:r>
      <w:r w:rsidRPr="00341B41">
        <w:fldChar w:fldCharType="separate"/>
      </w:r>
      <w:r w:rsidRPr="00341B41">
        <w:rPr>
          <w:noProof/>
        </w:rPr>
        <w:t>(Orgs et al., 2008; Wolf et al., 2014)</w:t>
      </w:r>
      <w:r w:rsidRPr="00341B41">
        <w:fldChar w:fldCharType="end"/>
      </w:r>
      <w:r w:rsidRPr="00341B41">
        <w:t xml:space="preserve">. The problem with this approach is that it negates the inherent advantage of using EEG in terms of its excellent temporal resolution, </w:t>
      </w:r>
      <w:r w:rsidRPr="00341B41">
        <w:lastRenderedPageBreak/>
        <w:t xml:space="preserve">and makes it impossible to ascertain when during action observation the sensorimotor system is engaged. As such, it is unclear whether the timing of sensorimotor activation is different between groups of differing expertise. This is an important consideration for understanding how the sensorimotor network can facilitate action anticipation, as in order for anticipation to be useful it needs to occur early enough for a player to prepare their own response.  </w:t>
      </w:r>
    </w:p>
    <w:p w14:paraId="4E18665F" w14:textId="2091DDA6" w:rsidR="004462D6" w:rsidRPr="00341B41" w:rsidRDefault="004462D6" w:rsidP="004462D6">
      <w:pPr>
        <w:ind w:firstLine="720"/>
      </w:pPr>
      <w:r w:rsidRPr="00341B41">
        <w:t>A second limitation is that these studies have not investigated possible differences between different sub-bands of mu activity. As shown in</w:t>
      </w:r>
      <w:r w:rsidR="003E12DC" w:rsidRPr="00341B41">
        <w:t xml:space="preserve"> section 1.8.1</w:t>
      </w:r>
      <w:r w:rsidRPr="00341B41">
        <w:t xml:space="preserve">, studies on action execution have shown that mu can be split into two functionally specific sub-types, with low mu (8-10Hz) reflecting activation of a movement general cortical network, and high mu (11-13Hz) indicating movement-specific activations </w:t>
      </w:r>
      <w:r w:rsidRPr="00341B41">
        <w:fldChar w:fldCharType="begin" w:fldLock="1"/>
      </w:r>
      <w:r w:rsidRPr="00341B41">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To date, no studies using an action observation-type paradigm have explored whether similar distinctions can be made. It might be expected that in a study comparing groups with differing levels of motor expertise, ERD in the high mu band would only occur in experts. As high mu appears to reflect activation of action-specific representations, during observation when the motor system is activated to</w:t>
      </w:r>
      <w:r w:rsidR="00AA6B60" w:rsidRPr="00341B41">
        <w:t xml:space="preserve"> possibly</w:t>
      </w:r>
      <w:r w:rsidRPr="00341B41">
        <w:t xml:space="preserve"> aid in action understanding, only experts would have the action-specific representation available to them to aid in action understanding. </w:t>
      </w:r>
    </w:p>
    <w:p w14:paraId="7F811CAF" w14:textId="1CE5AB15" w:rsidR="004462D6" w:rsidRPr="00341B41" w:rsidRDefault="004462D6" w:rsidP="004462D6">
      <w:pPr>
        <w:ind w:firstLine="720"/>
      </w:pPr>
      <w:r w:rsidRPr="00341B41">
        <w:t xml:space="preserve">The aim of the Chapter was to address these two current limitations, in order to further refine our knowledge </w:t>
      </w:r>
      <w:r w:rsidR="001B3146" w:rsidRPr="00341B41">
        <w:t xml:space="preserve">of expertise differences in sensorimotor oscillatory activity </w:t>
      </w:r>
      <w:r w:rsidRPr="00341B41">
        <w:t xml:space="preserve">during action observation. It was hypothesised that during action observation prior to anticipation, </w:t>
      </w:r>
      <w:r w:rsidR="00634526" w:rsidRPr="00341B41">
        <w:t>experienced</w:t>
      </w:r>
      <w:r w:rsidRPr="00341B41">
        <w:t xml:space="preserve"> and </w:t>
      </w:r>
      <w:r w:rsidR="00DE37C3" w:rsidRPr="00341B41">
        <w:t>less experienced</w:t>
      </w:r>
      <w:r w:rsidRPr="00341B41">
        <w:t xml:space="preserve"> players would engage in different cognitive strategies. The </w:t>
      </w:r>
      <w:r w:rsidR="00634526" w:rsidRPr="00341B41">
        <w:t xml:space="preserve">experienced players would activate their own motor system during </w:t>
      </w:r>
      <w:r w:rsidR="00634526" w:rsidRPr="00341B41">
        <w:lastRenderedPageBreak/>
        <w:t>observation</w:t>
      </w:r>
      <w:r w:rsidRPr="00341B41">
        <w:t xml:space="preserve">, and </w:t>
      </w:r>
      <w:r w:rsidR="00634526" w:rsidRPr="00341B41">
        <w:t>this would aid them in</w:t>
      </w:r>
      <w:r w:rsidRPr="00341B41">
        <w:t xml:space="preserve"> gain</w:t>
      </w:r>
      <w:r w:rsidR="00634526" w:rsidRPr="00341B41">
        <w:t>ing</w:t>
      </w:r>
      <w:r w:rsidRPr="00341B41">
        <w:t xml:space="preserve"> an understanding of the intentions of the opponent. By contrast, the </w:t>
      </w:r>
      <w:r w:rsidR="00634526" w:rsidRPr="00341B41">
        <w:t>unexperienced group</w:t>
      </w:r>
      <w:r w:rsidRPr="00341B41">
        <w:t xml:space="preserve"> would </w:t>
      </w:r>
      <w:r w:rsidR="0039114E" w:rsidRPr="00341B41">
        <w:t xml:space="preserve">not show this activation. </w:t>
      </w:r>
      <w:r w:rsidRPr="00341B41">
        <w:t xml:space="preserve">This difference in processing would be reflected by earlier and greater mu and beta ERD in the </w:t>
      </w:r>
      <w:r w:rsidR="0039114E" w:rsidRPr="00341B41">
        <w:t>experienced</w:t>
      </w:r>
      <w:r w:rsidRPr="00341B41">
        <w:t xml:space="preserve"> group, compared to the </w:t>
      </w:r>
      <w:r w:rsidR="00A33EC4" w:rsidRPr="00341B41">
        <w:t>less experienced</w:t>
      </w:r>
      <w:r w:rsidRPr="00341B41">
        <w:t xml:space="preserve"> group. A secondary hypothesis was that group differences would arise differently in the low and high mu frequency band. As low mu is related to general movement activity and allocating attentional resources to motion, both the skilled and unskilled groups would show ERD. In the high mu band, only the skilled group would show ERD because this activity is related to the access of movement-specific knowledge.</w:t>
      </w:r>
    </w:p>
    <w:p w14:paraId="421A22D4" w14:textId="345702F2" w:rsidR="007579B1" w:rsidRPr="00341B41" w:rsidRDefault="007579B1" w:rsidP="007579B1">
      <w:pPr>
        <w:pStyle w:val="Heading2"/>
      </w:pPr>
      <w:bookmarkStart w:id="58" w:name="_Toc486260866"/>
      <w:r w:rsidRPr="00341B41">
        <w:t>3.2.</w:t>
      </w:r>
      <w:r w:rsidRPr="00341B41">
        <w:tab/>
        <w:t>Experiment 3 – Method</w:t>
      </w:r>
      <w:bookmarkEnd w:id="58"/>
    </w:p>
    <w:p w14:paraId="5A8ED38F" w14:textId="17147011" w:rsidR="007579B1" w:rsidRPr="00341B41" w:rsidRDefault="007579B1" w:rsidP="007579B1">
      <w:pPr>
        <w:pStyle w:val="Heading3"/>
      </w:pPr>
      <w:bookmarkStart w:id="59" w:name="_Toc486260867"/>
      <w:r w:rsidRPr="00341B41">
        <w:t>3.2.1.</w:t>
      </w:r>
      <w:r w:rsidRPr="00341B41">
        <w:tab/>
        <w:t>Participants</w:t>
      </w:r>
      <w:bookmarkEnd w:id="59"/>
    </w:p>
    <w:p w14:paraId="7AA2D5DE" w14:textId="4FEF4307" w:rsidR="007579B1" w:rsidRPr="00341B41" w:rsidRDefault="007579B1" w:rsidP="007579B1">
      <w:r w:rsidRPr="00341B41">
        <w:t>Thirty-nine participants took part in the study, either in exchange for course credit or payment. Eighteen experienced tennis players (35% female, M</w:t>
      </w:r>
      <w:r w:rsidRPr="00341B41">
        <w:rPr>
          <w:vertAlign w:val="subscript"/>
        </w:rPr>
        <w:t>age</w:t>
      </w:r>
      <w:r w:rsidRPr="00341B41">
        <w:t xml:space="preserve"> = 21.12, SD = 3.16) were recruited from local university tennis teams. They reported an average of 12.94 (SD = 4.34) years of tennis experience, playing on average 7.65 (SD = 4.08) hours per week, and had received formal instruction for an average of 8.06 (SD = 2.95) years. All experienced players self-reported as being right handed. The expertise level of this group was semi-elite </w:t>
      </w:r>
      <w:r w:rsidRPr="00341B41">
        <w:fldChar w:fldCharType="begin" w:fldLock="1"/>
      </w:r>
      <w:r w:rsidR="008E4B4A" w:rsidRPr="00341B41">
        <w:instrText>ADDIN CSL_CITATION { "citationItems" : [ { "id" : "ITEM-1", "itemData" : { "DOI" : "10.1016/j.psychsport.2014.07.004", "ISBN" : "http://eprints.lincoln.ac.uk/14589/1/Defining%20Elite%20Athletes_Issues%20in%20the%20Study%20of%20Expert%20Performance%20in%20Sport%20Psychology_ACCEPTED%20VERSION.docx", "ISSN" : "14690292", "abstract" : "Objectives: There has been considerable inconsistency and confusion in the definition of elite/expert athletes in sport psychology research, which has implications for studies conducted in this area and for the field as a whole. This study aimed to: (i) critically evaluate the ways in which recent research in sport psychology has defined elite/expert athletes; (ii) explore the rationale for using such athletes; and (iii) evaluate the conclusions that research in this field draws about the nature of expertise. Design: Conventional systematic review principles were employed to conduct a rigorous search and synthesise findings. Methods: A comprehensive literature search of SPORTDiscus, Academic Search Complete, PsycINFO, and PsycARTICLES was completed in September, 2013 which yielded 91 empirical studies published between 2010 and 2013. The primarily qualitative findings were analysed thematically. Results: Eight ways of defining elite/expert athletes were identified, ranging from Olympic champions to regional level competitors and those with as little as two years of experience in their sport. Three types of rationale were evident in these studies (i.e., \"necessity\", \"exploratory\" and \"superior\"); while findings also indicated that some elite athletes are psychologically idiosyncratic and perhaps even dysfunctional in their behaviour. Finally, only 19 of the 91 included studies provided conclusions about the nature of expertise in sport. Conclusions: This study suggests that the definitions of elite athletes vary on a continuum of validity, and the findings are translated into a taxonomy for classifying expert samples in sport psychology research in future. Recommendations are provided for researchers in this area.", "author" : [ { "dropping-particle" : "", "family" : "Swann", "given" : "Christian", "non-dropping-particle" : "", "parse-names" : false, "suffix" : "" }, { "dropping-particle" : "", "family" : "Moran", "given" : "Aidan", "non-dropping-particle" : "", "parse-names" : false, "suffix" : "" }, { "dropping-particle" : "", "family" : "Piggott", "given" : "David", "non-dropping-particle" : "", "parse-names" : false, "suffix" : "" } ], "container-title" : "Psychology of Sport and Exercise", "id" : "ITEM-1", "issue" : "P1", "issued" : { "date-parts" : [ [ "2015" ] ] }, "page" : "3-14", "publisher" : "Elsevier Ltd", "title" : "Defining elite athletes: Issues in the study of expert performance in sport psychology", "type" : "article-journal", "volume" : "16" }, "uris" : [ "http://www.mendeley.com/documents/?uuid=357ffbc4-313b-458d-a5dc-9533d349d34c" ] } ], "mendeley" : { "formattedCitation" : "(Swann, Moran, &amp; Piggott, 2015)", "plainTextFormattedCitation" : "(Swann, Moran, &amp; Piggott, 2015)", "previouslyFormattedCitation" : "(Swann, Moran, &amp; Piggott, 2015)" }, "properties" : { "noteIndex" : 0 }, "schema" : "https://github.com/citation-style-language/schema/raw/master/csl-citation.json" }</w:instrText>
      </w:r>
      <w:r w:rsidRPr="00341B41">
        <w:fldChar w:fldCharType="separate"/>
      </w:r>
      <w:r w:rsidRPr="00341B41">
        <w:rPr>
          <w:noProof/>
        </w:rPr>
        <w:t>(Swann, Moran, &amp; Piggott, 2015)</w:t>
      </w:r>
      <w:r w:rsidRPr="00341B41">
        <w:fldChar w:fldCharType="end"/>
      </w:r>
      <w:r w:rsidRPr="00341B41">
        <w:t xml:space="preserve">. </w:t>
      </w:r>
      <w:proofErr w:type="gramStart"/>
      <w:r w:rsidR="00B108A8" w:rsidRPr="00341B41">
        <w:t>Twenty-one</w:t>
      </w:r>
      <w:proofErr w:type="gramEnd"/>
      <w:r w:rsidRPr="00341B41">
        <w:t xml:space="preserve"> University of Sheffield psychology undergraduate students (65% female, M</w:t>
      </w:r>
      <w:r w:rsidRPr="00341B41">
        <w:rPr>
          <w:vertAlign w:val="subscript"/>
        </w:rPr>
        <w:t>age</w:t>
      </w:r>
      <w:r w:rsidRPr="00341B41">
        <w:t xml:space="preserve"> = 22.60, SD = 6.63) were recruited as </w:t>
      </w:r>
      <w:r w:rsidR="00B23456" w:rsidRPr="00341B41">
        <w:t>less experienced</w:t>
      </w:r>
      <w:r w:rsidRPr="00341B41">
        <w:t xml:space="preserve"> participants. This group reported an average of 1.70 (SD = 3.05) years of tennis experiences, playing on average 0.90 (SD = 1.29) hours per week, with an average of 0.90 (2.31) years of formal instruction. All of the </w:t>
      </w:r>
      <w:r w:rsidR="00380B0D" w:rsidRPr="00341B41">
        <w:t>less experienced</w:t>
      </w:r>
      <w:r w:rsidRPr="00341B41">
        <w:t xml:space="preserve"> participants self-reported as being right-handed. Data from two participants (one experienced and one </w:t>
      </w:r>
      <w:r w:rsidR="00380B0D" w:rsidRPr="00341B41">
        <w:t xml:space="preserve">less </w:t>
      </w:r>
      <w:r w:rsidR="00380B0D" w:rsidRPr="00341B41">
        <w:lastRenderedPageBreak/>
        <w:t>experienced</w:t>
      </w:r>
      <w:r w:rsidRPr="00341B41">
        <w:t xml:space="preserve">) were unable to be used in the EEG analysis, due to high levels of noise during the recording period. Therefore, for the EEG analysis, the total sample size was 37 (17 experienced players, 20 </w:t>
      </w:r>
      <w:r w:rsidR="00341DB9" w:rsidRPr="00341B41">
        <w:t>less experienced</w:t>
      </w:r>
      <w:r w:rsidRPr="00341B41">
        <w:t xml:space="preserve"> novices).</w:t>
      </w:r>
    </w:p>
    <w:p w14:paraId="01F424E4" w14:textId="1440418A" w:rsidR="007579B1" w:rsidRPr="00341B41" w:rsidRDefault="007579B1" w:rsidP="007579B1">
      <w:pPr>
        <w:pStyle w:val="Heading3"/>
      </w:pPr>
      <w:bookmarkStart w:id="60" w:name="_Toc486260868"/>
      <w:r w:rsidRPr="00341B41">
        <w:t>3.2.2.</w:t>
      </w:r>
      <w:r w:rsidRPr="00341B41">
        <w:tab/>
        <w:t>Materials</w:t>
      </w:r>
      <w:bookmarkEnd w:id="60"/>
    </w:p>
    <w:p w14:paraId="0E37F860" w14:textId="001EFA44" w:rsidR="007579B1" w:rsidRPr="00341B41" w:rsidRDefault="007579B1" w:rsidP="007579B1">
      <w:r w:rsidRPr="00341B41">
        <w:t>The test developed in Chapter 2 was used for this study.</w:t>
      </w:r>
    </w:p>
    <w:p w14:paraId="269EEDE8" w14:textId="051A8E64" w:rsidR="00A414E1" w:rsidRPr="00341B41" w:rsidRDefault="00A414E1" w:rsidP="00A414E1">
      <w:pPr>
        <w:pStyle w:val="Heading3"/>
      </w:pPr>
      <w:bookmarkStart w:id="61" w:name="_Toc486260869"/>
      <w:r w:rsidRPr="00341B41">
        <w:t>3.2.3.</w:t>
      </w:r>
      <w:r w:rsidRPr="00341B41">
        <w:tab/>
        <w:t>Procedure</w:t>
      </w:r>
      <w:bookmarkEnd w:id="61"/>
    </w:p>
    <w:p w14:paraId="4ECC33B7" w14:textId="77777777" w:rsidR="00D52502" w:rsidRPr="00341B41" w:rsidRDefault="00A414E1" w:rsidP="00D52502">
      <w:r w:rsidRPr="00341B41">
        <w:t>Participants conducted the task individually in a quiet, darkened room in a single session. Participants gave informed consent and were instructed on how to perform the task. They were also requested to try and remain as still as possible during the experiment, and use the breaks provided to change their posture.</w:t>
      </w:r>
      <w:r w:rsidR="00D52502" w:rsidRPr="00341B41">
        <w:t xml:space="preserve"> </w:t>
      </w:r>
    </w:p>
    <w:p w14:paraId="3A19A6A3" w14:textId="0AE8CDD9" w:rsidR="00A414E1" w:rsidRPr="00341B41" w:rsidRDefault="00A414E1" w:rsidP="00D52502">
      <w:pPr>
        <w:ind w:firstLine="720"/>
      </w:pPr>
      <w:r w:rsidRPr="00341B41">
        <w:t>After confirming they understood the task, participants were presented with 10 practice trials (using shots not presented in the experimental trials). The 176 experimental trials were split into 4 blocks of 44 trials each, with a break between each block. The experimental session took approximately 30 minutes to complete. Once the experimental session had finished, participants completed a questionnaire regarding their handedness and tennis experience.</w:t>
      </w:r>
    </w:p>
    <w:p w14:paraId="29819A34" w14:textId="2BD6683B" w:rsidR="00E309CD" w:rsidRPr="00341B41" w:rsidRDefault="00E309CD" w:rsidP="00E309CD">
      <w:pPr>
        <w:pStyle w:val="Heading3"/>
      </w:pPr>
      <w:bookmarkStart w:id="62" w:name="_Toc486260870"/>
      <w:r w:rsidRPr="00341B41">
        <w:t>3.2.4.</w:t>
      </w:r>
      <w:r w:rsidRPr="00341B41">
        <w:tab/>
        <w:t>EEG data acquisition</w:t>
      </w:r>
      <w:bookmarkEnd w:id="62"/>
    </w:p>
    <w:p w14:paraId="6F7D4902" w14:textId="77777777" w:rsidR="00E309CD" w:rsidRPr="00341B41" w:rsidRDefault="00E309CD" w:rsidP="00E309CD">
      <w:r w:rsidRPr="00341B41">
        <w:t xml:space="preserve">EEG was recorded in an electrically shielded room using an </w:t>
      </w:r>
      <w:proofErr w:type="spellStart"/>
      <w:r w:rsidRPr="00341B41">
        <w:t>ActiveTwo</w:t>
      </w:r>
      <w:proofErr w:type="spellEnd"/>
      <w:r w:rsidRPr="00341B41">
        <w:t xml:space="preserve"> </w:t>
      </w:r>
      <w:proofErr w:type="spellStart"/>
      <w:r w:rsidRPr="00341B41">
        <w:t>headcap</w:t>
      </w:r>
      <w:proofErr w:type="spellEnd"/>
      <w:r w:rsidRPr="00341B41">
        <w:t xml:space="preserve"> and a </w:t>
      </w:r>
      <w:proofErr w:type="spellStart"/>
      <w:r w:rsidRPr="00341B41">
        <w:t>Biosemi</w:t>
      </w:r>
      <w:proofErr w:type="spellEnd"/>
      <w:r w:rsidRPr="00341B41">
        <w:t xml:space="preserve"> </w:t>
      </w:r>
      <w:proofErr w:type="spellStart"/>
      <w:r w:rsidRPr="00341B41">
        <w:t>ActiveTwo</w:t>
      </w:r>
      <w:proofErr w:type="spellEnd"/>
      <w:r w:rsidRPr="00341B41">
        <w:t xml:space="preserve"> system (</w:t>
      </w:r>
      <w:proofErr w:type="spellStart"/>
      <w:r w:rsidRPr="00341B41">
        <w:t>Biosemi</w:t>
      </w:r>
      <w:proofErr w:type="spellEnd"/>
      <w:r w:rsidRPr="00341B41">
        <w:t>, Amsterdam, The Netherlands). Signals were recorded from 128 channels using active Ag-</w:t>
      </w:r>
      <w:proofErr w:type="spellStart"/>
      <w:r w:rsidRPr="00341B41">
        <w:t>Agcl</w:t>
      </w:r>
      <w:proofErr w:type="spellEnd"/>
      <w:r w:rsidRPr="00341B41">
        <w:t xml:space="preserve"> tipped electrodes. Two additional electrodes, common mode sense (CMS), and driven right leg (DRL) were used as reference </w:t>
      </w:r>
      <w:r w:rsidRPr="00341B41">
        <w:lastRenderedPageBreak/>
        <w:t xml:space="preserve">and ground electrodes during recording. Signals were amplified with a sampling rate of 2048Hz and stored using </w:t>
      </w:r>
      <w:proofErr w:type="spellStart"/>
      <w:r w:rsidRPr="00341B41">
        <w:t>ActiView</w:t>
      </w:r>
      <w:proofErr w:type="spellEnd"/>
      <w:r w:rsidRPr="00341B41">
        <w:t xml:space="preserve"> software (</w:t>
      </w:r>
      <w:proofErr w:type="spellStart"/>
      <w:r w:rsidRPr="00341B41">
        <w:t>Biosemi</w:t>
      </w:r>
      <w:proofErr w:type="spellEnd"/>
      <w:r w:rsidRPr="00341B41">
        <w:t>, Amsterdam, The Netherlands).</w:t>
      </w:r>
    </w:p>
    <w:p w14:paraId="3466D214" w14:textId="06ADCA66" w:rsidR="00E309CD" w:rsidRPr="00341B41" w:rsidRDefault="00E309CD" w:rsidP="00E309CD">
      <w:pPr>
        <w:pStyle w:val="Heading3"/>
      </w:pPr>
      <w:bookmarkStart w:id="63" w:name="_Toc486260871"/>
      <w:r w:rsidRPr="00341B41">
        <w:t>3.2.5.</w:t>
      </w:r>
      <w:r w:rsidRPr="00341B41">
        <w:tab/>
        <w:t>EEG pre-processing</w:t>
      </w:r>
      <w:bookmarkEnd w:id="63"/>
    </w:p>
    <w:p w14:paraId="53FBF922" w14:textId="77777777" w:rsidR="00E309CD" w:rsidRPr="00341B41" w:rsidRDefault="00E309CD" w:rsidP="00E309CD">
      <w:r w:rsidRPr="00341B41">
        <w:t xml:space="preserve">Initially data were </w:t>
      </w:r>
      <w:proofErr w:type="spellStart"/>
      <w:r w:rsidRPr="00341B41">
        <w:t>downsampled</w:t>
      </w:r>
      <w:proofErr w:type="spellEnd"/>
      <w:r w:rsidRPr="00341B41">
        <w:t xml:space="preserve"> to 512Hz using Decimator software (</w:t>
      </w:r>
      <w:proofErr w:type="spellStart"/>
      <w:r w:rsidRPr="00341B41">
        <w:t>Biosemi</w:t>
      </w:r>
      <w:proofErr w:type="spellEnd"/>
      <w:r w:rsidRPr="00341B41">
        <w:t xml:space="preserve">, Amsterdam, The Netherlands). All pre-processing was performed in EEGLAB </w:t>
      </w:r>
      <w:r w:rsidRPr="00341B41">
        <w:fldChar w:fldCharType="begin" w:fldLock="1"/>
      </w:r>
      <w:r w:rsidRPr="00341B41">
        <w:instrText>ADDIN CSL_CITATION { "citationItems" : [ { "id" : "ITEM-1", "itemData" : { "DOI" : "10.1016/j.jneumeth.2003.10.009", "ISSN" : "0165-0270", "PMID" : "15102499", "abstract" : "We have developed a toolbox and graphic user interface, EEGLAB, running under the crossplatform MATLAB environment (The Mathworks, Inc.) for processing collections of single-trial and/or averaged EEG data of any number of channels. Available functions include EEG data, channel and event information importing, data visualization (scrolling, scalp map and dipole model plotting, plus multi-trial ERP-image plots), preprocessing (including artifact rejection, filtering, epoch selection, and averaging), independent component analysis (ICA) and time/frequency decompositions including channel and component cross-coherence supported by bootstrap statistical methods based on data resampling. EEGLAB functions are organized into three layers. Top-layer functions allow users to interact with the data through the graphic interface without needing to use MATLAB syntax. Menu options allow users to tune the behavior of EEGLAB to available memory. Middle-layer functions allow users to customize data processing using command history and interactive 'pop' functions. Experienced MATLAB users can use EEGLAB data structures and stand-alone signal processing functions to write custom and/or batch analysis scripts. Extensive function help and tutorial information are included. A 'plug-in' facility allows easy incorporation of new EEG modules into the main menu. EEGLAB is freely available (http://www.sccn.ucsd.edu/eeglab/) under the GNU public license for noncommercial use and open source development, together with sample data, user tutorial and extensive documentation.", "author" : [ { "dropping-particle" : "", "family" : "Delorme", "given" : "Arnaud", "non-dropping-particle" : "", "parse-names" : false, "suffix" : "" }, { "dropping-particle" : "", "family" : "Makeig", "given" : "Scott", "non-dropping-particle" : "", "parse-names" : false, "suffix" : "" } ], "container-title" : "Journal of Neuroscience Methods", "id" : "ITEM-1", "issue" : "1", "issued" : { "date-parts" : [ [ "2004", "3", "15" ] ] }, "page" : "9-21", "title" : "EEGLAB: an open source toolbox for analysis of single-trial EEG dynamics including independent component analysis.", "type" : "article-journal", "volume" : "134" }, "uris" : [ "http://www.mendeley.com/documents/?uuid=64eb994c-9c5a-49a5-ba1e-f68eeb86638a" ] } ], "mendeley" : { "formattedCitation" : "(Delorme &amp; Makeig, 2004)", "plainTextFormattedCitation" : "(Delorme &amp; Makeig, 2004)", "previouslyFormattedCitation" : "(Delorme &amp; Makeig, 2004)" }, "properties" : { "noteIndex" : 0 }, "schema" : "https://github.com/citation-style-language/schema/raw/master/csl-citation.json" }</w:instrText>
      </w:r>
      <w:r w:rsidRPr="00341B41">
        <w:fldChar w:fldCharType="separate"/>
      </w:r>
      <w:r w:rsidRPr="00341B41">
        <w:rPr>
          <w:noProof/>
        </w:rPr>
        <w:t>(Delorme &amp; Makeig, 2004)</w:t>
      </w:r>
      <w:r w:rsidRPr="00341B41">
        <w:fldChar w:fldCharType="end"/>
      </w:r>
      <w:r w:rsidRPr="00341B41">
        <w:t xml:space="preserve">, an open source toolbox for EEG data analysis in the MATLAB environment. </w:t>
      </w:r>
    </w:p>
    <w:p w14:paraId="78715FF1" w14:textId="77777777" w:rsidR="00E309CD" w:rsidRPr="00341B41" w:rsidRDefault="00E309CD" w:rsidP="00E309CD">
      <w:pPr>
        <w:ind w:firstLine="720"/>
      </w:pPr>
      <w:r w:rsidRPr="00341B41">
        <w:t xml:space="preserve">Data were imported and referenced to the vertex electrode, and a 1Hz high-pass filter was applied in order to remove low-frequency drifts. Bad channels (exhibiting </w:t>
      </w:r>
      <w:proofErr w:type="spellStart"/>
      <w:r w:rsidRPr="00341B41">
        <w:t>flatlining</w:t>
      </w:r>
      <w:proofErr w:type="spellEnd"/>
      <w:r w:rsidRPr="00341B41">
        <w:t xml:space="preserve">, evidence of electrode bridging, or excessive high-frequency noise), and non-eye blink (non-stereotyped high frequency noise) artefacts were removed manually from the continuous EEG data, with break event markers placed in the cleaned data to indicate where data had been rejected. Eye blinks were removed using independent component analysis (ICA), performed using the </w:t>
      </w:r>
      <w:proofErr w:type="spellStart"/>
      <w:r w:rsidRPr="00341B41">
        <w:t>infomax</w:t>
      </w:r>
      <w:proofErr w:type="spellEnd"/>
      <w:r w:rsidRPr="00341B41">
        <w:t xml:space="preserve"> algorithm. As eye blinks are a highly stereotyped artefact, ICA can reliably detect them </w:t>
      </w:r>
      <w:r w:rsidRPr="00341B41">
        <w:fldChar w:fldCharType="begin" w:fldLock="1"/>
      </w:r>
      <w:r w:rsidRPr="00341B41">
        <w:instrText>ADDIN CSL_CITATION { "citationItems" : [ { "id" : "ITEM-1", "itemData" : { "DOI" : "10.1109/NNSP.1998.710633", "ISBN" : "078035060X", "ISSN" : "1089-3555", "abstract" : "Pervasive electroencephalographic (EEG) artifacts associated with blinks, eye-movements, muscle noise, cardiac signals, and line noise poses a major challenge for EEG interpretation and analysis. Here, we propose a generally applicable method for removing a wide variety of artifacts from EEG records based on an extended version of an Independent Component Analysis (ICA) algorithm for performing blind source separation on linear mixtures of independent source signals. Our results show that ICA can effectively separate and remove contamination from a wide variety of artifactual sources in EEG records with results comparing favorably to those obtained using Principal Component Analysis.", "author" : [ { "dropping-particle" : "", "family" : "Jung", "given" : "Tzyy-Ping", "non-dropping-particle" : "", "parse-names" : false, "suffix" : "" }, { "dropping-particle" : "", "family" : "Humphries", "given" : "Colin", "non-dropping-particle" : "", "parse-names" : false, "suffix" : "" }, { "dropping-particle" : "", "family" : "Lee", "given" : "Te-won", "non-dropping-particle" : "", "parse-names" : false, "suffix" : "" }, { "dropping-particle" : "", "family" : "Makeig", "given" : "Scott", "non-dropping-particle" : "", "parse-names" : false, "suffix" : "" }, { "dropping-particle" : "", "family" : "Mckeown", "given" : "Martin J", "non-dropping-particle" : "", "parse-names" : false, "suffix" : "" }, { "dropping-particle" : "", "family" : "Iragui", "given" : "Vicente", "non-dropping-particle" : "", "parse-names" : false, "suffix" : "" }, { "dropping-particle" : "", "family" : "Sejnowskil", "given" : "Terrence J", "non-dropping-particle" : "", "parse-names" : false, "suffix" : "" } ], "container-title" : "Neural Networks for Signal Processing VIII, 1998. Proceedings of the 1998 IEEE Signal Processing Society Workshop", "id" : "ITEM-1", "issued" : { "date-parts" : [ [ "1998" ] ] }, "page" : "63-72", "title" : "Removing Electroencephalographic Artifacts : Comparison between ICA and PCA *", "type" : "article-journal" }, "uris" : [ "http://www.mendeley.com/documents/?uuid=072b36fa-4aad-4f8f-8b55-4ba11b348758" ] }, { "id" : "ITEM-2", "itemData" : { "DOI" : "10.1111/1469-8986.3720163", "abstract" : "Eye movements, eye blinks, cardiac signals, muscle noise, and line noise present serious problems for electroencephalographic (EEG) interpretation and analysis when rejecting contaminated EEG segments results in an unacceptable data loss. Many methods have been proposed to remove artifacts from EEG recordings, especially those arising from eye movements and blinks. Often regression in the time or frequency domain is performed on parallel EEG and electrooculographic (EOG) recordings to derive parameters characterizing the appearance and spread of EOG artifacts in the EEG channels. Because EEG and ocular activity mix bidirectionally, regressing out eye artifacts inevitably involves subtracting relevant EEG signals from each record as well. Regression methods become even more problematic when a good regressing channel is not available for each artifact source, as in the case of muscle artifacts. Use of principal component analysis (PCA) has been proposed to remove eye artifacts from multichannel EEG. However, PCA cannot completely separate eye artifacts from brain signals, especially when they have comparable amplitudes. Here, we propose a new and generally applicable method for removing a wide variety of artifacts from EEG records based on blind source separation by independent component analysis (ICA). Our results on EEG data collected from normal and autistic subjects show that ICA can effectively detect, separate, and remove contamination from a wide variety of artifactual sources in EEG records with results comparing favorably with those obtained using regression and PCA methods. ICA can also be used to analyze blink-related brain activity.", "author" : [ { "dropping-particle" : "", "family" : "Jung", "given" : "Tzyy-Ping", "non-dropping-particle" : "", "parse-names" : false, "suffix" : "" }, { "dropping-particle" : "", "family" : "Makeig", "given" : "Scott", "non-dropping-particle" : "", "parse-names" : false, "suffix" : "" }, { "dropping-particle" : "", "family" : "Humphries", "given" : "Colin", "non-dropping-particle" : "", "parse-names" : false, "suffix" : "" }, { "dropping-particle" : "", "family" : "Lee", "given" : "Te-Won", "non-dropping-particle" : "", "parse-names" : false, "suffix" : "" }, { "dropping-particle" : "", "family" : "McKeown", "given" : "Martin J", "non-dropping-particle" : "", "parse-names" : false, "suffix" : "" }, { "dropping-particle" : "", "family" : "Iragui", "given" : "Vicente", "non-dropping-particle" : "", "parse-names" : false, "suffix" : "" }, { "dropping-particle" : "", "family" : "Sejnowski", "given" : "Terrence J", "non-dropping-particle" : "", "parse-names" : false, "suffix" : "" } ], "container-title" : "Psychophysiology", "id" : "ITEM-2", "issue" : "2", "issued" : { "date-parts" : [ [ "2000" ] ] }, "page" : "163-178", "title" : "Removing electroencephalographic artifacts by blind source separation", "type" : "article-journal", "volume" : "37" }, "uris" : [ "http://www.mendeley.com/documents/?uuid=dec94114-c895-4f89-aac7-48bc56b51e68" ] } ], "mendeley" : { "formattedCitation" : "(Jung et al., 1998; Jung, Makeig, Humphries, et al., 2000)", "plainTextFormattedCitation" : "(Jung et al., 1998; Jung, Makeig, Humphries, et al., 2000)", "previouslyFormattedCitation" : "(Jung et al., 1998; Jung, Makeig, Humphries, et al., 2000)" }, "properties" : { "noteIndex" : 0 }, "schema" : "https://github.com/citation-style-language/schema/raw/master/csl-citation.json" }</w:instrText>
      </w:r>
      <w:r w:rsidRPr="00341B41">
        <w:fldChar w:fldCharType="separate"/>
      </w:r>
      <w:r w:rsidRPr="00341B41">
        <w:rPr>
          <w:noProof/>
        </w:rPr>
        <w:t>(Jung et al., 1998; Jung, Makeig, Humphries, et al., 2000)</w:t>
      </w:r>
      <w:r w:rsidRPr="00341B41">
        <w:fldChar w:fldCharType="end"/>
      </w:r>
      <w:r w:rsidRPr="00341B41">
        <w:t xml:space="preserve">. The use of an ICA approach for removing eye blinks meant the amount the data removed due to artefacts was reduced. </w:t>
      </w:r>
    </w:p>
    <w:p w14:paraId="7BE17CE9" w14:textId="64396CF3" w:rsidR="00107813" w:rsidRPr="00341B41" w:rsidRDefault="00E309CD" w:rsidP="00107813">
      <w:pPr>
        <w:ind w:firstLine="720"/>
        <w:rPr>
          <w:rFonts w:cs="Times New Roman"/>
        </w:rPr>
      </w:pPr>
      <w:r w:rsidRPr="00341B41">
        <w:t xml:space="preserve">The cleaned data were re-referenced to an average electrode. </w:t>
      </w:r>
      <w:r w:rsidRPr="00341B41">
        <w:rPr>
          <w:rFonts w:cs="Times New Roman"/>
        </w:rPr>
        <w:t xml:space="preserve">Epochs were created with the start of the stimulus at 0ms. The epoch ended 1500ms post-stimulus onset. Any epochs containing break event markers were rejected. There was no difference between the </w:t>
      </w:r>
      <w:r w:rsidR="00847616" w:rsidRPr="00341B41">
        <w:rPr>
          <w:rFonts w:cs="Times New Roman"/>
        </w:rPr>
        <w:t>experienced</w:t>
      </w:r>
      <w:r w:rsidRPr="00341B41">
        <w:rPr>
          <w:rFonts w:cs="Times New Roman"/>
        </w:rPr>
        <w:t xml:space="preserve"> (M = 150, SD = 15.90</w:t>
      </w:r>
      <w:r w:rsidR="009B460F" w:rsidRPr="00341B41">
        <w:rPr>
          <w:rFonts w:cs="Times New Roman"/>
        </w:rPr>
        <w:t>, percentage rejected = 15%</w:t>
      </w:r>
      <w:r w:rsidRPr="00341B41">
        <w:rPr>
          <w:rFonts w:cs="Times New Roman"/>
        </w:rPr>
        <w:t xml:space="preserve">) and </w:t>
      </w:r>
      <w:r w:rsidR="00847616" w:rsidRPr="00341B41">
        <w:rPr>
          <w:rFonts w:cs="Times New Roman"/>
        </w:rPr>
        <w:t>less experienced</w:t>
      </w:r>
      <w:r w:rsidRPr="00341B41">
        <w:rPr>
          <w:rFonts w:cs="Times New Roman"/>
        </w:rPr>
        <w:t xml:space="preserve"> (M = 154, SD = 12.38</w:t>
      </w:r>
      <w:r w:rsidR="009B460F" w:rsidRPr="00341B41">
        <w:rPr>
          <w:rFonts w:cs="Times New Roman"/>
        </w:rPr>
        <w:t>, percentage rejected = 13%</w:t>
      </w:r>
      <w:r w:rsidRPr="00341B41">
        <w:rPr>
          <w:rFonts w:cs="Times New Roman"/>
        </w:rPr>
        <w:t>) group</w:t>
      </w:r>
      <w:r w:rsidR="00847616" w:rsidRPr="00341B41">
        <w:rPr>
          <w:rFonts w:cs="Times New Roman"/>
        </w:rPr>
        <w:t>s</w:t>
      </w:r>
      <w:r w:rsidRPr="00341B41">
        <w:rPr>
          <w:rFonts w:cs="Times New Roman"/>
        </w:rPr>
        <w:t xml:space="preserve"> in terms of total number of accepted </w:t>
      </w:r>
      <w:r w:rsidRPr="00341B41">
        <w:rPr>
          <w:rFonts w:cs="Times New Roman"/>
        </w:rPr>
        <w:lastRenderedPageBreak/>
        <w:t xml:space="preserve">epochs; </w:t>
      </w:r>
      <w:r w:rsidRPr="00341B41">
        <w:rPr>
          <w:rFonts w:cs="Times New Roman"/>
          <w:i/>
        </w:rPr>
        <w:t xml:space="preserve">t </w:t>
      </w:r>
      <w:r w:rsidRPr="00341B41">
        <w:rPr>
          <w:rFonts w:cs="Times New Roman"/>
        </w:rPr>
        <w:t xml:space="preserve">(35) = 1.03, </w:t>
      </w:r>
      <w:r w:rsidRPr="00341B41">
        <w:rPr>
          <w:rFonts w:cs="Times New Roman"/>
          <w:i/>
        </w:rPr>
        <w:t xml:space="preserve">p </w:t>
      </w:r>
      <w:r w:rsidRPr="00341B41">
        <w:rPr>
          <w:rFonts w:cs="Times New Roman"/>
        </w:rPr>
        <w:t xml:space="preserve">= .31, </w:t>
      </w:r>
      <w:r w:rsidRPr="00341B41">
        <w:rPr>
          <w:rFonts w:cs="Times New Roman"/>
          <w:i/>
        </w:rPr>
        <w:t xml:space="preserve">d </w:t>
      </w:r>
      <w:r w:rsidRPr="00341B41">
        <w:rPr>
          <w:rFonts w:cs="Times New Roman"/>
        </w:rPr>
        <w:t xml:space="preserve">= 0.28. The event period of the epoch captured the observation period whilst participants were watching the shot. The baseline period started at -1000ms, and featured the still image of the first frame of the upcoming trial. An </w:t>
      </w:r>
      <w:r w:rsidR="00AC4673" w:rsidRPr="00341B41">
        <w:rPr>
          <w:noProof/>
          <w:lang w:val="en-US"/>
        </w:rPr>
        <w:drawing>
          <wp:anchor distT="0" distB="0" distL="114300" distR="114300" simplePos="0" relativeHeight="251667456" behindDoc="0" locked="0" layoutInCell="1" allowOverlap="1" wp14:anchorId="63FBD987" wp14:editId="743D653B">
            <wp:simplePos x="0" y="0"/>
            <wp:positionH relativeFrom="page">
              <wp:posOffset>695960</wp:posOffset>
            </wp:positionH>
            <wp:positionV relativeFrom="paragraph">
              <wp:posOffset>1486535</wp:posOffset>
            </wp:positionV>
            <wp:extent cx="5436235" cy="1714500"/>
            <wp:effectExtent l="0" t="0" r="0" b="12700"/>
            <wp:wrapTopAndBottom/>
            <wp:docPr id="4" name="Picture 4" descr="Formatted%20figures/Example%20t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atted%20figures/Example%20trial.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43" r="6411"/>
                    <a:stretch/>
                  </pic:blipFill>
                  <pic:spPr bwMode="auto">
                    <a:xfrm>
                      <a:off x="0" y="0"/>
                      <a:ext cx="543623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B41">
        <w:rPr>
          <w:rFonts w:cs="Times New Roman"/>
        </w:rPr>
        <w:t xml:space="preserve">example epoch is displayed in </w:t>
      </w:r>
      <w:r w:rsidRPr="00341B41">
        <w:rPr>
          <w:rFonts w:cs="Times New Roman"/>
          <w:b/>
        </w:rPr>
        <w:t>Figure 4</w:t>
      </w:r>
      <w:r w:rsidRPr="00341B41">
        <w:rPr>
          <w:rFonts w:cs="Times New Roman"/>
        </w:rPr>
        <w:t>.</w:t>
      </w:r>
    </w:p>
    <w:p w14:paraId="4A57F475" w14:textId="34B87CC3" w:rsidR="00107813" w:rsidRPr="00341B41" w:rsidRDefault="00107813" w:rsidP="00107813">
      <w:pPr>
        <w:pStyle w:val="Caption"/>
      </w:pPr>
      <w:bookmarkStart w:id="64" w:name="_Toc488400753"/>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4</w:t>
      </w:r>
      <w:r w:rsidRPr="00341B41">
        <w:fldChar w:fldCharType="end"/>
      </w:r>
      <w:r w:rsidRPr="00341B41">
        <w:t>. An example epoch</w:t>
      </w:r>
      <w:bookmarkEnd w:id="64"/>
    </w:p>
    <w:p w14:paraId="6A5765E6" w14:textId="33C2FB9A" w:rsidR="00107813" w:rsidRPr="00341B41" w:rsidRDefault="00107813" w:rsidP="00107813">
      <w:pPr>
        <w:pStyle w:val="NoSpacing"/>
        <w:rPr>
          <w:i/>
        </w:rPr>
      </w:pPr>
      <w:r w:rsidRPr="00341B41">
        <w:rPr>
          <w:i/>
        </w:rPr>
        <w:t>A – Baseline period of 4000ms showing a still image of the first frame of the trial video. B – Trial begins by video playing, each trial lasting approximately 1500ms. C – Trial ends on the frame prior to racket-ball contact. D – Participants anticipate shot direction. Epochs were time-locked to the video start, and lasted 1500ms. The baseline period was 1000ms prior to stimulus onset.</w:t>
      </w:r>
      <w:r w:rsidR="00040D80" w:rsidRPr="00341B41">
        <w:rPr>
          <w:i/>
        </w:rPr>
        <w:t xml:space="preserve"> Note this Figure represents a continuous video stimulus.</w:t>
      </w:r>
    </w:p>
    <w:p w14:paraId="1FF163CA" w14:textId="77777777" w:rsidR="00107813" w:rsidRPr="00341B41" w:rsidRDefault="00107813" w:rsidP="00107813"/>
    <w:p w14:paraId="4D2F643F" w14:textId="1E2DD7FC" w:rsidR="00E309CD" w:rsidRPr="00341B41" w:rsidRDefault="00E309CD" w:rsidP="00E309CD">
      <w:pPr>
        <w:pStyle w:val="Heading3"/>
      </w:pPr>
      <w:bookmarkStart w:id="65" w:name="_Toc486260872"/>
      <w:r w:rsidRPr="00341B41">
        <w:t>3.2.6.</w:t>
      </w:r>
      <w:r w:rsidRPr="00341B41">
        <w:tab/>
        <w:t>EEG data analysis</w:t>
      </w:r>
      <w:bookmarkEnd w:id="65"/>
    </w:p>
    <w:p w14:paraId="2A2FD00A" w14:textId="69F914B4" w:rsidR="00E309CD" w:rsidRPr="00341B41" w:rsidRDefault="00E309CD" w:rsidP="00E309CD">
      <w:pPr>
        <w:rPr>
          <w:rFonts w:cs="Times New Roman"/>
        </w:rPr>
      </w:pPr>
      <w:r w:rsidRPr="00341B41">
        <w:t>Main analyses were conducted on channel electrode D19 and B22, corresponding to locations C3 and C4 according to the 10-20 international system (</w:t>
      </w:r>
      <w:r w:rsidRPr="00341B41">
        <w:rPr>
          <w:b/>
        </w:rPr>
        <w:t>Figure 5</w:t>
      </w:r>
      <w:r w:rsidRPr="00341B41">
        <w:t xml:space="preserve">) and commonly used sites for measuring sensorimotor </w:t>
      </w:r>
      <w:r w:rsidR="00BC351E" w:rsidRPr="00341B41">
        <w:t>activity</w:t>
      </w:r>
      <w:r w:rsidRPr="00341B41">
        <w:t xml:space="preserve"> </w:t>
      </w:r>
      <w:r w:rsidRPr="00341B41">
        <w:fldChar w:fldCharType="begin" w:fldLock="1"/>
      </w:r>
      <w:r w:rsidRPr="00341B41">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"id" : "ITEM-2",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"ITEM-2",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"(Cannon et al., 2014; Wolf et al., 2014)", "plainTextFormattedCitation" : "(Cannon et al., 2014; Wolf et al., 2014)", "previouslyFormattedCitation" : "(Cannon et al., 2014; Wolf et al., 2014)" }, "properties" : { "noteIndex" : 0 }, "schema" : "https://github.com/citation-style-language/schema/raw/master/csl-citation.json" }</w:instrText>
      </w:r>
      <w:r w:rsidRPr="00341B41">
        <w:fldChar w:fldCharType="separate"/>
      </w:r>
      <w:r w:rsidRPr="00341B41">
        <w:rPr>
          <w:noProof/>
        </w:rPr>
        <w:t>(Cannon et al., 2014; Wolf et al., 2014)</w:t>
      </w:r>
      <w:r w:rsidRPr="00341B41">
        <w:fldChar w:fldCharType="end"/>
      </w:r>
      <w:r w:rsidRPr="00341B41">
        <w:t xml:space="preserve">. </w:t>
      </w:r>
      <w:r w:rsidRPr="00341B41">
        <w:rPr>
          <w:rFonts w:cs="Times New Roman"/>
        </w:rPr>
        <w:t xml:space="preserve">The event related spectral perturbation (ERSP) is a measure of average dynamic changes in amplitude of the broad band EEG frequency spectrum as a function of time relative to an experimental event </w:t>
      </w:r>
      <w:r w:rsidRPr="00341B41">
        <w:rPr>
          <w:rFonts w:cs="Times New Roman"/>
        </w:rPr>
        <w:fldChar w:fldCharType="begin" w:fldLock="1"/>
      </w:r>
      <w:r w:rsidRPr="00341B41">
        <w:rPr>
          <w:rFonts w:cs="Times New Roman"/>
        </w:rPr>
        <w:instrText>ADDIN CSL_CITATION { "citationItems" : [ { "id" : "ITEM-1", "itemData" : { "DOI" : "10.1016/0013-4694(93)90110-H", "ISBN" : "0013-4694 (Print)\\r0013-4694 (Linking)", "ISSN" : "00134694", "PMID" : "7682932", "abstract" : "A new measure of event-related brain dynamics, the event-related spectral perturbation (ERSP), is introduced to study event-related dynamics of the EEG spectrum induced by, but not phase-locked to, the onset of the auditory stimuli. The ERSP reveals aspects of event-related brain dynamics not contained in the ERP average of the same response epochs. Twenty-eight subjects participated in daily auditory evoked response experiments during a 4 day study of the effects of 24 h free-field exposure to intermittent trains of 89 dB low frequency tones. During evoked response testing, the same tones were presented through headphones in random order at 5 sec intervals. No significant changes in behavioral thresholds occurred during or after free-field exposure. ERSPs induced by target pips presented in some inter-tone intervals were larger than, but shared common features with, ERSPs induced by the tones, most prominently a ridge of augmented EEG amplitude from 11 to 18 Hz, peaking 1-1.5 sec after stimulus onset. Following 3-11 h of free-field exposure, this feature was significantly smaller in tone-induced ERSPs; target-induced ERSPs were not similarly affected. These results, therefore, document systematic effects of exposure to intermittent tones on EEG brain dynamics even in the absence of changes in auditory thresholds. ?? 1993.", "author" : [ { "dropping-particle" : "", "family" : "Makeig", "given" : "Scott", "non-dropping-particle" : "", "parse-names" : false, "suffix" : "" } ], "container-title" : "Electroencephalography and Clinical Neurophysiology", "id" : "ITEM-1", "issue" : "4", "issued" : { "date-parts" : [ [ "1993" ] ] }, "page" : "283-293", "title" : "Auditory event-related dynamics of the EEG spectrum and effects of exposure to tones", "type" : "article-journal", "volume" : "86" }, "uris" : [ "http://www.mendeley.com/documents/?uuid=4fc8e5ee-6225-46dc-b961-dc0665007bb0" ] } ], "mendeley" : { "formattedCitation" : "(Makeig, 1993)", "plainTextFormattedCitation" : "(Makeig, 1993)", "previouslyFormattedCitation" : "(Makeig, 1993)" }, "properties" : { "noteIndex" : 0 }, "schema" : "https://github.com/citation-style-language/schema/raw/master/csl-citation.json" }</w:instrText>
      </w:r>
      <w:r w:rsidRPr="00341B41">
        <w:rPr>
          <w:rFonts w:cs="Times New Roman"/>
        </w:rPr>
        <w:fldChar w:fldCharType="separate"/>
      </w:r>
      <w:r w:rsidRPr="00341B41">
        <w:rPr>
          <w:rFonts w:cs="Times New Roman"/>
          <w:noProof/>
        </w:rPr>
        <w:t>(Makeig, 1993)</w:t>
      </w:r>
      <w:r w:rsidRPr="00341B41">
        <w:rPr>
          <w:rFonts w:cs="Times New Roman"/>
        </w:rPr>
        <w:fldChar w:fldCharType="end"/>
      </w:r>
      <w:r w:rsidRPr="00341B41">
        <w:rPr>
          <w:rFonts w:cs="Times New Roman"/>
        </w:rPr>
        <w:t xml:space="preserve">. ERSP in the 4-50Hz frequency range was computed in EEGLAB using </w:t>
      </w:r>
      <w:proofErr w:type="spellStart"/>
      <w:r w:rsidRPr="00341B41">
        <w:rPr>
          <w:rFonts w:cs="Times New Roman"/>
        </w:rPr>
        <w:t>Morlet</w:t>
      </w:r>
      <w:proofErr w:type="spellEnd"/>
      <w:r w:rsidRPr="00341B41">
        <w:rPr>
          <w:rFonts w:cs="Times New Roman"/>
        </w:rPr>
        <w:t xml:space="preserve"> wavelet decomposition, applied over 200 overlapping windows, starting with a 3 cycle wavelet at the lowest frequency </w:t>
      </w:r>
      <w:r w:rsidRPr="00341B41">
        <w:rPr>
          <w:rFonts w:cs="Times New Roman"/>
        </w:rPr>
        <w:fldChar w:fldCharType="begin" w:fldLock="1"/>
      </w:r>
      <w:r w:rsidRPr="00341B41">
        <w:rPr>
          <w:rFonts w:cs="Times New Roman"/>
        </w:rPr>
        <w:instrText>ADDIN CSL_CITATION { "citationItems" : [ { "id" : "ITEM-1", "itemData" : { "DOI" : "10.1016/j.jneumeth.2003.10.009", "ISSN" : "0165-0270", "PMID" : "15102499", "abstract" : "We have developed a toolbox and graphic user interface, EEGLAB, running under the crossplatform MATLAB environment (The Mathworks, Inc.) for processing collections of single-trial and/or averaged EEG data of any number of channels. Available functions include EEG data, channel and event information importing, data visualization (scrolling, scalp map and dipole model plotting, plus multi-trial ERP-image plots), preprocessing (including artifact rejection, filtering, epoch selection, and averaging), independent component analysis (ICA) and time/frequency decompositions including channel and component cross-coherence supported by bootstrap statistical methods based on data resampling. EEGLAB functions are organized into three layers. Top-layer functions allow users to interact with the data through the graphic interface without needing to use MATLAB syntax. Menu options allow users to tune the behavior of EEGLAB to available memory. Middle-layer functions allow users to customize data processing using command history and interactive 'pop' functions. Experienced MATLAB users can use EEGLAB data structures and stand-alone signal processing functions to write custom and/or batch analysis scripts. Extensive function help and tutorial information are included. A 'plug-in' facility allows easy incorporation of new EEG modules into the main menu. EEGLAB is freely available (http://www.sccn.ucsd.edu/eeglab/) under the GNU public license for noncommercial use and open source development, together with sample data, user tutorial and extensive documentation.", "author" : [ { "dropping-particle" : "", "family" : "Delorme", "given" : "Arnaud", "non-dropping-particle" : "", "parse-names" : false, "suffix" : "" }, { "dropping-particle" : "", "family" : "Makeig", "given" : "Scott", "non-dropping-particle" : "", "parse-names" : false, "suffix" : "" } ], "container-title" : "Journal of Neuroscience Methods", "id" : "ITEM-1", "issue" : "1", "issued" : { "date-parts" : [ [ "2004", "3", "15" ] ] }, "page" : "9-21", "title" : "EEGLAB: an open source toolbox for analysis of single-trial EEG dynamics including independent component analysis.", "type" : "article-journal", "volume" : "134" }, "uris" : [ "http://www.mendeley.com/documents/?uuid=64eb994c-9c5a-49a5-ba1e-f68eeb86638a" ] } ], "mendeley" : { "formattedCitation" : "(Delorme &amp; Makeig, 2004)", "plainTextFormattedCitation" : "(Delorme &amp; Makeig, 2004)", "previouslyFormattedCitation" : "(Delorme &amp; Makeig, 2004)" }, "properties" : { "noteIndex" : 0 }, "schema" : "https://github.com/citation-style-language/schema/raw/master/csl-citation.json" }</w:instrText>
      </w:r>
      <w:r w:rsidRPr="00341B41">
        <w:rPr>
          <w:rFonts w:cs="Times New Roman"/>
        </w:rPr>
        <w:fldChar w:fldCharType="separate"/>
      </w:r>
      <w:r w:rsidRPr="00341B41">
        <w:rPr>
          <w:rFonts w:cs="Times New Roman"/>
          <w:noProof/>
        </w:rPr>
        <w:t>(Delorme &amp; Makeig, 2004)</w:t>
      </w:r>
      <w:r w:rsidRPr="00341B41">
        <w:rPr>
          <w:rFonts w:cs="Times New Roman"/>
        </w:rPr>
        <w:fldChar w:fldCharType="end"/>
      </w:r>
      <w:r w:rsidRPr="00341B41">
        <w:rPr>
          <w:rFonts w:cs="Times New Roman"/>
        </w:rPr>
        <w:t>.</w:t>
      </w:r>
      <w:r w:rsidR="00FB0B99" w:rsidRPr="00341B41">
        <w:rPr>
          <w:rFonts w:cs="Times New Roman"/>
        </w:rPr>
        <w:t xml:space="preserve"> The window size was 1115.23ms wide, overlapped by 1105.815ms, giving a time resolution of </w:t>
      </w:r>
      <w:r w:rsidR="00FB0B99" w:rsidRPr="00341B41">
        <w:rPr>
          <w:rFonts w:cs="Times New Roman"/>
        </w:rPr>
        <w:lastRenderedPageBreak/>
        <w:t>9.415ms.</w:t>
      </w:r>
      <w:r w:rsidRPr="00341B41">
        <w:rPr>
          <w:rFonts w:cs="Times New Roman"/>
        </w:rPr>
        <w:t xml:space="preserve"> ERSP values were transformed into log-units and converted to decibel units (dB), by multiplying the log ratio with the factor 10 </w:t>
      </w:r>
      <w:r w:rsidRPr="00341B41">
        <w:rPr>
          <w:rFonts w:cs="Times New Roman"/>
        </w:rPr>
        <w:fldChar w:fldCharType="begin" w:fldLock="1"/>
      </w:r>
      <w:r w:rsidRPr="00341B41">
        <w:rPr>
          <w:rFonts w:cs="Times New Roman"/>
        </w:rPr>
        <w:instrText>ADDIN CSL_CITATION { "citationItems" : [ { "id" : "ITEM-1", "itemData" : { "DOI" : "10.3389/fpsyg.2011.00236", "ISBN" : "10.3389/fpsyg.2011.00236", "ISSN" : "16641078", "PMID" : "21994498", "abstract" : "In electroencephalography, the classical event-related potential model often proves to be a limited method to study complex brain dynamics. For this reason, spectral techniques adapted from signal processing such as event-related spectral perturbation (ERSP) - and its variant event-related synchronization and event-related desynchronization - have been used over the past 20 years. They represent average spectral changes in response to a stimulus. These spectral methods do not have strong consensus for comparing pre- and post-stimulus activity. When computing ERSP, pre-stimulus baseline removal is usually performed after averaging the spectral estimate of multiple trials. Correcting the baseline of each single-trial prior to averaging spectral estimates is an alternative baseline correction method. However, we show that this method leads to positively skewed post-stimulus ERSP values. We eventually present new single-trial-based ERSP baseline correction methods that perform trial normalization or centering prior to applying classical baseline correction methods. We show that single-trial correction methods minimize the contribution of artifactual data trials with high-amplitude spectral estimates and are robust to outliers when performing statistical inference testing. We then characterize these methods in terms of their time-frequency responses and behavior compared to classical ERSP methods.", "author" : [ { "dropping-particle" : "", "family" : "Grandchamp", "given" : "Romain", "non-dropping-particle" : "", "parse-names" : false, "suffix" : "" }, { "dropping-particle" : "", "family" : "Delorme", "given" : "Arnaud", "non-dropping-particle" : "", "parse-names" : false, "suffix" : "" } ], "container-title" : "Frontiers in Psychology", "id" : "ITEM-1", "issue" : "SEP", "issued" : { "date-parts" : [ [ "2011" ] ] }, "page" : "1-14", "title" : "Single-trial normalization for event-related spectral decomposition reduces sensitivity to noisy trials", "type" : "article-journal", "volume" : "2" }, "uris" : [ "http://www.mendeley.com/documents/?uuid=b743a3ba-4277-464d-a51a-b298cf493190" ] } ], "mendeley" : { "formattedCitation" : "(Grandchamp &amp; Delorme, 2011)", "plainTextFormattedCitation" : "(Grandchamp &amp; Delorme, 2011)", "previouslyFormattedCitation" : "(Grandchamp &amp; Delorme, 2011)" }, "properties" : { "noteIndex" : 0 }, "schema" : "https://github.com/citation-style-language/schema/raw/master/csl-citation.json" }</w:instrText>
      </w:r>
      <w:r w:rsidRPr="00341B41">
        <w:rPr>
          <w:rFonts w:cs="Times New Roman"/>
        </w:rPr>
        <w:fldChar w:fldCharType="separate"/>
      </w:r>
      <w:r w:rsidRPr="00341B41">
        <w:rPr>
          <w:rFonts w:cs="Times New Roman"/>
          <w:noProof/>
        </w:rPr>
        <w:t>(Grandchamp &amp; Delorme, 2011)</w:t>
      </w:r>
      <w:r w:rsidRPr="00341B41">
        <w:rPr>
          <w:rFonts w:cs="Times New Roman"/>
        </w:rPr>
        <w:fldChar w:fldCharType="end"/>
      </w:r>
      <w:r w:rsidRPr="00341B41">
        <w:rPr>
          <w:rFonts w:cs="Times New Roman"/>
        </w:rPr>
        <w:t>. Therefore, ERSP expresses the relative change in power during the event period in dB compared with the baseline (which in this case is the still video). Reduction in power relative to the baseline is displayed in blue, with increases in power relative to the baseline displayed in red (</w:t>
      </w:r>
      <w:r w:rsidRPr="00341B41">
        <w:rPr>
          <w:rFonts w:cs="Times New Roman"/>
          <w:b/>
        </w:rPr>
        <w:t>see Figures 6 &amp; 7</w:t>
      </w:r>
      <w:r w:rsidRPr="00341B41">
        <w:rPr>
          <w:rFonts w:cs="Times New Roman"/>
        </w:rPr>
        <w:t>). Control analyses were also performed at frontal, parietal, and occipital sites (</w:t>
      </w:r>
      <w:r w:rsidRPr="00341B41">
        <w:rPr>
          <w:rFonts w:cs="Times New Roman"/>
          <w:b/>
        </w:rPr>
        <w:t>Figure 5)</w:t>
      </w:r>
      <w:r w:rsidRPr="00341B41">
        <w:rPr>
          <w:rFonts w:cs="Times New Roman"/>
        </w:rPr>
        <w:t xml:space="preserve">. These analyses were performed to show whether any group </w:t>
      </w:r>
      <w:r w:rsidR="00107813" w:rsidRPr="00341B41">
        <w:rPr>
          <w:rFonts w:cs="Times New Roman"/>
          <w:b/>
          <w:noProof/>
          <w:lang w:val="en-US"/>
        </w:rPr>
        <w:drawing>
          <wp:anchor distT="0" distB="0" distL="114300" distR="114300" simplePos="0" relativeHeight="251669504" behindDoc="0" locked="0" layoutInCell="1" allowOverlap="1" wp14:anchorId="057EFAF0" wp14:editId="471D1B0C">
            <wp:simplePos x="0" y="0"/>
            <wp:positionH relativeFrom="column">
              <wp:posOffset>1419860</wp:posOffset>
            </wp:positionH>
            <wp:positionV relativeFrom="paragraph">
              <wp:posOffset>2630805</wp:posOffset>
            </wp:positionV>
            <wp:extent cx="2997200" cy="40259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997200" cy="4025900"/>
                    </a:xfrm>
                    <a:prstGeom prst="rect">
                      <a:avLst/>
                    </a:prstGeom>
                  </pic:spPr>
                </pic:pic>
              </a:graphicData>
            </a:graphic>
            <wp14:sizeRelH relativeFrom="page">
              <wp14:pctWidth>0</wp14:pctWidth>
            </wp14:sizeRelH>
            <wp14:sizeRelV relativeFrom="page">
              <wp14:pctHeight>0</wp14:pctHeight>
            </wp14:sizeRelV>
          </wp:anchor>
        </w:drawing>
      </w:r>
      <w:r w:rsidRPr="00341B41">
        <w:rPr>
          <w:rFonts w:cs="Times New Roman"/>
        </w:rPr>
        <w:t>differences were unique to central sites.</w:t>
      </w:r>
    </w:p>
    <w:p w14:paraId="42A37B1E" w14:textId="3DA6BC3F" w:rsidR="00107813" w:rsidRPr="00341B41" w:rsidRDefault="00107813" w:rsidP="00107813">
      <w:pPr>
        <w:pStyle w:val="Caption"/>
      </w:pPr>
      <w:bookmarkStart w:id="66" w:name="_Toc488400754"/>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5</w:t>
      </w:r>
      <w:r w:rsidRPr="00341B41">
        <w:fldChar w:fldCharType="end"/>
      </w:r>
      <w:r w:rsidRPr="00341B41">
        <w:t xml:space="preserve">. </w:t>
      </w:r>
      <w:proofErr w:type="spellStart"/>
      <w:r w:rsidRPr="00341B41">
        <w:t>BioSemi</w:t>
      </w:r>
      <w:proofErr w:type="spellEnd"/>
      <w:r w:rsidRPr="00341B41">
        <w:t xml:space="preserve"> 128 electrode cap layout, with electrodes of interest highlighted</w:t>
      </w:r>
      <w:bookmarkEnd w:id="66"/>
    </w:p>
    <w:p w14:paraId="40908AAA" w14:textId="275A81D2" w:rsidR="00107813" w:rsidRPr="00341B41" w:rsidRDefault="00107813" w:rsidP="00107813">
      <w:pPr>
        <w:pStyle w:val="NoSpacing"/>
        <w:rPr>
          <w:i/>
        </w:rPr>
      </w:pPr>
      <w:r w:rsidRPr="00341B41">
        <w:rPr>
          <w:i/>
        </w:rPr>
        <w:t xml:space="preserve">Electrodes D19 and B22 (marked in blue) correspond to positions C3 and C4 of the 10-20 system. Electrodes marked in grey were used for control analyses. C32 and C10 correspond to F3 and F4 respectively. A7 and B4 correspond to P3 and P4, and A10 and B7 correspond to O3 and O4. </w:t>
      </w:r>
    </w:p>
    <w:p w14:paraId="034010B3" w14:textId="58875862" w:rsidR="00107813" w:rsidRPr="00341B41" w:rsidRDefault="00107813" w:rsidP="00E309CD">
      <w:pPr>
        <w:rPr>
          <w:rFonts w:cs="Times New Roman"/>
        </w:rPr>
      </w:pPr>
    </w:p>
    <w:p w14:paraId="46C73D47" w14:textId="1F59C801" w:rsidR="00D65A2D" w:rsidRPr="00341B41" w:rsidRDefault="00D65A2D" w:rsidP="00D65A2D">
      <w:pPr>
        <w:pStyle w:val="Heading3"/>
      </w:pPr>
      <w:bookmarkStart w:id="67" w:name="_Toc486260873"/>
      <w:r w:rsidRPr="00341B41">
        <w:lastRenderedPageBreak/>
        <w:t>3.2.7.</w:t>
      </w:r>
      <w:r w:rsidRPr="00341B41">
        <w:tab/>
        <w:t>Statistical analysis</w:t>
      </w:r>
      <w:bookmarkEnd w:id="67"/>
    </w:p>
    <w:p w14:paraId="05AAF264" w14:textId="77777777" w:rsidR="00D65A2D" w:rsidRPr="00341B41" w:rsidRDefault="00D65A2D" w:rsidP="00D65A2D">
      <w:pPr>
        <w:pStyle w:val="ThesisNormal"/>
        <w:rPr>
          <w:rFonts w:cs="Times New Roman"/>
        </w:rPr>
      </w:pPr>
      <w:r w:rsidRPr="00341B41">
        <w:t>To assess for significant differences in ERSP time/frequency data between the experienced and less experienced groups, bootstrapped significance tests were performed</w:t>
      </w:r>
      <w:r w:rsidRPr="00341B41">
        <w:rPr>
          <w:rFonts w:cs="Times New Roman"/>
        </w:rPr>
        <w:t xml:space="preserve">. The potential for spurious significant findings being generated by multiple comparisons was controlled using the false discovery rate (FDR). The results of these tests are </w:t>
      </w:r>
      <w:proofErr w:type="spellStart"/>
      <w:r w:rsidRPr="00341B41">
        <w:rPr>
          <w:rFonts w:cs="Times New Roman"/>
        </w:rPr>
        <w:t>visualised</w:t>
      </w:r>
      <w:proofErr w:type="spellEnd"/>
      <w:r w:rsidRPr="00341B41">
        <w:rPr>
          <w:rFonts w:cs="Times New Roman"/>
        </w:rPr>
        <w:t xml:space="preserve"> on a time-frequency plot indicating points where significant differences at the </w:t>
      </w:r>
      <w:r w:rsidRPr="00341B41">
        <w:rPr>
          <w:rFonts w:cs="Times New Roman"/>
          <w:i/>
        </w:rPr>
        <w:t>p</w:t>
      </w:r>
      <w:r w:rsidRPr="00341B41">
        <w:rPr>
          <w:rFonts w:cs="Times New Roman"/>
        </w:rPr>
        <w:t xml:space="preserve"> &lt; .01 level arose. </w:t>
      </w:r>
    </w:p>
    <w:p w14:paraId="0A21AA97" w14:textId="77777777" w:rsidR="00D65A2D" w:rsidRPr="00341B41" w:rsidRDefault="00D65A2D" w:rsidP="00D65A2D">
      <w:pPr>
        <w:pStyle w:val="ThesisNormal"/>
        <w:rPr>
          <w:rFonts w:cs="Times New Roman"/>
        </w:rPr>
      </w:pPr>
    </w:p>
    <w:p w14:paraId="489A288A" w14:textId="77777777" w:rsidR="00D65A2D" w:rsidRPr="00341B41" w:rsidRDefault="00D65A2D" w:rsidP="00D65A2D">
      <w:pPr>
        <w:pStyle w:val="ThesisNormal"/>
        <w:ind w:firstLine="720"/>
        <w:rPr>
          <w:rFonts w:cs="Times New Roman"/>
        </w:rPr>
      </w:pPr>
      <w:r w:rsidRPr="00341B41">
        <w:rPr>
          <w:rFonts w:cs="Times New Roman"/>
        </w:rPr>
        <w:t xml:space="preserve">ERSP values averaged across both frequency band and time were also calculated. This process created a single baseline ERSP value, and a single event ERSP value. The overall ERSP value was derived by subtracting the event ERSP from the baseline ERSP </w:t>
      </w:r>
      <w:r w:rsidRPr="00341B41">
        <w:rPr>
          <w:rFonts w:cs="Times New Roman"/>
        </w:rPr>
        <w:fldChar w:fldCharType="begin" w:fldLock="1"/>
      </w:r>
      <w:r w:rsidRPr="00341B41">
        <w:rPr>
          <w:rFonts w:cs="Times New Roman"/>
        </w:rPr>
        <w:instrText>ADDIN CSL_CITATION { "citationItems" : [ { "id" : "ITEM-1", "itemData" : { "ISSN" : "1388-2457", "PMID" : "10576479", "abstract" : "An internally or externally paced event results not only in the generation of an event-related potential (ERP) but also in a change in the ongoing EEG/MEG in form of an event-related desynchronization (ERD) or event-related synchronization (ERS). The ERP on the one side and the ERD/ERS on the other side are different responses of neuronal structures in the brain. While the former is phase-locked, the latter is not phase-locked to the event. The most important difference between both phenomena is that the ERD/ERS is highly frequency band-specific, whereby either the same or different locations on the scalp can display ERD and ERS simultaneously. Quantification of ERD/ERS in time and space is demonstrated on data from a number of movement experiments.", "author" : [ { "dropping-particle" : "", "family" : "Pfurtscheller", "given" : "G", "non-dropping-particle" : "", "parse-names" : false, "suffix" : "" }, { "dropping-particle" : "", "family" : "Lopes da Silva", "given" : "F H", "non-dropping-particle" : "", "parse-names" : false, "suffix" : "" } ], "container-title" : "Clinical Neurophysiology", "id" : "ITEM-1", "issue" : "11", "issued" : { "date-parts" : [ [ "1999", "11" ] ] }, "page" : "1842-57", "title" : "Event-related EEG/MEG synchronization and desynchronization: basic principles.", "type" : "article-journal", "volume" : "110" }, "uris" : [ "http://www.mendeley.com/documents/?uuid=d6481284-9558-44e2-ba76-89d4e2ab07a5" ] } ], "mendeley" : { "formattedCitation" : "(Pfurtscheller &amp; Lopes da Silva, 1999)", "plainTextFormattedCitation" : "(Pfurtscheller &amp; Lopes da Silva, 1999)", "previouslyFormattedCitation" : "(Pfurtscheller &amp; Lopes da Silva, 1999)" }, "properties" : { "noteIndex" : 0 }, "schema" : "https://github.com/citation-style-language/schema/raw/master/csl-citation.json" }</w:instrText>
      </w:r>
      <w:r w:rsidRPr="00341B41">
        <w:rPr>
          <w:rFonts w:cs="Times New Roman"/>
        </w:rPr>
        <w:fldChar w:fldCharType="separate"/>
      </w:r>
      <w:r w:rsidRPr="00341B41">
        <w:rPr>
          <w:rFonts w:cs="Times New Roman"/>
          <w:noProof/>
        </w:rPr>
        <w:t>(Pfurtscheller &amp; Lopes da Silva, 1999)</w:t>
      </w:r>
      <w:r w:rsidRPr="00341B41">
        <w:rPr>
          <w:rFonts w:cs="Times New Roman"/>
        </w:rPr>
        <w:fldChar w:fldCharType="end"/>
      </w:r>
      <w:r w:rsidRPr="00341B41">
        <w:rPr>
          <w:rFonts w:cs="Times New Roman"/>
        </w:rPr>
        <w:t xml:space="preserve">. A negative ERSP value indicates overall power reduction (ERD) across the whole event compared to baseline, and a positive ERSP value indicates overall power increase (ERS). Group differences in ERSP values were calculated using two-way mixed ANOVAs, with group (experienced and less experienced) as a between-participants factor, and hemisphere (left and right) as a within-participants factor. The aims of this approach was to aid </w:t>
      </w:r>
      <w:proofErr w:type="spellStart"/>
      <w:r w:rsidRPr="00341B41">
        <w:rPr>
          <w:rFonts w:cs="Times New Roman"/>
        </w:rPr>
        <w:t>visualisation</w:t>
      </w:r>
      <w:proofErr w:type="spellEnd"/>
      <w:r w:rsidRPr="00341B41">
        <w:rPr>
          <w:rFonts w:cs="Times New Roman"/>
        </w:rPr>
        <w:t xml:space="preserve"> and to enable direct comparison with other published reports using the same procedure </w:t>
      </w:r>
      <w:r w:rsidRPr="00341B41">
        <w:rPr>
          <w:rFonts w:cs="Times New Roman"/>
        </w:rPr>
        <w:fldChar w:fldCharType="begin" w:fldLock="1"/>
      </w:r>
      <w:r w:rsidRPr="00341B41">
        <w:rPr>
          <w:rFonts w:cs="Times New Roman"/>
        </w:rPr>
        <w:instrText>ADDIN CSL_CITATION { "citationItems" : [ { "id" : "ITEM-1",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"ITEM-1", "issue" : "October", "issued" : { "date-parts" : [ [ "2014" ] ] }, "page" : "1-12", "title" : "Winning the game: brain processes in expert, young elite and amateur table tennis players", "type" : "article-journal", "volume" : "8" }, "uris" : [ "http://www.mendeley.com/documents/?uuid=7f1fad9f-858d-4127-b585-c4f53d6f5bd7" ] }, { "id" : "ITEM-2",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"ITEM-2", "issue" : "12", "issued" : { "date-parts" : [ [ "2008" ] ] }, "page" : "3380-3384", "title" : "Expertise in dance modulates alpha/beta event-related desynchronization during action observation", "type" : "article-journal", "volume" : "27" }, "uris" : [ "http://www.mendeley.com/documents/?uuid=c2a43f47-aaef-4a12-80c1-a869c17e8baf" ] } ], "mendeley" : { "formattedCitation" : "(Orgs et al., 2008; Wolf et al., 2014)", "plainTextFormattedCitation" : "(Orgs et al., 2008; Wolf et al., 2014)", "previouslyFormattedCitation" : "(Orgs et al., 2008; Wolf et al., 2014)" }, "properties" : { "noteIndex" : 0 }, "schema" : "https://github.com/citation-style-language/schema/raw/master/csl-citation.json" }</w:instrText>
      </w:r>
      <w:r w:rsidRPr="00341B41">
        <w:rPr>
          <w:rFonts w:cs="Times New Roman"/>
        </w:rPr>
        <w:fldChar w:fldCharType="separate"/>
      </w:r>
      <w:r w:rsidRPr="00341B41">
        <w:rPr>
          <w:rFonts w:cs="Times New Roman"/>
          <w:noProof/>
        </w:rPr>
        <w:t>(Orgs et al., 2008; Wolf et al., 2014)</w:t>
      </w:r>
      <w:r w:rsidRPr="00341B41">
        <w:rPr>
          <w:rFonts w:cs="Times New Roman"/>
        </w:rPr>
        <w:fldChar w:fldCharType="end"/>
      </w:r>
      <w:r w:rsidRPr="00341B41">
        <w:rPr>
          <w:rFonts w:cs="Times New Roman"/>
        </w:rPr>
        <w:t xml:space="preserve">. For control analyses, frequency and time averaged ERSP values were calculated as above for the 8-13Hz frequency band at frontal, parietal, and occipital sites were conducted. </w:t>
      </w:r>
    </w:p>
    <w:p w14:paraId="3510CE8E" w14:textId="77777777" w:rsidR="00D050E1" w:rsidRPr="00341B41" w:rsidRDefault="00D050E1" w:rsidP="00D65A2D">
      <w:pPr>
        <w:pStyle w:val="ThesisNormal"/>
        <w:ind w:firstLine="720"/>
        <w:rPr>
          <w:rFonts w:cs="Times New Roman"/>
        </w:rPr>
      </w:pPr>
    </w:p>
    <w:p w14:paraId="046C1ABB" w14:textId="4F3F3406" w:rsidR="00D050E1" w:rsidRPr="00341B41" w:rsidRDefault="00D050E1" w:rsidP="00D050E1">
      <w:pPr>
        <w:pStyle w:val="Heading2"/>
      </w:pPr>
      <w:bookmarkStart w:id="68" w:name="_Toc486260874"/>
      <w:r w:rsidRPr="00341B41">
        <w:lastRenderedPageBreak/>
        <w:t>3.3.</w:t>
      </w:r>
      <w:r w:rsidRPr="00341B41">
        <w:tab/>
        <w:t>Experiment 3 – Results</w:t>
      </w:r>
      <w:bookmarkEnd w:id="68"/>
    </w:p>
    <w:p w14:paraId="22DB39A5" w14:textId="2A47C631" w:rsidR="00D050E1" w:rsidRPr="00341B41" w:rsidRDefault="00D050E1" w:rsidP="00D050E1">
      <w:pPr>
        <w:pStyle w:val="Heading3"/>
      </w:pPr>
      <w:bookmarkStart w:id="69" w:name="_Toc486260875"/>
      <w:r w:rsidRPr="00341B41">
        <w:t>3.3.1.</w:t>
      </w:r>
      <w:r w:rsidRPr="00341B41">
        <w:tab/>
        <w:t>Behavioural results</w:t>
      </w:r>
      <w:bookmarkEnd w:id="69"/>
    </w:p>
    <w:p w14:paraId="46BBB627" w14:textId="27285C10" w:rsidR="00D050E1" w:rsidRPr="00341B41" w:rsidRDefault="00D050E1" w:rsidP="00D050E1">
      <w:r w:rsidRPr="00341B41">
        <w:t xml:space="preserve">Over all trials, there was a significant effect of experience level on anticipation accuracy, with the experienced players (M = 60.94%, 95%CI = 58.18% – 63.70%) responding significantly more accurately than the </w:t>
      </w:r>
      <w:r w:rsidR="000243D2" w:rsidRPr="00341B41">
        <w:t>less experienced</w:t>
      </w:r>
      <w:r w:rsidRPr="00341B41">
        <w:t xml:space="preserve"> players (M = 48.52%, 95%CI = 45.97% – 51.07%), </w:t>
      </w:r>
      <w:r w:rsidRPr="00341B41">
        <w:rPr>
          <w:i/>
        </w:rPr>
        <w:t xml:space="preserve">t </w:t>
      </w:r>
      <w:r w:rsidRPr="00341B41">
        <w:t xml:space="preserve">(37) = 6.15, </w:t>
      </w:r>
      <w:r w:rsidRPr="00341B41">
        <w:rPr>
          <w:i/>
        </w:rPr>
        <w:t xml:space="preserve">p </w:t>
      </w:r>
      <w:r w:rsidRPr="00341B41">
        <w:t xml:space="preserve">&lt; .001, </w:t>
      </w:r>
      <w:r w:rsidRPr="00341B41">
        <w:rPr>
          <w:i/>
        </w:rPr>
        <w:t xml:space="preserve">d </w:t>
      </w:r>
      <w:r w:rsidRPr="00341B41">
        <w:t xml:space="preserve">= 2.01. There </w:t>
      </w:r>
      <w:proofErr w:type="gramStart"/>
      <w:r w:rsidRPr="00341B41">
        <w:t>were</w:t>
      </w:r>
      <w:proofErr w:type="gramEnd"/>
      <w:r w:rsidRPr="00341B41">
        <w:t xml:space="preserve"> no gender (</w:t>
      </w:r>
      <w:r w:rsidRPr="00341B41">
        <w:rPr>
          <w:i/>
        </w:rPr>
        <w:t xml:space="preserve">p </w:t>
      </w:r>
      <w:r w:rsidRPr="00341B41">
        <w:t>= .31) or age (</w:t>
      </w:r>
      <w:r w:rsidRPr="00341B41">
        <w:rPr>
          <w:i/>
        </w:rPr>
        <w:t xml:space="preserve">p </w:t>
      </w:r>
      <w:r w:rsidRPr="00341B41">
        <w:t>= .55) differences in accuracy.</w:t>
      </w:r>
    </w:p>
    <w:p w14:paraId="5697B8FE" w14:textId="5343A435" w:rsidR="00D050E1" w:rsidRPr="00341B41" w:rsidRDefault="00D050E1" w:rsidP="00D050E1">
      <w:pPr>
        <w:pStyle w:val="Heading3"/>
      </w:pPr>
      <w:bookmarkStart w:id="70" w:name="_Toc486260876"/>
      <w:r w:rsidRPr="00341B41">
        <w:t>3.3.2.</w:t>
      </w:r>
      <w:r w:rsidRPr="00341B41">
        <w:tab/>
        <w:t>EEG results</w:t>
      </w:r>
      <w:bookmarkEnd w:id="70"/>
    </w:p>
    <w:p w14:paraId="7E47F025" w14:textId="77777777" w:rsidR="00D050E1" w:rsidRPr="00341B41" w:rsidRDefault="00D050E1" w:rsidP="00D050E1">
      <w:pPr>
        <w:pStyle w:val="Heading4"/>
      </w:pPr>
      <w:r w:rsidRPr="00341B41">
        <w:t>3.3.2.1.    Group differences during action observation</w:t>
      </w:r>
    </w:p>
    <w:p w14:paraId="23784D79" w14:textId="77777777" w:rsidR="00B820AF" w:rsidRPr="00341B41" w:rsidRDefault="00D050E1" w:rsidP="00D050E1">
      <w:r w:rsidRPr="00341B41">
        <w:rPr>
          <w:b/>
        </w:rPr>
        <w:t xml:space="preserve">Figure 6 </w:t>
      </w:r>
      <w:r w:rsidRPr="00341B41">
        <w:t xml:space="preserve">and </w:t>
      </w:r>
      <w:r w:rsidRPr="00341B41">
        <w:rPr>
          <w:b/>
        </w:rPr>
        <w:t>Figure 7</w:t>
      </w:r>
      <w:r w:rsidRPr="00341B41">
        <w:t xml:space="preserve"> display group differences in mu and beta activity during the action observation period prior to anticipation. Across the whole epoch, there was a significant main effect of group on mu ERD; </w:t>
      </w:r>
      <w:r w:rsidRPr="00341B41">
        <w:rPr>
          <w:i/>
        </w:rPr>
        <w:t xml:space="preserve">F </w:t>
      </w:r>
      <w:r w:rsidRPr="00341B41">
        <w:t xml:space="preserve">(1, 35) = 21.49, </w:t>
      </w:r>
      <w:r w:rsidRPr="00341B41">
        <w:rPr>
          <w:i/>
        </w:rPr>
        <w:t xml:space="preserve">p </w:t>
      </w:r>
      <w:r w:rsidRPr="00341B41">
        <w:t xml:space="preserve">&lt; .001, </w:t>
      </w:r>
      <w:r w:rsidRPr="00341B41">
        <w:rPr>
          <w:i/>
        </w:rPr>
        <w:t>np</w:t>
      </w:r>
      <w:r w:rsidRPr="00341B41">
        <w:rPr>
          <w:i/>
          <w:vertAlign w:val="superscript"/>
        </w:rPr>
        <w:t>2</w:t>
      </w:r>
      <w:r w:rsidRPr="00341B41">
        <w:t xml:space="preserve"> = .38, with greater ERD in the experienced (C3; M = -.0.86dB, 95%CI = -1.08dB – -0.64dB, C4; M = -0.67dB, 95%CI = -0.91dB – -0.44dB) group compared to the </w:t>
      </w:r>
      <w:r w:rsidR="00B820AF" w:rsidRPr="00341B41">
        <w:t>less experienced</w:t>
      </w:r>
      <w:r w:rsidRPr="00341B41">
        <w:t xml:space="preserve"> group (C3; M = 0.10dB, 95%CI = -0.07db – 0.28dB, C4; M = -0.02dB, 95%CI = -0.27dB – 0.31dB). There was no significant main effect of electrode; </w:t>
      </w:r>
      <w:r w:rsidRPr="00341B41">
        <w:rPr>
          <w:i/>
        </w:rPr>
        <w:t xml:space="preserve">F </w:t>
      </w:r>
      <w:r w:rsidRPr="00341B41">
        <w:t xml:space="preserve">(1, 35) = 0.13, </w:t>
      </w:r>
      <w:r w:rsidRPr="00341B41">
        <w:rPr>
          <w:i/>
        </w:rPr>
        <w:t xml:space="preserve">p </w:t>
      </w:r>
      <w:r w:rsidRPr="00341B41">
        <w:t xml:space="preserve">= .72, </w:t>
      </w:r>
      <w:r w:rsidRPr="00341B41">
        <w:rPr>
          <w:i/>
        </w:rPr>
        <w:t>np</w:t>
      </w:r>
      <w:r w:rsidRPr="00341B41">
        <w:rPr>
          <w:i/>
          <w:vertAlign w:val="superscript"/>
        </w:rPr>
        <w:t>2</w:t>
      </w:r>
      <w:r w:rsidRPr="00341B41">
        <w:rPr>
          <w:i/>
        </w:rPr>
        <w:t xml:space="preserve"> </w:t>
      </w:r>
      <w:r w:rsidRPr="00341B41">
        <w:t xml:space="preserve">= .38, nor was there a significant group X electrode interaction; </w:t>
      </w:r>
      <w:r w:rsidRPr="00341B41">
        <w:rPr>
          <w:i/>
        </w:rPr>
        <w:t xml:space="preserve">F </w:t>
      </w:r>
      <w:r w:rsidRPr="00341B41">
        <w:t xml:space="preserve">(1, 35) = 3.05, </w:t>
      </w:r>
      <w:r w:rsidRPr="00341B41">
        <w:rPr>
          <w:i/>
        </w:rPr>
        <w:t xml:space="preserve">p </w:t>
      </w:r>
      <w:r w:rsidRPr="00341B41">
        <w:t xml:space="preserve">= .09, </w:t>
      </w:r>
      <w:r w:rsidRPr="00341B41">
        <w:rPr>
          <w:i/>
        </w:rPr>
        <w:t>np</w:t>
      </w:r>
      <w:r w:rsidRPr="00341B41">
        <w:rPr>
          <w:i/>
          <w:vertAlign w:val="superscript"/>
        </w:rPr>
        <w:t>2</w:t>
      </w:r>
      <w:r w:rsidRPr="00341B41">
        <w:rPr>
          <w:i/>
        </w:rPr>
        <w:t xml:space="preserve"> </w:t>
      </w:r>
      <w:r w:rsidRPr="00341B41">
        <w:t xml:space="preserve">= .08. </w:t>
      </w:r>
      <w:r w:rsidR="00980C63" w:rsidRPr="00341B41">
        <w:t>Compared to baseline, the experienced group showed a significant reduction in mu power</w:t>
      </w:r>
      <w:r w:rsidR="00651958" w:rsidRPr="00341B41">
        <w:t xml:space="preserve"> during the action observation period</w:t>
      </w:r>
      <w:r w:rsidR="00754311" w:rsidRPr="00341B41">
        <w:t xml:space="preserve"> at both electrode C3;</w:t>
      </w:r>
      <w:r w:rsidR="00651958" w:rsidRPr="00341B41">
        <w:t xml:space="preserve"> </w:t>
      </w:r>
      <w:r w:rsidR="00A32286" w:rsidRPr="00341B41">
        <w:rPr>
          <w:i/>
        </w:rPr>
        <w:t xml:space="preserve">t </w:t>
      </w:r>
      <w:r w:rsidR="00A32286" w:rsidRPr="00341B41">
        <w:t xml:space="preserve">(16) = 6.26, </w:t>
      </w:r>
      <w:r w:rsidR="00A32286" w:rsidRPr="00341B41">
        <w:rPr>
          <w:i/>
        </w:rPr>
        <w:t xml:space="preserve">p </w:t>
      </w:r>
      <w:r w:rsidR="00A32286" w:rsidRPr="00341B41">
        <w:t>= &lt;</w:t>
      </w:r>
      <w:r w:rsidR="00A42881" w:rsidRPr="00341B41">
        <w:t xml:space="preserve"> .001</w:t>
      </w:r>
      <w:r w:rsidR="00754311" w:rsidRPr="00341B41">
        <w:t xml:space="preserve">, and C4; </w:t>
      </w:r>
      <w:r w:rsidR="00754311" w:rsidRPr="00341B41">
        <w:rPr>
          <w:i/>
        </w:rPr>
        <w:t>t</w:t>
      </w:r>
      <w:r w:rsidR="00754311" w:rsidRPr="00341B41">
        <w:t xml:space="preserve"> (16) = 4.86, </w:t>
      </w:r>
      <w:r w:rsidR="00754311" w:rsidRPr="00341B41">
        <w:rPr>
          <w:i/>
        </w:rPr>
        <w:t xml:space="preserve">p </w:t>
      </w:r>
      <w:r w:rsidR="00754311" w:rsidRPr="00341B41">
        <w:t>&lt; .0</w:t>
      </w:r>
      <w:r w:rsidR="00A42881" w:rsidRPr="00341B41">
        <w:t>01.</w:t>
      </w:r>
      <w:r w:rsidR="00170E3F" w:rsidRPr="00341B41">
        <w:t xml:space="preserve"> For the less experienced group, there was no evidence of a significant change in mu power during the action observation period compared to baseline</w:t>
      </w:r>
      <w:r w:rsidR="00754311" w:rsidRPr="00341B41">
        <w:t xml:space="preserve"> at either electrode C3;</w:t>
      </w:r>
      <w:r w:rsidR="00170E3F" w:rsidRPr="00341B41">
        <w:t xml:space="preserve"> </w:t>
      </w:r>
      <w:r w:rsidR="00170E3F" w:rsidRPr="00341B41">
        <w:rPr>
          <w:i/>
        </w:rPr>
        <w:t>t</w:t>
      </w:r>
      <w:r w:rsidR="008575F3" w:rsidRPr="00341B41">
        <w:t xml:space="preserve"> (20) = </w:t>
      </w:r>
      <w:r w:rsidR="00170E3F" w:rsidRPr="00341B41">
        <w:t xml:space="preserve">1.06, </w:t>
      </w:r>
      <w:r w:rsidR="00170E3F" w:rsidRPr="00341B41">
        <w:rPr>
          <w:i/>
        </w:rPr>
        <w:t xml:space="preserve">p </w:t>
      </w:r>
      <w:r w:rsidR="00170E3F" w:rsidRPr="00341B41">
        <w:t xml:space="preserve">= .30, </w:t>
      </w:r>
      <w:r w:rsidR="00170E3F" w:rsidRPr="00341B41">
        <w:rPr>
          <w:i/>
        </w:rPr>
        <w:t xml:space="preserve">d </w:t>
      </w:r>
      <w:r w:rsidR="00170E3F" w:rsidRPr="00341B41">
        <w:t>= 0.32</w:t>
      </w:r>
      <w:r w:rsidR="00754311" w:rsidRPr="00341B41">
        <w:t xml:space="preserve">, or C4; </w:t>
      </w:r>
      <w:r w:rsidR="00754311" w:rsidRPr="00341B41">
        <w:rPr>
          <w:i/>
        </w:rPr>
        <w:t xml:space="preserve">t </w:t>
      </w:r>
      <w:r w:rsidR="008575F3" w:rsidRPr="00341B41">
        <w:t xml:space="preserve">(20) = </w:t>
      </w:r>
      <w:r w:rsidR="00754311" w:rsidRPr="00341B41">
        <w:t xml:space="preserve">0.06, </w:t>
      </w:r>
      <w:r w:rsidR="008575F3" w:rsidRPr="00341B41">
        <w:rPr>
          <w:i/>
        </w:rPr>
        <w:t xml:space="preserve">p </w:t>
      </w:r>
      <w:r w:rsidR="008575F3" w:rsidRPr="00341B41">
        <w:t>=</w:t>
      </w:r>
      <w:r w:rsidR="00754311" w:rsidRPr="00341B41">
        <w:t xml:space="preserve"> .95</w:t>
      </w:r>
      <w:r w:rsidR="00170E3F" w:rsidRPr="00341B41">
        <w:t>.</w:t>
      </w:r>
      <w:r w:rsidR="00980C63" w:rsidRPr="00341B41">
        <w:t xml:space="preserve"> </w:t>
      </w:r>
    </w:p>
    <w:p w14:paraId="5776DBD3" w14:textId="56ED6163" w:rsidR="00D050E1" w:rsidRPr="00341B41" w:rsidRDefault="00D050E1" w:rsidP="00B820AF">
      <w:pPr>
        <w:ind w:firstLine="720"/>
      </w:pPr>
      <w:r w:rsidRPr="00341B41">
        <w:lastRenderedPageBreak/>
        <w:t xml:space="preserve">In the beta band, there was a significant main effect of group; </w:t>
      </w:r>
      <w:r w:rsidRPr="00341B41">
        <w:rPr>
          <w:i/>
        </w:rPr>
        <w:t xml:space="preserve">F </w:t>
      </w:r>
      <w:r w:rsidRPr="00341B41">
        <w:t xml:space="preserve">(1, 35) = 12.29, </w:t>
      </w:r>
      <w:r w:rsidRPr="00341B41">
        <w:rPr>
          <w:i/>
        </w:rPr>
        <w:t xml:space="preserve">p </w:t>
      </w:r>
      <w:r w:rsidRPr="00341B41">
        <w:t xml:space="preserve">&lt; .01, </w:t>
      </w:r>
      <w:r w:rsidRPr="00341B41">
        <w:rPr>
          <w:i/>
        </w:rPr>
        <w:t>np</w:t>
      </w:r>
      <w:r w:rsidRPr="00341B41">
        <w:rPr>
          <w:i/>
          <w:vertAlign w:val="superscript"/>
        </w:rPr>
        <w:t>2</w:t>
      </w:r>
      <w:r w:rsidRPr="00341B41">
        <w:rPr>
          <w:i/>
        </w:rPr>
        <w:t xml:space="preserve"> </w:t>
      </w:r>
      <w:r w:rsidRPr="00341B41">
        <w:t xml:space="preserve">= .26, with greater ERD in the experienced group (C3; M = -0.85dB, 95%CI = -1.02dB – -0.68dB, C4; M=-0.65dB, 95%CI = -0.81dB – -0.49dB) compared to the </w:t>
      </w:r>
      <w:r w:rsidR="007637FF" w:rsidRPr="00341B41">
        <w:t>less experienced</w:t>
      </w:r>
      <w:r w:rsidRPr="00341B41">
        <w:t xml:space="preserve"> group (C3; M = -0.35dB, 95%CI = -0.45dB – -0.25dB, C4; M = -0.34dB, 95%CI = -0.48dB – -0.20dB). Again, there was no significant main effect of electrode; </w:t>
      </w:r>
      <w:r w:rsidRPr="00341B41">
        <w:rPr>
          <w:i/>
        </w:rPr>
        <w:t>F</w:t>
      </w:r>
      <w:r w:rsidRPr="00341B41">
        <w:t xml:space="preserve"> (1, 35) = 3.07, </w:t>
      </w:r>
      <w:r w:rsidRPr="00341B41">
        <w:rPr>
          <w:i/>
        </w:rPr>
        <w:t xml:space="preserve">p </w:t>
      </w:r>
      <w:r w:rsidRPr="00341B41">
        <w:t xml:space="preserve">= .09, </w:t>
      </w:r>
      <w:r w:rsidRPr="00341B41">
        <w:rPr>
          <w:i/>
        </w:rPr>
        <w:t>np</w:t>
      </w:r>
      <w:r w:rsidRPr="00341B41">
        <w:rPr>
          <w:i/>
          <w:vertAlign w:val="superscript"/>
        </w:rPr>
        <w:t>2</w:t>
      </w:r>
      <w:r w:rsidRPr="00341B41">
        <w:rPr>
          <w:i/>
        </w:rPr>
        <w:t xml:space="preserve"> </w:t>
      </w:r>
      <w:r w:rsidRPr="00341B41">
        <w:t xml:space="preserve">= .08, and also no significant group X electrode interaction; </w:t>
      </w:r>
      <w:r w:rsidRPr="00341B41">
        <w:rPr>
          <w:i/>
        </w:rPr>
        <w:t xml:space="preserve">F </w:t>
      </w:r>
      <w:r w:rsidRPr="00341B41">
        <w:t xml:space="preserve">(1, 35) = 2.55, </w:t>
      </w:r>
      <w:r w:rsidRPr="00341B41">
        <w:rPr>
          <w:i/>
        </w:rPr>
        <w:t xml:space="preserve">p </w:t>
      </w:r>
      <w:r w:rsidRPr="00341B41">
        <w:t xml:space="preserve">= .12, </w:t>
      </w:r>
      <w:r w:rsidRPr="00341B41">
        <w:rPr>
          <w:i/>
        </w:rPr>
        <w:t>np</w:t>
      </w:r>
      <w:r w:rsidRPr="00341B41">
        <w:rPr>
          <w:i/>
          <w:vertAlign w:val="superscript"/>
        </w:rPr>
        <w:t>2</w:t>
      </w:r>
      <w:r w:rsidRPr="00341B41">
        <w:t xml:space="preserve"> .07.</w:t>
      </w:r>
      <w:r w:rsidR="00980C63" w:rsidRPr="00341B41">
        <w:t xml:space="preserve"> Compared t</w:t>
      </w:r>
      <w:r w:rsidR="00754311" w:rsidRPr="00341B41">
        <w:t xml:space="preserve">o baseline, both the experienced (C3; </w:t>
      </w:r>
      <w:r w:rsidR="00754311" w:rsidRPr="00341B41">
        <w:rPr>
          <w:i/>
        </w:rPr>
        <w:t xml:space="preserve">t </w:t>
      </w:r>
      <w:r w:rsidR="00754311" w:rsidRPr="00341B41">
        <w:t xml:space="preserve">(16) = 8.03, </w:t>
      </w:r>
      <w:r w:rsidR="00754311" w:rsidRPr="00341B41">
        <w:rPr>
          <w:i/>
        </w:rPr>
        <w:t xml:space="preserve">p </w:t>
      </w:r>
      <w:r w:rsidR="00A42881" w:rsidRPr="00341B41">
        <w:t>&lt; .001</w:t>
      </w:r>
      <w:r w:rsidR="00754311" w:rsidRPr="00341B41">
        <w:t xml:space="preserve">, C4; </w:t>
      </w:r>
      <w:r w:rsidR="00754311" w:rsidRPr="00341B41">
        <w:rPr>
          <w:i/>
        </w:rPr>
        <w:t xml:space="preserve">t </w:t>
      </w:r>
      <w:r w:rsidR="00754311" w:rsidRPr="00341B41">
        <w:t xml:space="preserve">(16) = 6.70, </w:t>
      </w:r>
      <w:r w:rsidR="00754311" w:rsidRPr="00341B41">
        <w:rPr>
          <w:i/>
        </w:rPr>
        <w:t xml:space="preserve">p </w:t>
      </w:r>
      <w:r w:rsidR="00A42881" w:rsidRPr="00341B41">
        <w:t>&lt; .001</w:t>
      </w:r>
      <w:r w:rsidR="00754311" w:rsidRPr="00341B41">
        <w:t xml:space="preserve">), and less experienced (C3; </w:t>
      </w:r>
      <w:r w:rsidR="00754311" w:rsidRPr="00341B41">
        <w:rPr>
          <w:i/>
        </w:rPr>
        <w:t xml:space="preserve">t </w:t>
      </w:r>
      <w:r w:rsidR="00754311" w:rsidRPr="00341B41">
        <w:t xml:space="preserve">(20) = 5.57, </w:t>
      </w:r>
      <w:r w:rsidR="00754311" w:rsidRPr="00341B41">
        <w:rPr>
          <w:i/>
        </w:rPr>
        <w:t xml:space="preserve">p </w:t>
      </w:r>
      <w:r w:rsidR="008575F3" w:rsidRPr="00341B41">
        <w:t xml:space="preserve">&lt; .001, </w:t>
      </w:r>
      <w:r w:rsidR="00754311" w:rsidRPr="00341B41">
        <w:t xml:space="preserve">C4; </w:t>
      </w:r>
      <w:r w:rsidR="00754311" w:rsidRPr="00341B41">
        <w:rPr>
          <w:i/>
        </w:rPr>
        <w:t xml:space="preserve">t </w:t>
      </w:r>
      <w:r w:rsidR="00754311" w:rsidRPr="00341B41">
        <w:t xml:space="preserve">(20) = 3.82, </w:t>
      </w:r>
      <w:r w:rsidR="00754311" w:rsidRPr="00341B41">
        <w:rPr>
          <w:i/>
        </w:rPr>
        <w:t xml:space="preserve">p </w:t>
      </w:r>
      <w:r w:rsidR="00A42881" w:rsidRPr="00341B41">
        <w:t>= .002</w:t>
      </w:r>
      <w:r w:rsidR="00754311" w:rsidRPr="00341B41">
        <w:t xml:space="preserve">) groups showed a significant reduction in power during action observation compared to baseline. </w:t>
      </w:r>
    </w:p>
    <w:p w14:paraId="3A71CC8E" w14:textId="77777777" w:rsidR="00F077AF" w:rsidRPr="00341B41" w:rsidRDefault="00D050E1" w:rsidP="00F077AF">
      <w:pPr>
        <w:ind w:firstLine="720"/>
        <w:sectPr w:rsidR="00F077AF" w:rsidRPr="00341B41" w:rsidSect="00805FAB">
          <w:pgSz w:w="12240" w:h="15840"/>
          <w:pgMar w:top="1440" w:right="1138" w:bottom="1440" w:left="2275" w:header="720" w:footer="720" w:gutter="0"/>
          <w:cols w:space="720"/>
          <w:titlePg/>
          <w:docGrid w:linePitch="360"/>
        </w:sectPr>
      </w:pPr>
      <w:r w:rsidRPr="00341B41">
        <w:t>Bootstrapped significance testing on the full ERSP showed that group differences arose relatively early in the epoch. In the mu range, significant differences occurred 200-360ms after the onset of the trial, with differences in beta activity occurring approximately 450ms after stimulus onset. Results were broadly similar across both electrodes, though group differences did not appear as strong in t</w:t>
      </w:r>
      <w:r w:rsidR="00F077AF" w:rsidRPr="00341B41">
        <w:t>he C4 electrode compared to C3.</w:t>
      </w:r>
    </w:p>
    <w:p w14:paraId="3A931C8A" w14:textId="5CCD5867" w:rsidR="00F077AF" w:rsidRPr="00341B41" w:rsidRDefault="00F077AF" w:rsidP="00F077AF">
      <w:pPr>
        <w:ind w:firstLine="720"/>
      </w:pPr>
      <w:r w:rsidRPr="00341B41">
        <w:rPr>
          <w:rFonts w:cs="Times New Roman"/>
          <w:noProof/>
          <w:lang w:val="en-US"/>
        </w:rPr>
        <w:lastRenderedPageBreak/>
        <w:drawing>
          <wp:anchor distT="0" distB="0" distL="114300" distR="114300" simplePos="0" relativeHeight="251673600" behindDoc="0" locked="0" layoutInCell="1" allowOverlap="1" wp14:anchorId="2E13F0F5" wp14:editId="4B26C483">
            <wp:simplePos x="0" y="0"/>
            <wp:positionH relativeFrom="column">
              <wp:posOffset>19685</wp:posOffset>
            </wp:positionH>
            <wp:positionV relativeFrom="paragraph">
              <wp:posOffset>0</wp:posOffset>
            </wp:positionV>
            <wp:extent cx="5400040" cy="5868723"/>
            <wp:effectExtent l="0" t="0" r="10160" b="0"/>
            <wp:wrapSquare wrapText="bothSides"/>
            <wp:docPr id="6" name="Picture 6" descr="../Dropbox/EEG%20channel%20results/Formatted%20figures/C3%20electr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EEG%20channel%20results/Formatted%20figures/C3%20electrod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58687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BB204" w14:textId="0ADB0426" w:rsidR="00F077AF" w:rsidRPr="00341B41" w:rsidRDefault="00F077AF" w:rsidP="00F077AF">
      <w:pPr>
        <w:pStyle w:val="Caption"/>
      </w:pPr>
      <w:bookmarkStart w:id="71" w:name="_Toc488400755"/>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6</w:t>
      </w:r>
      <w:r w:rsidRPr="00341B41">
        <w:fldChar w:fldCharType="end"/>
      </w:r>
      <w:r w:rsidRPr="00341B41">
        <w:t>. Group differences in mu and beta activity at electrode C3</w:t>
      </w:r>
      <w:bookmarkEnd w:id="71"/>
    </w:p>
    <w:p w14:paraId="282A4CF2" w14:textId="5DE835F3" w:rsidR="00F077AF" w:rsidRPr="00341B41" w:rsidRDefault="00F077AF" w:rsidP="00F077AF">
      <w:pPr>
        <w:pStyle w:val="NoSpacing"/>
        <w:rPr>
          <w:rFonts w:cs="Times New Roman"/>
          <w:i/>
          <w:color w:val="1A1A1A"/>
        </w:rPr>
        <w:sectPr w:rsidR="00F077AF" w:rsidRPr="00341B41" w:rsidSect="00805FAB">
          <w:pgSz w:w="12240" w:h="15840"/>
          <w:pgMar w:top="1440" w:right="1138" w:bottom="1440" w:left="2275" w:header="720" w:footer="720" w:gutter="0"/>
          <w:cols w:space="720"/>
          <w:titlePg/>
          <w:docGrid w:linePitch="360"/>
        </w:sectPr>
      </w:pPr>
      <w:r w:rsidRPr="00341B41">
        <w:rPr>
          <w:b/>
          <w:i/>
        </w:rPr>
        <w:t>A-B</w:t>
      </w:r>
      <w:r w:rsidRPr="00341B41">
        <w:rPr>
          <w:i/>
        </w:rPr>
        <w:t xml:space="preserve"> ERSP time/frequency plots for experienced (</w:t>
      </w:r>
      <w:r w:rsidRPr="00341B41">
        <w:rPr>
          <w:b/>
          <w:i/>
        </w:rPr>
        <w:t>A</w:t>
      </w:r>
      <w:r w:rsidRPr="00341B41">
        <w:rPr>
          <w:i/>
        </w:rPr>
        <w:t>) and less experienced (</w:t>
      </w:r>
      <w:r w:rsidRPr="00341B41">
        <w:rPr>
          <w:b/>
          <w:i/>
        </w:rPr>
        <w:t>B</w:t>
      </w:r>
      <w:r w:rsidRPr="00341B41">
        <w:rPr>
          <w:i/>
        </w:rPr>
        <w:t xml:space="preserve">) groups. </w:t>
      </w:r>
      <w:r w:rsidRPr="00341B41">
        <w:rPr>
          <w:b/>
          <w:i/>
        </w:rPr>
        <w:t>C</w:t>
      </w:r>
      <w:r w:rsidRPr="00341B41">
        <w:rPr>
          <w:i/>
        </w:rPr>
        <w:t xml:space="preserve"> Significant differences between </w:t>
      </w:r>
      <w:r w:rsidR="00E64406" w:rsidRPr="00341B41">
        <w:rPr>
          <w:i/>
        </w:rPr>
        <w:t>experienced</w:t>
      </w:r>
      <w:r w:rsidRPr="00341B41">
        <w:rPr>
          <w:i/>
        </w:rPr>
        <w:t xml:space="preserve"> and </w:t>
      </w:r>
      <w:r w:rsidR="00E64406" w:rsidRPr="00341B41">
        <w:rPr>
          <w:i/>
        </w:rPr>
        <w:t xml:space="preserve">less </w:t>
      </w:r>
      <w:r w:rsidR="00240190" w:rsidRPr="00341B41">
        <w:rPr>
          <w:i/>
        </w:rPr>
        <w:t>experienced</w:t>
      </w:r>
      <w:r w:rsidRPr="00341B41">
        <w:rPr>
          <w:i/>
        </w:rPr>
        <w:t xml:space="preserve"> group time/frequency plots at the p &lt; .01 level, based on bootstrapped statistics with multiple comparisons controlled for with false discovery rate (FDR). D-E Relative power changes in the mu (8-13Hz) frequency range (</w:t>
      </w:r>
      <w:r w:rsidRPr="00341B41">
        <w:rPr>
          <w:b/>
          <w:i/>
        </w:rPr>
        <w:t>D</w:t>
      </w:r>
      <w:r w:rsidRPr="00341B41">
        <w:rPr>
          <w:i/>
        </w:rPr>
        <w:t>) and the central beta (15-25Hz) frequency range (</w:t>
      </w:r>
      <w:r w:rsidRPr="00341B41">
        <w:rPr>
          <w:b/>
          <w:i/>
        </w:rPr>
        <w:t>E</w:t>
      </w:r>
      <w:r w:rsidRPr="00341B41">
        <w:rPr>
          <w:i/>
        </w:rPr>
        <w:t xml:space="preserve">). Shaded areas represent 95% confidence intervals. </w:t>
      </w:r>
      <w:r w:rsidRPr="00341B41">
        <w:rPr>
          <w:b/>
          <w:i/>
        </w:rPr>
        <w:t>F-G</w:t>
      </w:r>
      <w:r w:rsidRPr="00341B41">
        <w:rPr>
          <w:i/>
        </w:rPr>
        <w:t xml:space="preserve"> Relative power changes over the whole event period relative to baseline in the mu (8-13Hz) frequency range (</w:t>
      </w:r>
      <w:r w:rsidRPr="00341B41">
        <w:rPr>
          <w:b/>
          <w:i/>
        </w:rPr>
        <w:t>F</w:t>
      </w:r>
      <w:r w:rsidRPr="00341B41">
        <w:rPr>
          <w:i/>
        </w:rPr>
        <w:t>) and the central beta (15-25Hz) frequency range (</w:t>
      </w:r>
      <w:r w:rsidRPr="00341B41">
        <w:rPr>
          <w:b/>
          <w:i/>
        </w:rPr>
        <w:t>G</w:t>
      </w:r>
      <w:r w:rsidRPr="00341B41">
        <w:rPr>
          <w:i/>
        </w:rPr>
        <w:t xml:space="preserve">). Error bars represent 95% confidence intervals. *** = p &lt; .001. </w:t>
      </w:r>
      <w:r w:rsidRPr="00341B41">
        <w:rPr>
          <w:rFonts w:cs="Times New Roman"/>
          <w:bCs/>
          <w:i/>
          <w:color w:val="1C1C1C"/>
        </w:rPr>
        <w:t xml:space="preserve">μ = mu, </w:t>
      </w:r>
      <w:r w:rsidRPr="00341B41">
        <w:rPr>
          <w:rFonts w:cs="Times New Roman"/>
          <w:i/>
          <w:color w:val="1A1A1A"/>
        </w:rPr>
        <w:t>β = beta.</w:t>
      </w:r>
    </w:p>
    <w:p w14:paraId="20DD6AA3" w14:textId="013B23BF" w:rsidR="00F077AF" w:rsidRPr="00341B41" w:rsidRDefault="00F077AF" w:rsidP="00F077AF">
      <w:pPr>
        <w:pStyle w:val="NoSpacing"/>
        <w:rPr>
          <w:i/>
        </w:rPr>
      </w:pPr>
      <w:r w:rsidRPr="00341B41">
        <w:rPr>
          <w:rFonts w:cs="Times New Roman"/>
          <w:noProof/>
          <w:lang w:val="en-US"/>
        </w:rPr>
        <w:lastRenderedPageBreak/>
        <w:drawing>
          <wp:inline distT="0" distB="0" distL="0" distR="0" wp14:anchorId="54D708AA" wp14:editId="58743707">
            <wp:extent cx="5400040" cy="5782418"/>
            <wp:effectExtent l="0" t="0" r="10160" b="8890"/>
            <wp:docPr id="7" name="Picture 7" descr="../Dropbox/EEG%20channel%20results/Formatted%20figures/C4%20electr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opbox/EEG%20channel%20results/Formatted%20figures/C4%20electrode.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5782418"/>
                    </a:xfrm>
                    <a:prstGeom prst="rect">
                      <a:avLst/>
                    </a:prstGeom>
                    <a:noFill/>
                    <a:ln>
                      <a:noFill/>
                    </a:ln>
                  </pic:spPr>
                </pic:pic>
              </a:graphicData>
            </a:graphic>
          </wp:inline>
        </w:drawing>
      </w:r>
    </w:p>
    <w:p w14:paraId="7D6FE19A" w14:textId="77777777" w:rsidR="00F077AF" w:rsidRPr="00341B41" w:rsidRDefault="00F077AF" w:rsidP="00F077AF">
      <w:pPr>
        <w:pStyle w:val="NoSpacing"/>
        <w:rPr>
          <w:i/>
        </w:rPr>
      </w:pPr>
    </w:p>
    <w:p w14:paraId="1BC2ADB5" w14:textId="1983E4AF" w:rsidR="00F077AF" w:rsidRPr="00341B41" w:rsidRDefault="00F077AF" w:rsidP="00F077AF">
      <w:pPr>
        <w:pStyle w:val="Caption"/>
      </w:pPr>
      <w:bookmarkStart w:id="72" w:name="_Toc488400756"/>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7</w:t>
      </w:r>
      <w:r w:rsidRPr="00341B41">
        <w:fldChar w:fldCharType="end"/>
      </w:r>
      <w:r w:rsidRPr="00341B41">
        <w:t>. Group differences in mu and beta activity at electrode C4</w:t>
      </w:r>
      <w:bookmarkEnd w:id="72"/>
    </w:p>
    <w:p w14:paraId="44A64137" w14:textId="1C6A7647" w:rsidR="00F077AF" w:rsidRPr="00341B41" w:rsidRDefault="00240190" w:rsidP="00F077AF">
      <w:pPr>
        <w:pStyle w:val="NoSpacing"/>
        <w:rPr>
          <w:i/>
        </w:rPr>
      </w:pPr>
      <w:bookmarkStart w:id="73" w:name="OLE_LINK8"/>
      <w:bookmarkStart w:id="74" w:name="OLE_LINK7"/>
      <w:r w:rsidRPr="00341B41">
        <w:rPr>
          <w:b/>
          <w:i/>
        </w:rPr>
        <w:t>A-B</w:t>
      </w:r>
      <w:r w:rsidRPr="00341B41">
        <w:rPr>
          <w:i/>
        </w:rPr>
        <w:t xml:space="preserve"> ERSP time/frequency plots for experienced (</w:t>
      </w:r>
      <w:r w:rsidRPr="00341B41">
        <w:rPr>
          <w:b/>
          <w:i/>
        </w:rPr>
        <w:t>A</w:t>
      </w:r>
      <w:r w:rsidRPr="00341B41">
        <w:rPr>
          <w:i/>
        </w:rPr>
        <w:t>) and less experienced (</w:t>
      </w:r>
      <w:r w:rsidRPr="00341B41">
        <w:rPr>
          <w:b/>
          <w:i/>
        </w:rPr>
        <w:t>B</w:t>
      </w:r>
      <w:r w:rsidRPr="00341B41">
        <w:rPr>
          <w:i/>
        </w:rPr>
        <w:t xml:space="preserve">) groups. </w:t>
      </w:r>
      <w:r w:rsidRPr="00341B41">
        <w:rPr>
          <w:b/>
          <w:i/>
        </w:rPr>
        <w:t>C</w:t>
      </w:r>
      <w:r w:rsidRPr="00341B41">
        <w:rPr>
          <w:i/>
        </w:rPr>
        <w:t xml:space="preserve"> Significant differences between experienced and less experienced group time/frequency plots at the p &lt; .01 level, based on bootstrapped statistics with multiple comparisons controlled for with false discovery rate (FDR). D-E Relative power changes in the mu (8-13Hz) frequency range (</w:t>
      </w:r>
      <w:r w:rsidRPr="00341B41">
        <w:rPr>
          <w:b/>
          <w:i/>
        </w:rPr>
        <w:t>D</w:t>
      </w:r>
      <w:r w:rsidRPr="00341B41">
        <w:rPr>
          <w:i/>
        </w:rPr>
        <w:t>) and the central beta (15-25Hz) frequency range (</w:t>
      </w:r>
      <w:r w:rsidRPr="00341B41">
        <w:rPr>
          <w:b/>
          <w:i/>
        </w:rPr>
        <w:t>E</w:t>
      </w:r>
      <w:r w:rsidRPr="00341B41">
        <w:rPr>
          <w:i/>
        </w:rPr>
        <w:t xml:space="preserve">). Shaded areas represent 95% confidence intervals. </w:t>
      </w:r>
      <w:r w:rsidRPr="00341B41">
        <w:rPr>
          <w:b/>
          <w:i/>
        </w:rPr>
        <w:t>F-G</w:t>
      </w:r>
      <w:r w:rsidRPr="00341B41">
        <w:rPr>
          <w:i/>
        </w:rPr>
        <w:t xml:space="preserve"> Relative power changes over the whole event period relative to baseline in the mu (8-13Hz) frequency range (</w:t>
      </w:r>
      <w:r w:rsidRPr="00341B41">
        <w:rPr>
          <w:b/>
          <w:i/>
        </w:rPr>
        <w:t>F</w:t>
      </w:r>
      <w:r w:rsidRPr="00341B41">
        <w:rPr>
          <w:i/>
        </w:rPr>
        <w:t>) and the central beta (15-25Hz) frequency range (</w:t>
      </w:r>
      <w:r w:rsidRPr="00341B41">
        <w:rPr>
          <w:b/>
          <w:i/>
        </w:rPr>
        <w:t>G</w:t>
      </w:r>
      <w:r w:rsidRPr="00341B41">
        <w:rPr>
          <w:i/>
        </w:rPr>
        <w:t xml:space="preserve">). Error bars represent 95% confidence intervals. </w:t>
      </w:r>
      <w:r w:rsidR="00F077AF" w:rsidRPr="00341B41">
        <w:rPr>
          <w:i/>
        </w:rPr>
        <w:t>** = p &lt; .01, * = p &lt; .05.</w:t>
      </w:r>
      <w:bookmarkEnd w:id="73"/>
      <w:bookmarkEnd w:id="74"/>
      <w:r w:rsidR="00F077AF" w:rsidRPr="00341B41">
        <w:rPr>
          <w:i/>
        </w:rPr>
        <w:t xml:space="preserve"> </w:t>
      </w:r>
      <w:r w:rsidR="00F077AF" w:rsidRPr="00341B41">
        <w:rPr>
          <w:bCs/>
          <w:i/>
          <w:color w:val="1C1C1C"/>
        </w:rPr>
        <w:t xml:space="preserve">μ = mu, </w:t>
      </w:r>
      <w:r w:rsidR="00F077AF" w:rsidRPr="00341B41">
        <w:rPr>
          <w:i/>
          <w:color w:val="1A1A1A"/>
        </w:rPr>
        <w:t>β = beta.</w:t>
      </w:r>
    </w:p>
    <w:p w14:paraId="47278263" w14:textId="77777777" w:rsidR="00F077AF" w:rsidRPr="00341B41" w:rsidRDefault="00F077AF" w:rsidP="00F077AF"/>
    <w:p w14:paraId="2364CFF7" w14:textId="0A8068CB" w:rsidR="005E21F0" w:rsidRPr="00341B41" w:rsidRDefault="005E21F0" w:rsidP="005E21F0">
      <w:pPr>
        <w:pStyle w:val="Heading4"/>
      </w:pPr>
      <w:r w:rsidRPr="00341B41">
        <w:lastRenderedPageBreak/>
        <w:t>3.3.2.2.    Differential activity in low and high mu frequency bands</w:t>
      </w:r>
    </w:p>
    <w:p w14:paraId="6D8B0D0C" w14:textId="176A2E40" w:rsidR="005E21F0" w:rsidRPr="00341B41" w:rsidRDefault="005E21F0" w:rsidP="005E21F0">
      <w:r w:rsidRPr="00341B41">
        <w:t>Visual inspection of the ERSP time/frequency plots suggested there to be differences in activity in the low mu frequency range (8-10Hz) and the high mu frequency range (11-13Hz) (</w:t>
      </w:r>
      <w:r w:rsidRPr="00341B41">
        <w:rPr>
          <w:b/>
        </w:rPr>
        <w:t>Figure 6A-B</w:t>
      </w:r>
      <w:r w:rsidRPr="00341B41">
        <w:t xml:space="preserve"> and </w:t>
      </w:r>
      <w:r w:rsidRPr="00341B41">
        <w:rPr>
          <w:b/>
        </w:rPr>
        <w:t>Figure 7A-B</w:t>
      </w:r>
      <w:r w:rsidRPr="00341B41">
        <w:t xml:space="preserve">). These differences are shown in </w:t>
      </w:r>
      <w:r w:rsidRPr="00341B41">
        <w:rPr>
          <w:b/>
        </w:rPr>
        <w:t>Figure 8</w:t>
      </w:r>
      <w:r w:rsidRPr="00341B41">
        <w:t>.</w:t>
      </w:r>
    </w:p>
    <w:p w14:paraId="775144CD" w14:textId="77777777" w:rsidR="00F077AF" w:rsidRPr="00341B41" w:rsidRDefault="005E21F0" w:rsidP="00131058">
      <w:pPr>
        <w:sectPr w:rsidR="00F077AF" w:rsidRPr="00341B41" w:rsidSect="00805FAB">
          <w:pgSz w:w="12240" w:h="15840"/>
          <w:pgMar w:top="1440" w:right="1138" w:bottom="1440" w:left="2275" w:header="720" w:footer="720" w:gutter="0"/>
          <w:cols w:space="720"/>
          <w:titlePg/>
          <w:docGrid w:linePitch="360"/>
        </w:sectPr>
      </w:pPr>
      <w:r w:rsidRPr="00341B41">
        <w:tab/>
      </w:r>
      <w:r w:rsidR="00E111AD" w:rsidRPr="00341B41">
        <w:t>In the low mu band, there was a significant main effect of group on overall ERD; F (1, 35) = 13.78, p &lt; .01, np</w:t>
      </w:r>
      <w:r w:rsidR="00E111AD" w:rsidRPr="00341B41">
        <w:rPr>
          <w:vertAlign w:val="superscript"/>
        </w:rPr>
        <w:t>2</w:t>
      </w:r>
      <w:r w:rsidR="00E111AD" w:rsidRPr="00341B41">
        <w:t xml:space="preserve"> = .28, with greater ERD in the experienced group (C3; M = -1.36dB, 95%CI = -1.80dB – -0.92dB, C4; M = -1.21dB, 95%CI = -1.60dB – -0.80dB) compared with the less experienced group (C3; M = -0.13dB, 95%CI = -0.32dB – -0.06dB, C4; M = -0.31dB, 95%CI = -0.59dB – -0.03dB). There was no significant main effect of electrode; F (1, 35) = 0.02, p = .90, np</w:t>
      </w:r>
      <w:r w:rsidR="00E111AD" w:rsidRPr="00341B41">
        <w:rPr>
          <w:vertAlign w:val="superscript"/>
        </w:rPr>
        <w:t>2</w:t>
      </w:r>
      <w:r w:rsidR="00E111AD" w:rsidRPr="00341B41">
        <w:t xml:space="preserve"> = .28, and there was no significant group X electrode interaction, F (1, 35) = 2.32, p = .14, np</w:t>
      </w:r>
      <w:r w:rsidR="00E111AD" w:rsidRPr="00341B41">
        <w:rPr>
          <w:vertAlign w:val="superscript"/>
        </w:rPr>
        <w:t>2</w:t>
      </w:r>
      <w:r w:rsidR="00E111AD" w:rsidRPr="00341B41">
        <w:t xml:space="preserve"> = .06. Differences in low mu ERD appeared to occur approximately 300ms after stimulus onset. Compared to baseline, </w:t>
      </w:r>
      <w:r w:rsidR="004B3826" w:rsidRPr="00341B41">
        <w:t>only</w:t>
      </w:r>
      <w:r w:rsidR="00E111AD" w:rsidRPr="00341B41">
        <w:t xml:space="preserve"> the experienced </w:t>
      </w:r>
      <w:r w:rsidR="004B3826" w:rsidRPr="00341B41">
        <w:t>group</w:t>
      </w:r>
      <w:r w:rsidR="00E111AD" w:rsidRPr="00341B41">
        <w:t xml:space="preserve"> showed a significant reduction in power in the 8-10Hz range</w:t>
      </w:r>
      <w:r w:rsidR="004B3826" w:rsidRPr="00341B41">
        <w:t xml:space="preserve"> during the observation period compared to the baseline, C3; </w:t>
      </w:r>
      <w:r w:rsidR="00E7759C" w:rsidRPr="00341B41">
        <w:rPr>
          <w:i/>
        </w:rPr>
        <w:t xml:space="preserve">t </w:t>
      </w:r>
      <w:r w:rsidR="00E7759C" w:rsidRPr="00341B41">
        <w:t xml:space="preserve">(16) = 5.08, </w:t>
      </w:r>
      <w:r w:rsidR="00E7759C" w:rsidRPr="00341B41">
        <w:rPr>
          <w:i/>
        </w:rPr>
        <w:t xml:space="preserve">p </w:t>
      </w:r>
      <w:r w:rsidR="00E7759C" w:rsidRPr="00341B41">
        <w:t xml:space="preserve">&lt; .001, C4; </w:t>
      </w:r>
      <w:r w:rsidR="00E7759C" w:rsidRPr="00341B41">
        <w:rPr>
          <w:i/>
        </w:rPr>
        <w:t xml:space="preserve">t </w:t>
      </w:r>
      <w:r w:rsidR="00E7759C" w:rsidRPr="00341B41">
        <w:t xml:space="preserve">(16) = 5.19, </w:t>
      </w:r>
      <w:r w:rsidR="00E7759C" w:rsidRPr="00341B41">
        <w:rPr>
          <w:i/>
        </w:rPr>
        <w:t xml:space="preserve">p </w:t>
      </w:r>
      <w:r w:rsidR="00E7759C" w:rsidRPr="00341B41">
        <w:t>&lt; .</w:t>
      </w:r>
      <w:r w:rsidR="008575F3" w:rsidRPr="00341B41">
        <w:t>001</w:t>
      </w:r>
      <w:r w:rsidR="00E7759C" w:rsidRPr="00341B41">
        <w:t xml:space="preserve">. The less experienced group did not show a significant change from baseline at either electrode (C3; </w:t>
      </w:r>
      <w:r w:rsidR="009C5411" w:rsidRPr="00341B41">
        <w:rPr>
          <w:i/>
        </w:rPr>
        <w:t xml:space="preserve">t </w:t>
      </w:r>
      <w:r w:rsidR="009C5411" w:rsidRPr="00341B41">
        <w:t xml:space="preserve">(20) = 0.89, </w:t>
      </w:r>
      <w:r w:rsidR="009C5411" w:rsidRPr="00341B41">
        <w:rPr>
          <w:i/>
        </w:rPr>
        <w:t xml:space="preserve">p </w:t>
      </w:r>
      <w:r w:rsidR="009C5411" w:rsidRPr="00341B41">
        <w:t xml:space="preserve">= .39, C4; </w:t>
      </w:r>
      <w:r w:rsidR="009C5411" w:rsidRPr="00341B41">
        <w:rPr>
          <w:i/>
        </w:rPr>
        <w:t xml:space="preserve">t </w:t>
      </w:r>
      <w:r w:rsidR="009C5411" w:rsidRPr="00341B41">
        <w:t xml:space="preserve">(20) = 1.56, </w:t>
      </w:r>
      <w:r w:rsidR="009C5411" w:rsidRPr="00341B41">
        <w:rPr>
          <w:i/>
        </w:rPr>
        <w:t xml:space="preserve">p </w:t>
      </w:r>
      <w:r w:rsidR="00A42881" w:rsidRPr="00341B41">
        <w:t>= .14</w:t>
      </w:r>
      <w:r w:rsidR="009C5411" w:rsidRPr="00341B41">
        <w:t xml:space="preserve">). </w:t>
      </w:r>
      <w:r w:rsidR="00131058" w:rsidRPr="00341B41">
        <w:t xml:space="preserve"> </w:t>
      </w:r>
    </w:p>
    <w:p w14:paraId="45DC6BD3" w14:textId="2D0B1D32" w:rsidR="00131058" w:rsidRPr="00341B41" w:rsidRDefault="00F077AF" w:rsidP="00131058">
      <w:r w:rsidRPr="00341B41">
        <w:rPr>
          <w:rFonts w:cs="Times New Roman"/>
          <w:noProof/>
          <w:lang w:val="en-US"/>
        </w:rPr>
        <w:lastRenderedPageBreak/>
        <w:drawing>
          <wp:inline distT="0" distB="0" distL="0" distR="0" wp14:anchorId="1E6BCCB3" wp14:editId="2898B816">
            <wp:extent cx="5400040" cy="6658052"/>
            <wp:effectExtent l="0" t="0" r="10160" b="0"/>
            <wp:docPr id="8" name="Picture 8" descr="EEG%20channel%20results/Formatted%20figures/LowHigh%20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G%20channel%20results/Formatted%20figures/LowHigh%20M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6658052"/>
                    </a:xfrm>
                    <a:prstGeom prst="rect">
                      <a:avLst/>
                    </a:prstGeom>
                    <a:noFill/>
                    <a:ln>
                      <a:noFill/>
                    </a:ln>
                  </pic:spPr>
                </pic:pic>
              </a:graphicData>
            </a:graphic>
          </wp:inline>
        </w:drawing>
      </w:r>
    </w:p>
    <w:p w14:paraId="4BE52B49" w14:textId="115FED96" w:rsidR="00F077AF" w:rsidRPr="00341B41" w:rsidRDefault="00F077AF" w:rsidP="00F077AF">
      <w:pPr>
        <w:pStyle w:val="Caption"/>
      </w:pPr>
      <w:bookmarkStart w:id="75" w:name="_Toc488400757"/>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8</w:t>
      </w:r>
      <w:r w:rsidRPr="00341B41">
        <w:fldChar w:fldCharType="end"/>
      </w:r>
      <w:r w:rsidRPr="00341B41">
        <w:t xml:space="preserve">. Group </w:t>
      </w:r>
      <w:r w:rsidR="00B91B4A" w:rsidRPr="00341B41">
        <w:t>differences</w:t>
      </w:r>
      <w:r w:rsidRPr="00341B41">
        <w:t xml:space="preserve"> </w:t>
      </w:r>
      <w:r w:rsidR="007530DB" w:rsidRPr="00341B41">
        <w:t>i</w:t>
      </w:r>
      <w:r w:rsidRPr="00341B41">
        <w:t>n low (8-10Hz) and high (11-13Hz) mu activity at electrode sites C3 and C4</w:t>
      </w:r>
      <w:bookmarkEnd w:id="75"/>
    </w:p>
    <w:p w14:paraId="05DADB4B" w14:textId="6E5F8884" w:rsidR="00F077AF" w:rsidRPr="00341B41" w:rsidRDefault="00F077AF" w:rsidP="00F077AF">
      <w:pPr>
        <w:pStyle w:val="NoSpacing"/>
        <w:rPr>
          <w:i/>
        </w:rPr>
      </w:pPr>
      <w:bookmarkStart w:id="76" w:name="OLE_LINK10"/>
      <w:bookmarkStart w:id="77" w:name="OLE_LINK9"/>
      <w:r w:rsidRPr="00341B41">
        <w:rPr>
          <w:b/>
          <w:i/>
        </w:rPr>
        <w:t xml:space="preserve">A-D </w:t>
      </w:r>
      <w:r w:rsidRPr="00341B41">
        <w:rPr>
          <w:i/>
        </w:rPr>
        <w:t>Differences at electrode C3. Relative power changes in the low mu frequency range (</w:t>
      </w:r>
      <w:r w:rsidRPr="00341B41">
        <w:rPr>
          <w:b/>
          <w:i/>
        </w:rPr>
        <w:t>A</w:t>
      </w:r>
      <w:r w:rsidRPr="00341B41">
        <w:rPr>
          <w:i/>
        </w:rPr>
        <w:t>) and the high mu frequency range (</w:t>
      </w:r>
      <w:r w:rsidRPr="00341B41">
        <w:rPr>
          <w:b/>
          <w:i/>
        </w:rPr>
        <w:t>B</w:t>
      </w:r>
      <w:r w:rsidRPr="00341B41">
        <w:rPr>
          <w:i/>
        </w:rPr>
        <w:t>). Shaded areas represent 95% confidence intervals. Relative power changes over the whole event period relative to baseline in the low mu frequency range (</w:t>
      </w:r>
      <w:r w:rsidRPr="00341B41">
        <w:rPr>
          <w:b/>
          <w:i/>
        </w:rPr>
        <w:t>C</w:t>
      </w:r>
      <w:r w:rsidRPr="00341B41">
        <w:rPr>
          <w:i/>
        </w:rPr>
        <w:t>) and the high mu frequency range (</w:t>
      </w:r>
      <w:r w:rsidRPr="00341B41">
        <w:rPr>
          <w:b/>
          <w:i/>
        </w:rPr>
        <w:t>D</w:t>
      </w:r>
      <w:r w:rsidRPr="00341B41">
        <w:rPr>
          <w:i/>
        </w:rPr>
        <w:t xml:space="preserve">). Error bars represent </w:t>
      </w:r>
      <w:r w:rsidRPr="00341B41">
        <w:rPr>
          <w:i/>
        </w:rPr>
        <w:lastRenderedPageBreak/>
        <w:t>95% confidence intervals.</w:t>
      </w:r>
      <w:bookmarkEnd w:id="76"/>
      <w:bookmarkEnd w:id="77"/>
      <w:r w:rsidRPr="00341B41">
        <w:rPr>
          <w:i/>
        </w:rPr>
        <w:t xml:space="preserve"> </w:t>
      </w:r>
      <w:r w:rsidRPr="00341B41">
        <w:rPr>
          <w:b/>
          <w:i/>
        </w:rPr>
        <w:t>E-H</w:t>
      </w:r>
      <w:r w:rsidRPr="00341B41">
        <w:rPr>
          <w:i/>
        </w:rPr>
        <w:t xml:space="preserve"> represents the same information but for electrode C4. *** = p &lt; .001, ** = p &lt; .01, * = p &lt; .05.</w:t>
      </w:r>
    </w:p>
    <w:p w14:paraId="62052CEF" w14:textId="77777777" w:rsidR="00F077AF" w:rsidRPr="00341B41" w:rsidRDefault="00F077AF" w:rsidP="00F077AF">
      <w:pPr>
        <w:pStyle w:val="NoSpacing"/>
        <w:rPr>
          <w:i/>
        </w:rPr>
      </w:pPr>
    </w:p>
    <w:p w14:paraId="7B99A5C3" w14:textId="77777777" w:rsidR="00F077AF" w:rsidRPr="00341B41" w:rsidRDefault="00F077AF" w:rsidP="00F077AF">
      <w:pPr>
        <w:pStyle w:val="NoSpacing"/>
        <w:rPr>
          <w:i/>
        </w:rPr>
      </w:pPr>
    </w:p>
    <w:p w14:paraId="649A7AA4" w14:textId="12DF2A01" w:rsidR="00131058" w:rsidRPr="00341B41" w:rsidRDefault="00131058" w:rsidP="00131058">
      <w:pPr>
        <w:ind w:firstLine="720"/>
      </w:pPr>
      <w:r w:rsidRPr="00341B41">
        <w:t xml:space="preserve">For high mu, there was a significant main effect of group; </w:t>
      </w:r>
      <w:r w:rsidRPr="00341B41">
        <w:rPr>
          <w:i/>
        </w:rPr>
        <w:t xml:space="preserve">F </w:t>
      </w:r>
      <w:r w:rsidRPr="00341B41">
        <w:t xml:space="preserve">(1, 35) = 15.70, </w:t>
      </w:r>
      <w:r w:rsidRPr="00341B41">
        <w:rPr>
          <w:i/>
        </w:rPr>
        <w:t xml:space="preserve">p </w:t>
      </w:r>
      <w:r w:rsidRPr="00341B41">
        <w:t xml:space="preserve">&lt; .001, </w:t>
      </w:r>
      <w:r w:rsidRPr="00341B41">
        <w:rPr>
          <w:i/>
        </w:rPr>
        <w:t>np</w:t>
      </w:r>
      <w:r w:rsidRPr="00341B41">
        <w:rPr>
          <w:i/>
          <w:vertAlign w:val="superscript"/>
        </w:rPr>
        <w:t>2</w:t>
      </w:r>
      <w:r w:rsidRPr="00341B41">
        <w:rPr>
          <w:i/>
        </w:rPr>
        <w:t xml:space="preserve"> </w:t>
      </w:r>
      <w:r w:rsidRPr="00341B41">
        <w:t xml:space="preserve">= .31 on ERD, with greater ERD in the experienced group (C3; M = -0.57dB, 95%CI = -0.76dB – -0.38dB, C4; M = -0.35dB, 95%CI = -0.56dB – -0.14dB). The less experienced group showed some evidence of overall power increase (ERS) across the epoch (C3; M = 0.26dB, 95%CI = 0.06dB – 0.46dB, C4; M = 0.19dB, 95%CI = -0.11dB – 0.49dB). There was neither a significant main effect of electrode; </w:t>
      </w:r>
      <w:r w:rsidRPr="00341B41">
        <w:rPr>
          <w:i/>
        </w:rPr>
        <w:t xml:space="preserve">F </w:t>
      </w:r>
      <w:r w:rsidRPr="00341B41">
        <w:t xml:space="preserve">(1, 35) = 0.65, </w:t>
      </w:r>
      <w:r w:rsidRPr="00341B41">
        <w:rPr>
          <w:i/>
        </w:rPr>
        <w:t xml:space="preserve">p </w:t>
      </w:r>
      <w:r w:rsidRPr="00341B41">
        <w:t xml:space="preserve">= .43, </w:t>
      </w:r>
      <w:r w:rsidRPr="00341B41">
        <w:rPr>
          <w:i/>
        </w:rPr>
        <w:t>np</w:t>
      </w:r>
      <w:r w:rsidRPr="00341B41">
        <w:rPr>
          <w:i/>
          <w:vertAlign w:val="superscript"/>
        </w:rPr>
        <w:t>2</w:t>
      </w:r>
      <w:r w:rsidRPr="00341B41">
        <w:rPr>
          <w:i/>
        </w:rPr>
        <w:t xml:space="preserve"> </w:t>
      </w:r>
      <w:r w:rsidRPr="00341B41">
        <w:t xml:space="preserve">= .02, or group X electrode interaction; </w:t>
      </w:r>
      <w:r w:rsidRPr="00341B41">
        <w:rPr>
          <w:i/>
        </w:rPr>
        <w:t xml:space="preserve">F </w:t>
      </w:r>
      <w:r w:rsidRPr="00341B41">
        <w:t xml:space="preserve">(1, 35) = 2.35, </w:t>
      </w:r>
      <w:r w:rsidRPr="00341B41">
        <w:rPr>
          <w:i/>
        </w:rPr>
        <w:t xml:space="preserve">p </w:t>
      </w:r>
      <w:r w:rsidRPr="00341B41">
        <w:t xml:space="preserve">= .14, </w:t>
      </w:r>
      <w:r w:rsidRPr="00341B41">
        <w:rPr>
          <w:i/>
        </w:rPr>
        <w:t>np</w:t>
      </w:r>
      <w:r w:rsidRPr="00341B41">
        <w:rPr>
          <w:i/>
          <w:vertAlign w:val="superscript"/>
        </w:rPr>
        <w:t>2</w:t>
      </w:r>
      <w:r w:rsidRPr="00341B41">
        <w:rPr>
          <w:i/>
        </w:rPr>
        <w:t xml:space="preserve"> </w:t>
      </w:r>
      <w:r w:rsidRPr="00341B41">
        <w:t>= .06. Differences in high mu ERD occurred around 450ms, after which the experienced group showed a continued trend of power decrease, whilst the less experienced group showed continued increases in 11-13Hz power. Compared to baseline, the experienced group showed a significant reduction in 11-13Hz power</w:t>
      </w:r>
      <w:r w:rsidR="009C5411" w:rsidRPr="00341B41">
        <w:t xml:space="preserve"> (C3; </w:t>
      </w:r>
      <w:r w:rsidR="009C5411" w:rsidRPr="00341B41">
        <w:rPr>
          <w:i/>
        </w:rPr>
        <w:t xml:space="preserve">t </w:t>
      </w:r>
      <w:r w:rsidR="009C5411" w:rsidRPr="00341B41">
        <w:t xml:space="preserve">(16) = 4.73, </w:t>
      </w:r>
      <w:r w:rsidR="009C5411" w:rsidRPr="00341B41">
        <w:rPr>
          <w:i/>
        </w:rPr>
        <w:t xml:space="preserve">p </w:t>
      </w:r>
      <w:r w:rsidR="009C5411" w:rsidRPr="00341B41">
        <w:t xml:space="preserve">&lt; .001, C4; </w:t>
      </w:r>
      <w:r w:rsidR="009C5411" w:rsidRPr="00341B41">
        <w:rPr>
          <w:i/>
        </w:rPr>
        <w:t xml:space="preserve">t </w:t>
      </w:r>
      <w:r w:rsidR="009C5411" w:rsidRPr="00341B41">
        <w:t xml:space="preserve">(16) = 2.77, </w:t>
      </w:r>
      <w:r w:rsidR="009C5411" w:rsidRPr="00341B41">
        <w:rPr>
          <w:i/>
        </w:rPr>
        <w:t xml:space="preserve">p </w:t>
      </w:r>
      <w:r w:rsidR="008575F3" w:rsidRPr="00341B41">
        <w:t>= .01</w:t>
      </w:r>
      <w:r w:rsidR="009C5411" w:rsidRPr="00341B41">
        <w:t>)</w:t>
      </w:r>
      <w:r w:rsidRPr="00341B41">
        <w:t>. In the unexperienced group, 11-13Hz power change</w:t>
      </w:r>
      <w:r w:rsidR="009C5411" w:rsidRPr="00341B41">
        <w:t>d</w:t>
      </w:r>
      <w:r w:rsidRPr="00341B41">
        <w:t xml:space="preserve"> significantly from baseline during action observation</w:t>
      </w:r>
      <w:r w:rsidR="009C5411" w:rsidRPr="00341B41">
        <w:t xml:space="preserve"> at electrode C3; </w:t>
      </w:r>
      <w:r w:rsidR="009C5411" w:rsidRPr="00341B41">
        <w:rPr>
          <w:i/>
        </w:rPr>
        <w:t xml:space="preserve">t </w:t>
      </w:r>
      <w:r w:rsidR="009C5411" w:rsidRPr="00341B41">
        <w:t xml:space="preserve">(20) = -2.09, </w:t>
      </w:r>
      <w:r w:rsidR="009C5411" w:rsidRPr="00341B41">
        <w:rPr>
          <w:i/>
        </w:rPr>
        <w:t xml:space="preserve">p </w:t>
      </w:r>
      <w:r w:rsidR="008575F3" w:rsidRPr="00341B41">
        <w:t>= .04,</w:t>
      </w:r>
      <w:r w:rsidR="009C5411" w:rsidRPr="00341B41">
        <w:t xml:space="preserve"> but not at electrode C4; </w:t>
      </w:r>
      <w:r w:rsidR="009C5411" w:rsidRPr="00341B41">
        <w:rPr>
          <w:i/>
        </w:rPr>
        <w:t xml:space="preserve">t </w:t>
      </w:r>
      <w:r w:rsidR="009C5411" w:rsidRPr="00341B41">
        <w:t xml:space="preserve">(20) = -1.11, </w:t>
      </w:r>
      <w:r w:rsidR="009C5411" w:rsidRPr="00341B41">
        <w:rPr>
          <w:i/>
        </w:rPr>
        <w:t xml:space="preserve">p </w:t>
      </w:r>
      <w:r w:rsidR="00A42881" w:rsidRPr="00341B41">
        <w:t>= .29</w:t>
      </w:r>
      <w:r w:rsidRPr="00341B41">
        <w:t>.</w:t>
      </w:r>
    </w:p>
    <w:p w14:paraId="398B6287" w14:textId="123A0E2F" w:rsidR="00131058" w:rsidRPr="00341B41" w:rsidRDefault="00131058" w:rsidP="00131058">
      <w:pPr>
        <w:pStyle w:val="Heading4"/>
      </w:pPr>
      <w:r w:rsidRPr="00341B41">
        <w:t>3.3.2.3.    Control analyses</w:t>
      </w:r>
    </w:p>
    <w:p w14:paraId="62285438" w14:textId="704AB81A" w:rsidR="00131058" w:rsidRPr="00341B41" w:rsidRDefault="00131058" w:rsidP="00131058">
      <w:r w:rsidRPr="00341B41">
        <w:t xml:space="preserve">ERSP values averaged over both the 8-13Hz frequency band and across time were calculated for frontal (F3, F4), parietal (P3, P4), and occipital (O3, O4) electrode sites (Figure 2). Relative power changes at each site are displayed in </w:t>
      </w:r>
      <w:r w:rsidRPr="00341B41">
        <w:rPr>
          <w:b/>
        </w:rPr>
        <w:t>Figure 9</w:t>
      </w:r>
      <w:r w:rsidRPr="00341B41">
        <w:t xml:space="preserve">. There were no significant effects at any electrode site, with the main effect of group at parietal sites being the closest to significance; </w:t>
      </w:r>
      <w:r w:rsidRPr="00341B41">
        <w:rPr>
          <w:i/>
        </w:rPr>
        <w:t xml:space="preserve">F </w:t>
      </w:r>
      <w:r w:rsidRPr="00341B41">
        <w:t xml:space="preserve">(1, 35) = 3.85, </w:t>
      </w:r>
      <w:r w:rsidRPr="00341B41">
        <w:rPr>
          <w:i/>
        </w:rPr>
        <w:t xml:space="preserve">p </w:t>
      </w:r>
      <w:r w:rsidRPr="00341B41">
        <w:t xml:space="preserve">= .14, </w:t>
      </w:r>
      <w:r w:rsidRPr="00341B41">
        <w:rPr>
          <w:i/>
        </w:rPr>
        <w:t>np</w:t>
      </w:r>
      <w:r w:rsidRPr="00341B41">
        <w:rPr>
          <w:i/>
          <w:vertAlign w:val="superscript"/>
        </w:rPr>
        <w:t>2</w:t>
      </w:r>
      <w:r w:rsidRPr="00341B41">
        <w:t xml:space="preserve"> = .12. There were no sex differences in any of the analyses performed.</w:t>
      </w:r>
    </w:p>
    <w:p w14:paraId="7E24C399" w14:textId="46E76B9D" w:rsidR="00C00BF6" w:rsidRPr="00341B41" w:rsidRDefault="00C00BF6" w:rsidP="00131058">
      <w:r w:rsidRPr="00341B41">
        <w:rPr>
          <w:rFonts w:cs="Times New Roman"/>
          <w:noProof/>
          <w:lang w:val="en-US"/>
        </w:rPr>
        <w:lastRenderedPageBreak/>
        <w:drawing>
          <wp:inline distT="0" distB="0" distL="0" distR="0" wp14:anchorId="37183682" wp14:editId="36EFF637">
            <wp:extent cx="5400040" cy="2724593"/>
            <wp:effectExtent l="0" t="0" r="10160" b="0"/>
            <wp:docPr id="9" name="Picture 9" descr="EEG%20channel%20results/Formatted%20figures/Control%20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G%20channel%20results/Formatted%20figures/Control%20site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2724593"/>
                    </a:xfrm>
                    <a:prstGeom prst="rect">
                      <a:avLst/>
                    </a:prstGeom>
                    <a:noFill/>
                    <a:ln>
                      <a:noFill/>
                    </a:ln>
                  </pic:spPr>
                </pic:pic>
              </a:graphicData>
            </a:graphic>
          </wp:inline>
        </w:drawing>
      </w:r>
    </w:p>
    <w:p w14:paraId="2EC55F6B" w14:textId="387B1138" w:rsidR="00C00BF6" w:rsidRPr="00341B41" w:rsidRDefault="00C00BF6" w:rsidP="00C00BF6">
      <w:pPr>
        <w:pStyle w:val="Caption"/>
      </w:pPr>
      <w:bookmarkStart w:id="78" w:name="_Toc488400758"/>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9</w:t>
      </w:r>
      <w:r w:rsidRPr="00341B41">
        <w:fldChar w:fldCharType="end"/>
      </w:r>
      <w:r w:rsidRPr="00341B41">
        <w:t>. Control analyses at frontal, parietal, and occipital sites</w:t>
      </w:r>
      <w:bookmarkEnd w:id="78"/>
    </w:p>
    <w:p w14:paraId="124DE3B0" w14:textId="77777777" w:rsidR="00C00BF6" w:rsidRPr="00341B41" w:rsidRDefault="00C00BF6" w:rsidP="00C00BF6">
      <w:pPr>
        <w:pStyle w:val="NoSpacing"/>
        <w:rPr>
          <w:i/>
        </w:rPr>
      </w:pPr>
      <w:r w:rsidRPr="00341B41">
        <w:rPr>
          <w:i/>
        </w:rPr>
        <w:t xml:space="preserve">Relative power changes over the whole event period relative to baseline in the alpha (8-13Hz) frequency range at frontal, parietal, and occipital sites. Yellow bars represent the experienced group; purple bars represent unexperienced group. Error bars display the 95% confidence intervals. </w:t>
      </w:r>
    </w:p>
    <w:p w14:paraId="23294AF5" w14:textId="77777777" w:rsidR="00C00BF6" w:rsidRPr="00341B41" w:rsidRDefault="00C00BF6" w:rsidP="00C00BF6"/>
    <w:p w14:paraId="334FAA03" w14:textId="466AAB81" w:rsidR="00131058" w:rsidRPr="00341B41" w:rsidRDefault="008A5950" w:rsidP="008A5950">
      <w:pPr>
        <w:pStyle w:val="Heading2"/>
      </w:pPr>
      <w:bookmarkStart w:id="79" w:name="_Toc486260877"/>
      <w:r w:rsidRPr="00341B41">
        <w:t>3.4.</w:t>
      </w:r>
      <w:r w:rsidRPr="00341B41">
        <w:tab/>
        <w:t>Discussion</w:t>
      </w:r>
      <w:bookmarkEnd w:id="79"/>
    </w:p>
    <w:p w14:paraId="66A9155A" w14:textId="339BEDA2" w:rsidR="00047076" w:rsidRPr="00341B41" w:rsidRDefault="008A5950" w:rsidP="00047076">
      <w:pPr>
        <w:rPr>
          <w:rFonts w:cs="Times New Roman"/>
        </w:rPr>
      </w:pPr>
      <w:r w:rsidRPr="00341B41">
        <w:t xml:space="preserve">The aim of this Chapter was to examine expertise-related differences in cortical sensorimotor oscillatory activity during sports-related action observation prior to making an anticipatory judgement. Behavioural results showed a large group difference on anticipation accuracy, satisfying criteria for this test being informative on the processes that underlie skilled anticipation performance </w:t>
      </w:r>
      <w:r w:rsidRPr="00341B41">
        <w:fldChar w:fldCharType="begin" w:fldLock="1"/>
      </w:r>
      <w:r w:rsidR="00876673" w:rsidRPr="00341B41">
        <w:instrText>ADDIN CSL_CITATION { "citationItems" : [ { "id" : "ITEM-1", "itemData" : { "author" : [ { "dropping-particle" : "", "family" : "Ericsson", "given" : "K Anders", "non-dropping-particle" : "", "parse-names" : false, "suffix" : "" }, { "dropping-particle" : "", "family" : "Krampe", "given" : "Ralf", "non-dropping-particle" : "", "parse-names" : false, "suffix" : "" }, { "dropping-particle" : "", "family" : "Tesch-Romer", "given" : "Clemens", "non-dropping-particle" : "", "parse-names" : false, "suffix" : "" } ], "container-title" : "Psychological Review", "id" : "ITEM-1", "issue" : "3", "issued" : { "date-parts" : [ [ "1993" ] ] }, "page" : "363-406", "title" : "The role of deliberate practice in the acqisition of expert performance", "type" : "article-journal", "volume" : "100" }, "uris" : [ "http://www.mendeley.com/documents/?uuid=11f12b61-e261-4ffa-a62f-dc0d04b29fe5" ] }, { "id" : "ITEM-2",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"ITEM-2",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"(Ericsson, Krampe, &amp; Tesch-Romer, 1993; Williams &amp; Ericsson, 2005)", "manualFormatting" : "(Ericsson et al., 1993; Williams &amp; Ericsson, 2005)", "plainTextFormattedCitation" : "(Ericsson, Krampe, &amp; Tesch-Romer, 1993; Williams &amp; Ericsson, 2005)", "previouslyFormattedCitation" : "(Ericsson, Krampe, &amp; Tesch-Romer, 1993; Williams &amp; Ericsson, 2005)" }, "properties" : { "noteIndex" : 0 }, "schema" : "https://github.com/citation-style-language/schema/raw/master/csl-citation.json" }</w:instrText>
      </w:r>
      <w:r w:rsidRPr="00341B41">
        <w:fldChar w:fldCharType="separate"/>
      </w:r>
      <w:r w:rsidRPr="00341B41">
        <w:rPr>
          <w:noProof/>
        </w:rPr>
        <w:t>(Ericsson et al., 1993; Williams &amp; Ericsson, 2005)</w:t>
      </w:r>
      <w:r w:rsidRPr="00341B41">
        <w:fldChar w:fldCharType="end"/>
      </w:r>
      <w:r w:rsidRPr="00341B41">
        <w:t xml:space="preserve">. </w:t>
      </w:r>
      <w:r w:rsidRPr="00341B41">
        <w:rPr>
          <w:rFonts w:cs="Times New Roman"/>
        </w:rPr>
        <w:t xml:space="preserve">As such, it was possible to investigate differences in neural activity between groups during the action observation period. The experienced group showed significantly greater ERD in both the mu and beta frequency bands during action observation, compared to the </w:t>
      </w:r>
      <w:r w:rsidR="006B606A" w:rsidRPr="00341B41">
        <w:rPr>
          <w:rFonts w:cs="Times New Roman"/>
        </w:rPr>
        <w:t>less experienced</w:t>
      </w:r>
      <w:r w:rsidRPr="00341B41">
        <w:rPr>
          <w:rFonts w:cs="Times New Roman"/>
        </w:rPr>
        <w:t xml:space="preserve"> group. These results are in line with previous research </w:t>
      </w:r>
      <w:r w:rsidRPr="00341B41">
        <w:rPr>
          <w:rFonts w:cs="Times New Roman"/>
        </w:rPr>
        <w:fldChar w:fldCharType="begin" w:fldLock="1"/>
      </w:r>
      <w:r w:rsidR="008E4B4A" w:rsidRPr="00341B41">
        <w:rPr>
          <w:rFonts w:cs="Times New Roman"/>
        </w:rPr>
        <w:instrText>ADDIN CSL_CITATION { "citationItems" : [ { "id" : "ITEM-1", "itemData" : { "DOI" : "10.1038/nn.2182", "ISSN" : "1097-6256", "author" : [ { "dropping-particle" : "", "family" : "Aglioti", "given" : "Salvatore M", "non-dropping-particle" : "", "parse-names" : false, "suffix" : "" }, { "dropping-particle" : "", "family" : "Cesari", "given" : "Paola", "non-dropping-particle" : "", "parse-names" : false, "suffix" : "" }, { "dropping-particle" : "", "family" : "Romani", "given" : "Michela", "non-dropping-particle" : "", "parse-names" : false, "suffix" : "" }, { "dropping-particle" : "", "family" : "Urgesi", "given" : "Cosimo", "non-dropping-particle" : "", "parse-names" : false, "suffix" : "" } ], "container-title" : "Nature Neuroscience", "id" : "ITEM-1", "issue" : "9", "issued" : { "date-parts" : [ [ "2008" ] ] }, "page" : "1109-1116", "title" : "Action anticipation and motor resonance in elite basketball players", "type" : "article-journal", "volume" : "11" }, "uris" : [ "http://www.mendeley.com/documents/?uuid=1fc547b5-58fb-4cb6-99da-14770b6e228e" ] }, { "id" : "ITEM-2",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"ITEM-2",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"ITEM-3",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"ITEM-3", "issue" : "2", "issued" : { "date-parts" : [ [ "2010", "1", "27" ] ] }, "page" : "94-8", "title" : "Functional MRI reveals expert-novice differences during sport-related anticipation.", "type" : "article-journal", "volume" : "21" }, "uris" : [ "http://www.mendeley.com/documents/?uuid=725596c1-c912-41b6-83c3-6d654c4bff23" ] }, { "id" : "ITEM-4",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"ITEM-4",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"ITEM-5",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"ITEM-5", "issue" : "851", "issued" : { "date-parts" : [ [ "2013", "1" ] ] }, "title" : "Brain regions concerned with the identification of deceptive soccer moves by higher-skilled and lower-skilled players.", "type" : "article-journal", "volume" : "7" }, "uris" : [ "http://www.mendeley.com/documents/?uuid=092674e9-f2c4-4d04-b533-41563e092a38" ] } ], "mendeley" : { "formattedCitation" : "(Aglioti et al., 2008; Balser, Lorey, Pilgramm, Stark, et al., 2014; Wright et al., 2010, 2011, 2013)", "plainTextFormattedCitation" : "(Aglioti et al., 2008; Balser, Lorey, Pilgramm, Stark, et al., 2014; Wright et al., 2010, 2011, 2013)", "previouslyFormattedCitation" : "(Aglioti et al., 2008; Balser, Lorey, Pilgramm, Stark, et al., 2014; Wright et al., 2010, 2011, 2013)" }, "properties" : { "noteIndex" : 0 }, "schema" : "https://github.com/citation-style-language/schema/raw/master/csl-citation.json" }</w:instrText>
      </w:r>
      <w:r w:rsidRPr="00341B41">
        <w:rPr>
          <w:rFonts w:cs="Times New Roman"/>
        </w:rPr>
        <w:fldChar w:fldCharType="separate"/>
      </w:r>
      <w:r w:rsidRPr="00341B41">
        <w:rPr>
          <w:rFonts w:cs="Times New Roman"/>
          <w:noProof/>
        </w:rPr>
        <w:t xml:space="preserve">(Aglioti et al., </w:t>
      </w:r>
      <w:r w:rsidRPr="00341B41">
        <w:rPr>
          <w:rFonts w:cs="Times New Roman"/>
          <w:noProof/>
        </w:rPr>
        <w:lastRenderedPageBreak/>
        <w:t>2008; Balser, Lorey, Pilgramm, Stark, et al., 2014; Wright et al., 2010, 2011, 2013)</w:t>
      </w:r>
      <w:r w:rsidRPr="00341B41">
        <w:rPr>
          <w:rFonts w:cs="Times New Roman"/>
        </w:rPr>
        <w:fldChar w:fldCharType="end"/>
      </w:r>
      <w:r w:rsidRPr="00341B41">
        <w:rPr>
          <w:rFonts w:cs="Times New Roman"/>
        </w:rPr>
        <w:t>, and suggests a stronger sensorimotor activity in experienced tennis players during action observation. This may facilitate superior anticipation ability.</w:t>
      </w:r>
      <w:r w:rsidR="00047076" w:rsidRPr="00341B41">
        <w:rPr>
          <w:rFonts w:cs="Times New Roman"/>
        </w:rPr>
        <w:t xml:space="preserve"> </w:t>
      </w:r>
    </w:p>
    <w:p w14:paraId="5C2C6B70" w14:textId="65623DE4" w:rsidR="00047076" w:rsidRPr="00341B41" w:rsidRDefault="00047076" w:rsidP="00047076">
      <w:pPr>
        <w:ind w:firstLine="720"/>
        <w:rPr>
          <w:rFonts w:cs="Times New Roman"/>
        </w:rPr>
      </w:pPr>
      <w:r w:rsidRPr="00341B41">
        <w:t>Only the experienced group showed overall ERD in the high mu band (11-13Hz)</w:t>
      </w:r>
      <w:r w:rsidR="00C70805" w:rsidRPr="00341B41">
        <w:t xml:space="preserve"> at both electrode sites</w:t>
      </w:r>
      <w:r w:rsidRPr="00341B41">
        <w:t>, with no ERD in the unskilled group</w:t>
      </w:r>
      <w:r w:rsidR="006222F3" w:rsidRPr="00341B41">
        <w:t xml:space="preserve"> and a significant increase in power (ERS) at electrode C3</w:t>
      </w:r>
      <w:r w:rsidRPr="00341B41">
        <w:t xml:space="preserve">. Other research provides evidence showing that high mu activity indicates activation of </w:t>
      </w:r>
      <w:proofErr w:type="spellStart"/>
      <w:r w:rsidRPr="00341B41">
        <w:t>somatotopically</w:t>
      </w:r>
      <w:proofErr w:type="spellEnd"/>
      <w:r w:rsidRPr="00341B41">
        <w:t xml:space="preserve"> specific cortical networks, relevant to specific goal-directed actions being performed </w:t>
      </w:r>
      <w:r w:rsidRPr="00341B41">
        <w:fldChar w:fldCharType="begin" w:fldLock="1"/>
      </w:r>
      <w:r w:rsidRPr="00341B41">
        <w:instrText>ADDIN CSL_CITATION { "citationItems" : [ { "id" : "ITEM-1",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"ITEM-1",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"id" : "ITEM-2",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"ITEM-2", "issue" : "10", "issued" : { "date-parts" : [ [ "2000" ] ] }, "page" : "1873-1879", "title" : "Functional dissociation of lower and upper frequency mu rhythms in relation to voluntary limb movement", "type" : "article-journal", "volume" : "111" }, "uris" : [ "http://www.mendeley.com/documents/?uuid=535673cf-0fff-42e5-97cd-a6e8bd9853f0"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By extending those previous findings into action observation in the present work, this finding could imply that experienced players were able to access domain-specific representations for the shot being observed, and use this to understand the information present in the kinematics.</w:t>
      </w:r>
      <w:r w:rsidRPr="00341B41">
        <w:rPr>
          <w:rFonts w:cs="Times New Roman"/>
        </w:rPr>
        <w:t xml:space="preserve"> </w:t>
      </w:r>
    </w:p>
    <w:p w14:paraId="2DFC440B" w14:textId="5C9CA718" w:rsidR="00047076" w:rsidRPr="00341B41" w:rsidRDefault="00047076" w:rsidP="00047076">
      <w:pPr>
        <w:ind w:firstLine="720"/>
        <w:rPr>
          <w:rFonts w:cs="Times New Roman"/>
        </w:rPr>
      </w:pPr>
      <w:r w:rsidRPr="00341B41">
        <w:t>In the low mu ban</w:t>
      </w:r>
      <w:r w:rsidR="006222F3" w:rsidRPr="00341B41">
        <w:t xml:space="preserve">d (8-10Hz), there was </w:t>
      </w:r>
      <w:r w:rsidRPr="00341B41">
        <w:t>significantly greater magnitude in the experienced group</w:t>
      </w:r>
      <w:r w:rsidR="006222F3" w:rsidRPr="00341B41">
        <w:t>, with low mu power not changing from baseline in the less experienced group</w:t>
      </w:r>
      <w:r w:rsidRPr="00341B41">
        <w:t xml:space="preserve">. During action execution, low mu is believed to reflect general attentional processes and non-specific motor behaviour </w:t>
      </w:r>
      <w:r w:rsidRPr="00341B41">
        <w:fldChar w:fldCharType="begin" w:fldLock="1"/>
      </w:r>
      <w:r w:rsidRPr="00341B41">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Relating this to action observation, ERD in the unexperienced group would be expected as they are still able to process biological motion for an action without having specific motor expertise</w:t>
      </w:r>
      <w:r w:rsidR="006222F3" w:rsidRPr="00341B41">
        <w:t>, however results found that low mu power during the observation did not differ significantly from baseline</w:t>
      </w:r>
      <w:r w:rsidRPr="00341B41">
        <w:t xml:space="preserve">. It is possible that low mu ERD in the unexperienced group reflects general </w:t>
      </w:r>
      <w:r w:rsidR="006222F3" w:rsidRPr="00341B41">
        <w:t xml:space="preserve">attention, </w:t>
      </w:r>
      <w:r w:rsidR="00750A53" w:rsidRPr="00341B41">
        <w:t>and that this</w:t>
      </w:r>
      <w:r w:rsidR="006222F3" w:rsidRPr="00341B41">
        <w:t xml:space="preserve"> did not differ between viewing a static baseline image and viewing biological motion in which they have no experience with.</w:t>
      </w:r>
      <w:r w:rsidRPr="00341B41">
        <w:rPr>
          <w:rFonts w:cs="Times New Roman"/>
        </w:rPr>
        <w:t xml:space="preserve"> </w:t>
      </w:r>
    </w:p>
    <w:p w14:paraId="6E990AD3" w14:textId="0DC99AE3" w:rsidR="00605E25" w:rsidRPr="00341B41" w:rsidRDefault="00047076" w:rsidP="00AE0F70">
      <w:pPr>
        <w:ind w:firstLine="720"/>
      </w:pPr>
      <w:r w:rsidRPr="00341B41">
        <w:lastRenderedPageBreak/>
        <w:t xml:space="preserve">In the beta band, both groups showed ERD across the epoch, though the magnitude was greater in the </w:t>
      </w:r>
      <w:r w:rsidR="00980C63" w:rsidRPr="00341B41">
        <w:t>experienced</w:t>
      </w:r>
      <w:r w:rsidRPr="00341B41">
        <w:t xml:space="preserve"> group. This differs from mu activity, where overall only the </w:t>
      </w:r>
      <w:r w:rsidR="00AE0F70" w:rsidRPr="00341B41">
        <w:t>experienced</w:t>
      </w:r>
      <w:r w:rsidRPr="00341B41">
        <w:t xml:space="preserve"> group showed ERD. </w:t>
      </w:r>
      <w:r w:rsidR="00AE0F70" w:rsidRPr="00341B41">
        <w:t xml:space="preserve">One interpretation of this finding could be </w:t>
      </w:r>
      <w:r w:rsidRPr="00341B41">
        <w:t xml:space="preserve">that beta activity indexes the degree of uncertainty in participant’s understanding. Some work has suggested the beta band activity plays a role in the execution of </w:t>
      </w:r>
      <w:r w:rsidR="00B83D79" w:rsidRPr="00341B41">
        <w:t>internal motor</w:t>
      </w:r>
      <w:r w:rsidRPr="00341B41">
        <w:t xml:space="preserve"> </w:t>
      </w:r>
      <w:r w:rsidR="00B83D79" w:rsidRPr="00341B41">
        <w:t>models</w:t>
      </w:r>
      <w:r w:rsidRPr="00341B41">
        <w:t xml:space="preserve"> </w:t>
      </w:r>
      <w:r w:rsidRPr="00341B41">
        <w:fldChar w:fldCharType="begin" w:fldLock="1"/>
      </w:r>
      <w:r w:rsidRPr="00341B41">
        <w:instrText>ADDIN CSL_CITATION { "citationItems" : [ { "id" : "ITEM-1", "itemData" : { "DOI" : "10.1016/j.tics.2016.03.007", "ISSN" : "13646613", "author" : [ { "dropping-particle" : "", "family" : "Palmer", "given" : "Clare", "non-dropping-particle" : "", "parse-names" : false, "suffix" : "" }, { "dropping-particle" : "", "family" : "Zapparoli", "given" : "Laura", "non-dropping-particle" : "", "parse-names" : false, "suffix" : "" }, { "dropping-particle" : "", "family" : "Kilner", "given" : "James M.", "non-dropping-particle" : "", "parse-names" : false, "suffix" : "" } ], "container-title" : "Trends in Cognitive Sciences", "id" : "ITEM-1", "issued" : { "date-parts" : [ [ "2016" ] ] }, "page" : "2-3", "publisher" : "Elsevier Ltd", "title" : "A New Framework to Explain Sensorimotor Beta Oscillations", "type" : "article-journal", "volume" : "xx" }, "uris" : [ "http://www.mendeley.com/documents/?uuid=1206e03f-b746-4199-9822-37057b47036c" ] } ], "mendeley" : { "formattedCitation" : "(Palmer, Zapparoli, &amp; Kilner, 2016)", "plainTextFormattedCitation" : "(Palmer, Zapparoli, &amp; Kilner, 2016)", "previouslyFormattedCitation" : "(Palmer, Zapparoli, &amp; Kilner, 2016)" }, "properties" : { "noteIndex" : 0 }, "schema" : "https://github.com/citation-style-language/schema/raw/master/csl-citation.json" }</w:instrText>
      </w:r>
      <w:r w:rsidRPr="00341B41">
        <w:fldChar w:fldCharType="separate"/>
      </w:r>
      <w:r w:rsidRPr="00341B41">
        <w:rPr>
          <w:noProof/>
        </w:rPr>
        <w:t>(Palmer, Zapparoli, &amp; Kilner, 2016)</w:t>
      </w:r>
      <w:r w:rsidRPr="00341B41">
        <w:fldChar w:fldCharType="end"/>
      </w:r>
      <w:r w:rsidRPr="00341B41">
        <w:t xml:space="preserve">. </w:t>
      </w:r>
      <w:r w:rsidRPr="00341B41">
        <w:rPr>
          <w:rFonts w:cs="Times New Roman"/>
        </w:rPr>
        <w:t xml:space="preserve">For instance, studies looking at motor preparation found the amount of uncertainty of an action’s goal affected the degree of beta power changes, with greater ERD associated with greater response certainty </w:t>
      </w:r>
      <w:r w:rsidRPr="00341B41">
        <w:rPr>
          <w:rFonts w:cs="Times New Roman"/>
        </w:rPr>
        <w:fldChar w:fldCharType="begin" w:fldLock="1"/>
      </w:r>
      <w:r w:rsidRPr="00341B41">
        <w:rPr>
          <w:rFonts w:cs="Times New Roman"/>
        </w:rPr>
        <w:instrText>ADDIN CSL_CITATION { "citationItems" : [ { "id" : "ITEM-1", "itemData" : { "DOI" : "10.1523/JNEUROSCI.6026-09.2010", "ISBN" : "1529-2401 (Electronic) 0270-6474 (Linking)", "ISSN" : "0270-6474", "PMID" : "20739547", "abstract" : "It has been known for many years that the power of beta-band oscillatory activity in motor-related brain regions decreases during the preparation and execution of voluntary movements. However, it is not clear yet whether the amplitude of this desynchronization is modulated by any parameter of the motor task. Here, we examined whether the degree of uncertainty about the upcoming movement direction modulated beta-band desynchronization during motor preparation. To this end, we recorded whole-head neuromagnetic signals while human subjects performed an instructed-delay reaching task with one, two, or three possible target directions. We found that the reduction of power of beta-band activity (16-28 Hz) during motor preparation was scaled relative to directional uncertainty. Furthermore, we show that the change of beta-band power correlates with the change of latency of response associated with response uncertainty. Finally, we show that the main source of beta-band desynchronization was located in the peri-Rolandic region. The results establish directional uncertainty as an important determinant of beta-band power during motor preparation and indicate that neural activity in the sensorimotor cortex during motor preparation covaries with directional uncertainty.", "author" : [ { "dropping-particle" : "", "family" : "Tzagarakis", "given" : "C.", "non-dropping-particle" : "", "parse-names" : false, "suffix" : "" }, { "dropping-particle" : "", "family" : "Ince", "given" : "N. F.", "non-dropping-particle" : "", "parse-names" : false, "suffix" : "" }, { "dropping-particle" : "", "family" : "Leuthold", "given" : "A. C.", "non-dropping-particle" : "", "parse-names" : false, "suffix" : "" }, { "dropping-particle" : "", "family" : "Pellizzer", "given" : "G.", "non-dropping-particle" : "", "parse-names" : false, "suffix" : "" } ], "container-title" : "The Journal of Neuroscience", "id" : "ITEM-1", "issue" : "34", "issued" : { "date-parts" : [ [ "2010" ] ] }, "page" : "11270-11277", "title" : "Beta-Band Activity during Motor Planning Reflects Response Uncertainty", "type" : "article-journal", "volume" : "30" }, "uris" : [ "http://www.mendeley.com/documents/?uuid=229e907a-96f8-4949-8a23-b3a18c60c49e" ] }, { "id" : "ITEM-2", "itemData" : { "DOI" : "10.3389/fnins.2015.00246", "ISBN" : "1662-453X", "ISSN" : "1662-453X", "PMID" : "26257597", "abstract" : "In time-constraint activities, such as sports, it is advantageous to be prepared to act even before knowing precisely what action will be needed. Here, we studied the relation between neural oscillations during motor preparation and amount of uncertainty about the direction of the upcoming target. Ten right-handed volunteers participated in a cued center-out task. A brief visual cue identified the region of space in which the target would appear. Three cue sizes were used to vary the amount of information about the direction of the upcoming target. The target appeared at a random location within the region indicated by the cue, and the participants moved a joystick-controlled cursor toward it. Time-frequency analyses showed phasic increases of power in low (delta/theta: &lt;7 Hz) and high (gamma: &gt;30 Hz) frequency-bands in relation to the onset of visual stimuli and of the motor response. More importantly in regard to motor preparation, there was a tonic reduction of power in the alpha (8-12 Hz) and beta (14-30 Hz) bands during the period between cue presentation and target onset. During motor preparation, the main source of change of power of the alpha band was localized over the contralateral sensorimotor region and both parietal cortices, whereas for the beta-band the main source was the contralateral sensorimotor region. During cue presentation, the reduction of power of the alpha-band in the occipital lobe showed a brief differentiation of condition: the wider the visual cue, the more the power of the alpha-band decreased. However, during motor preparation, only the power of the beta-band was dependent on directional uncertainty: the less the directional uncertainty, the more the power of the beta-band decreased. In conclusion, the results indicate that the power in the alpha-band is associated briefly with cue size, but is otherwise an undifferentiated indication of neural activation, whereas the power of the beta-band reflects the level of motor preparation", "author" : [ { "dropping-particle" : "", "family" : "Tzagarakis", "given" : "C", "non-dropping-particle" : "", "parse-names" : false, "suffix" : "" }, { "dropping-particle" : "", "family" : "West", "given" : "S", "non-dropping-particle" : "", "parse-names" : false, "suffix" : "" }, { "dropping-particle" : "", "family" : "Pellizzer", "given" : "G", "non-dropping-particle" : "", "parse-names" : false, "suffix" : "" } ], "container-title" : "Frontiers in Neuroscience", "id" : "ITEM-2", "issue" : "1662-4548 (Print)", "issued" : { "date-parts" : [ [ "2015" ] ] }, "page" : "246", "title" : "Brain oscillatory activity during motor preparation: effect of directional uncertainty on beta, but not alpha, frequency band", "type" : "article-journal", "volume" : "9" }, "uris" : [ "http://www.mendeley.com/documents/?uuid=da6443ba-532e-4383-af2a-d8c265be9d20" ] } ], "mendeley" : { "formattedCitation" : "(Tzagarakis, Ince, Leuthold, &amp; Pellizzer, 2010; Tzagarakis, West, &amp; Pellizzer, 2015)", "plainTextFormattedCitation" : "(Tzagarakis, Ince, Leuthold, &amp; Pellizzer, 2010; Tzagarakis, West, &amp; Pellizzer, 2015)", "previouslyFormattedCitation" : "(Tzagarakis, Ince, Leuthold, &amp; Pellizzer, 2010; Tzagarakis, West, &amp; Pellizzer, 2015)" }, "properties" : { "noteIndex" : 0 }, "schema" : "https://github.com/citation-style-language/schema/raw/master/csl-citation.json" }</w:instrText>
      </w:r>
      <w:r w:rsidRPr="00341B41">
        <w:rPr>
          <w:rFonts w:cs="Times New Roman"/>
        </w:rPr>
        <w:fldChar w:fldCharType="separate"/>
      </w:r>
      <w:r w:rsidRPr="00341B41">
        <w:rPr>
          <w:rFonts w:cs="Times New Roman"/>
          <w:noProof/>
        </w:rPr>
        <w:t>(Tzagarakis, Ince, Leuthold, &amp; Pellizzer, 2010; Tzagarakis, West, &amp; Pellizzer, 2015)</w:t>
      </w:r>
      <w:r w:rsidRPr="00341B41">
        <w:rPr>
          <w:rFonts w:cs="Times New Roman"/>
        </w:rPr>
        <w:fldChar w:fldCharType="end"/>
      </w:r>
      <w:r w:rsidRPr="00341B41">
        <w:rPr>
          <w:rFonts w:cs="Times New Roman"/>
        </w:rPr>
        <w:t xml:space="preserve">. Applying this to the results of the current study, greater beta ERD in the </w:t>
      </w:r>
      <w:r w:rsidR="00253447" w:rsidRPr="00341B41">
        <w:rPr>
          <w:rFonts w:cs="Times New Roman"/>
        </w:rPr>
        <w:t>experienced</w:t>
      </w:r>
      <w:r w:rsidRPr="00341B41">
        <w:rPr>
          <w:rFonts w:cs="Times New Roman"/>
        </w:rPr>
        <w:t xml:space="preserve"> group may reflect their greater certainty as to the outcome of the action being observed, due to their superior motor expertise. This hypothesis could also explain why beta ERD differences between groups were relatively small. As the anticipation task required a choice between two responses, there was always a 50% chance of guessing correctly. Therefore, greater group differences between </w:t>
      </w:r>
      <w:r w:rsidR="00605E25" w:rsidRPr="00341B41">
        <w:rPr>
          <w:rFonts w:cs="Times New Roman"/>
        </w:rPr>
        <w:t>experienced</w:t>
      </w:r>
      <w:r w:rsidRPr="00341B41">
        <w:rPr>
          <w:rFonts w:cs="Times New Roman"/>
        </w:rPr>
        <w:t xml:space="preserve"> and </w:t>
      </w:r>
      <w:r w:rsidR="00FA04E1" w:rsidRPr="00341B41">
        <w:rPr>
          <w:rFonts w:cs="Times New Roman"/>
        </w:rPr>
        <w:t>less experienced</w:t>
      </w:r>
      <w:r w:rsidRPr="00341B41">
        <w:rPr>
          <w:rFonts w:cs="Times New Roman"/>
        </w:rPr>
        <w:t xml:space="preserve"> </w:t>
      </w:r>
      <w:r w:rsidR="00605E25" w:rsidRPr="00341B41">
        <w:rPr>
          <w:rFonts w:cs="Times New Roman"/>
        </w:rPr>
        <w:t>participants</w:t>
      </w:r>
      <w:r w:rsidRPr="00341B41">
        <w:rPr>
          <w:rFonts w:cs="Times New Roman"/>
        </w:rPr>
        <w:t xml:space="preserve"> may become apparent in a task where a greater number of response options are available. It would be expected that </w:t>
      </w:r>
      <w:r w:rsidR="00605E25" w:rsidRPr="00341B41">
        <w:rPr>
          <w:rFonts w:cs="Times New Roman"/>
        </w:rPr>
        <w:t>experienced</w:t>
      </w:r>
      <w:r w:rsidRPr="00341B41">
        <w:rPr>
          <w:rFonts w:cs="Times New Roman"/>
        </w:rPr>
        <w:t xml:space="preserve"> </w:t>
      </w:r>
      <w:r w:rsidR="00605E25" w:rsidRPr="00341B41">
        <w:rPr>
          <w:rFonts w:cs="Times New Roman"/>
        </w:rPr>
        <w:t>participants</w:t>
      </w:r>
      <w:r w:rsidRPr="00341B41">
        <w:rPr>
          <w:rFonts w:cs="Times New Roman"/>
        </w:rPr>
        <w:t xml:space="preserve"> should still show a higher degree of certainty as to the outcome due to their superior ability of understanding an opponent’s intention. </w:t>
      </w:r>
      <w:r w:rsidR="00634BFE" w:rsidRPr="00341B41">
        <w:rPr>
          <w:rFonts w:cs="Times New Roman"/>
        </w:rPr>
        <w:t>Less experienced</w:t>
      </w:r>
      <w:r w:rsidR="00605E25" w:rsidRPr="00341B41">
        <w:rPr>
          <w:rFonts w:cs="Times New Roman"/>
        </w:rPr>
        <w:t xml:space="preserve"> participants</w:t>
      </w:r>
      <w:r w:rsidRPr="00341B41">
        <w:rPr>
          <w:rFonts w:cs="Times New Roman"/>
        </w:rPr>
        <w:t xml:space="preserve"> would however become less certain as the chances of guessing correctly are reduced. </w:t>
      </w:r>
      <w:r w:rsidR="00605E25" w:rsidRPr="00341B41">
        <w:rPr>
          <w:rFonts w:cs="Times New Roman"/>
        </w:rPr>
        <w:t xml:space="preserve"> </w:t>
      </w:r>
    </w:p>
    <w:p w14:paraId="277E9A59" w14:textId="57B20CDC" w:rsidR="00605E25" w:rsidRPr="00341B41" w:rsidRDefault="00047076" w:rsidP="00605E25">
      <w:pPr>
        <w:ind w:firstLine="720"/>
        <w:rPr>
          <w:rFonts w:cs="Times New Roman"/>
        </w:rPr>
      </w:pPr>
      <w:r w:rsidRPr="00341B41">
        <w:rPr>
          <w:rFonts w:cs="Times New Roman"/>
        </w:rPr>
        <w:t xml:space="preserve">The inability to fully dissociate motor from visual expertise is an issue when studying action observation and understanding in humans, particularly when studying experts. As a function of their expertise, the tennis players recruited for this study will have </w:t>
      </w:r>
      <w:r w:rsidRPr="00341B41">
        <w:rPr>
          <w:rFonts w:cs="Times New Roman"/>
        </w:rPr>
        <w:lastRenderedPageBreak/>
        <w:t xml:space="preserve">developed highly defined motor plans required for playing tennis at a high level. They also will have a high degree of visual familiarity of observing tennis shots. Other studies have shown the mu and beta activity during action observation aren’t modulated by the amount of visual familiarity one has </w:t>
      </w:r>
      <w:r w:rsidRPr="00341B41">
        <w:rPr>
          <w:rFonts w:cs="Times New Roman"/>
        </w:rPr>
        <w:fldChar w:fldCharType="begin" w:fldLock="1"/>
      </w:r>
      <w:r w:rsidRPr="00341B41">
        <w:rPr>
          <w:rFonts w:cs="Times New Roman"/>
        </w:rPr>
        <w:instrText>ADDIN CSL_CITATION { "citationItems" : [ { "id" : "ITEM-1",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"ITEM-1", "issue" : "3", "issued" : { "date-parts" : [ [ "2014", "1" ] ] }, "page" : "e92002", "title" : "Action experience, more than observation, influences mu rhythm desynchronization.", "type" : "article-journal", "volume" : "9" }, "uris" : [ "http://www.mendeley.com/documents/?uuid=72fbdcee-2484-4233-ae33-4046a4c774dd" ] } ], "mendeley" : { "formattedCitation" : "(Cannon et al., 2014)", "plainTextFormattedCitation" : "(Cannon et al., 2014)", "previouslyFormattedCitation" : "(Cannon et al., 2014)" }, "properties" : { "noteIndex" : 0 }, "schema" : "https://github.com/citation-style-language/schema/raw/master/csl-citation.json" }</w:instrText>
      </w:r>
      <w:r w:rsidRPr="00341B41">
        <w:rPr>
          <w:rFonts w:cs="Times New Roman"/>
        </w:rPr>
        <w:fldChar w:fldCharType="separate"/>
      </w:r>
      <w:r w:rsidRPr="00341B41">
        <w:rPr>
          <w:rFonts w:cs="Times New Roman"/>
          <w:noProof/>
        </w:rPr>
        <w:t>(Cannon et al., 2014)</w:t>
      </w:r>
      <w:r w:rsidRPr="00341B41">
        <w:rPr>
          <w:rFonts w:cs="Times New Roman"/>
        </w:rPr>
        <w:fldChar w:fldCharType="end"/>
      </w:r>
      <w:r w:rsidRPr="00341B41">
        <w:rPr>
          <w:rFonts w:cs="Times New Roman"/>
        </w:rPr>
        <w:t xml:space="preserve">. Furthermore, studies comparing </w:t>
      </w:r>
      <w:r w:rsidR="009D3B35" w:rsidRPr="00341B41">
        <w:rPr>
          <w:rFonts w:cs="Times New Roman"/>
        </w:rPr>
        <w:t>experienced</w:t>
      </w:r>
      <w:r w:rsidRPr="00341B41">
        <w:rPr>
          <w:rFonts w:cs="Times New Roman"/>
        </w:rPr>
        <w:t xml:space="preserve"> players with </w:t>
      </w:r>
      <w:r w:rsidR="009D3B35" w:rsidRPr="00341B41">
        <w:rPr>
          <w:rFonts w:cs="Times New Roman"/>
        </w:rPr>
        <w:t>experienced</w:t>
      </w:r>
      <w:r w:rsidRPr="00341B41">
        <w:rPr>
          <w:rFonts w:cs="Times New Roman"/>
        </w:rPr>
        <w:t xml:space="preserve"> ‘watchers’ (such as spectators, referees, and coaches) have shown that only players are able to use motor-specific knowledge to anticipate, and show higher accuracy than skilled watchers </w:t>
      </w:r>
      <w:r w:rsidRPr="00341B41">
        <w:rPr>
          <w:rFonts w:cs="Times New Roman"/>
        </w:rPr>
        <w:fldChar w:fldCharType="begin" w:fldLock="1"/>
      </w:r>
      <w:r w:rsidR="00876673" w:rsidRPr="00341B41">
        <w:rPr>
          <w:rFonts w:cs="Times New Roman"/>
        </w:rPr>
        <w:instrText>ADDIN CSL_CITATION { "citationItems" : [ { "id" : "ITEM-1", "itemData" : { "author" : [ { "dropping-particle" : "", "family" : "Williams", "given" : "Andrew Mark", "non-dropping-particle" : "", "parse-names" : false, "suffix" : "" }, { "dropping-particle" : "", "family" : "Davids", "given" : "K", "non-dropping-particle" : "", "parse-names" : false, "suffix" : "" } ], "container-title" : "Journal of Sport and Exercise Psychology", "id" : "ITEM-1", "issued" : { "date-parts" : [ [ "1995" ] ] }, "page" : "259-275", "title" : "Declarative knowledge in sport: A by-product of experience or a characteristic of expertise?", "type" : "article-journal", "volume" : "17" }, "uris" : [ "http://www.mendeley.com/documents/?uuid=8b9cd8a4-9de1-45cf-8048-79ee5731cd08" ] }, { "id" : "ITEM-2", "itemData" : { "DOI" : "10.1038/nn.2182", "ISSN" : "1097-6256", "author" : [ { "dropping-particle" : "", "family" : "Aglioti", "given" : "Salvatore M", "non-dropping-particle" : "", "parse-names" : false, "suffix" : "" }, { "dropping-particle" : "", "family" : "Cesari", "given" : "Paola", "non-dropping-particle" : "", "parse-names" : false, "suffix" : "" }, { "dropping-particle" : "", "family" : "Romani", "given" : "Michela", "non-dropping-particle" : "", "parse-names" : false, "suffix" : "" }, { "dropping-particle" : "", "family" : "Urgesi", "given" : "Cosimo", "non-dropping-particle" : "", "parse-names" : false, "suffix" : "" } ], "container-title" : "Nature Neuroscience", "id" : "ITEM-2", "issue" : "9", "issued" : { "date-parts" : [ [ "2008" ] ] }, "page" : "1109-1116", "title" : "Action anticipation and motor resonance in elite basketball players", "type" : "article-journal", "volume" : "11" }, "uris" : [ "http://www.mendeley.com/documents/?uuid=1fc547b5-58fb-4cb6-99da-14770b6e228e" ] } ], "mendeley" : { "formattedCitation" : "(Aglioti et al., 2008; Williams &amp; Davids, 1995)", "manualFormatting" : "(Aglioti et al., 2008; Williams &amp; Davids, 1995)", "plainTextFormattedCitation" : "(Aglioti et al., 2008; Williams &amp; Davids, 1995)", "previouslyFormattedCitation" : "(Aglioti et al., 2008; Williams &amp; Davids, 1995)" }, "properties" : { "noteIndex" : 0 }, "schema" : "https://github.com/citation-style-language/schema/raw/master/csl-citation.json" }</w:instrText>
      </w:r>
      <w:r w:rsidRPr="00341B41">
        <w:rPr>
          <w:rFonts w:cs="Times New Roman"/>
        </w:rPr>
        <w:fldChar w:fldCharType="separate"/>
      </w:r>
      <w:r w:rsidRPr="00341B41">
        <w:rPr>
          <w:rFonts w:cs="Times New Roman"/>
          <w:noProof/>
        </w:rPr>
        <w:t>(Aglioti et al., 2008; Williams &amp; Davids, 1995)</w:t>
      </w:r>
      <w:r w:rsidRPr="00341B41">
        <w:rPr>
          <w:rFonts w:cs="Times New Roman"/>
        </w:rPr>
        <w:fldChar w:fldCharType="end"/>
      </w:r>
      <w:r w:rsidRPr="00341B41">
        <w:rPr>
          <w:rFonts w:cs="Times New Roman"/>
        </w:rPr>
        <w:t>. These findings make it unlikely that our results are due to purely differences in visual expertise between the two groups.</w:t>
      </w:r>
      <w:r w:rsidR="00605E25" w:rsidRPr="00341B41">
        <w:rPr>
          <w:rFonts w:cs="Times New Roman"/>
        </w:rPr>
        <w:t xml:space="preserve"> </w:t>
      </w:r>
    </w:p>
    <w:p w14:paraId="39D6A972" w14:textId="5DB2DD97" w:rsidR="00605E25" w:rsidRPr="00341B41" w:rsidRDefault="00047076" w:rsidP="00605E25">
      <w:pPr>
        <w:ind w:firstLine="720"/>
        <w:rPr>
          <w:rFonts w:cs="Times New Roman"/>
        </w:rPr>
      </w:pPr>
      <w:r w:rsidRPr="00341B41">
        <w:rPr>
          <w:rFonts w:cs="Times New Roman"/>
        </w:rPr>
        <w:t xml:space="preserve">Volume conduction effects are an inherent problem in EEG data which limits its spatial resolution. This means that it cannot be assumed that EEG activity recorded at the scalp level electrode is originating in the cortical area directly under the position of the electrode. Therefore, despite the positioning of the C3 and C4 electrodes over the sensorimotor cortices it is not guaranteed that the activity being recorded at those electrodes was generated in sensorimotor areas. Whilst this issue is prevalent for all EEG analyses, it is particularly problematic for recording sensorimotor activity.  This is because the mu frequency band (8-13Hz) is the same as posterior alpha activity (also 8-13Hz), and it has been shown that putative mu activity can become contaminated with non-mu alpha activity </w:t>
      </w:r>
      <w:r w:rsidRPr="00341B41">
        <w:rPr>
          <w:rFonts w:cs="Times New Roman"/>
        </w:rPr>
        <w:fldChar w:fldCharType="begin" w:fldLock="1"/>
      </w:r>
      <w:r w:rsidRPr="00341B41">
        <w:rPr>
          <w:rFonts w:cs="Times New Roman"/>
        </w:rPr>
        <w:instrText>ADDIN CSL_CITATION { "citationItems" : [ { "id" : "ITEM-1", "itemData" : { "DOI" : "10.1016/j.ijpsycho.2013.05.019", "ISBN" : "0167-8760", "ISSN" : "01678760", "PMID" : "23756148", "abstract" : "Mu rhythm is an EEG measure of resting motor neurons, which is normally suppressed by input because of action observation or movement execution. This characteristic has caused mu suppression to be used as proxy marker for mirror neuron activation. However, there is little direct evidence that fluctuations in mu rhythm suppression reflect concurrent fluctuations in mirror neuron activity. A manual imitation paradigm was used to look at correlations between mu rhythm and BOLD response, by recording sequential EEG and fMRI measures to allow within-subject correlation analyses. Participants were instructed to imitate or observe actions involving the movement of a handle with their right hand. Mu power modulation, defined as mu power changes between conditions, correlated negatively with BOLD response in right inferior parietal lobe, premotor cortex and inferior frontal gyrus; putative mirror neuron areas. Clusters were also identified in bilateral cerebellum, left medial frontal gyrus, right temporal lobe and thalamus. This suggests that mu suppression involves a range of structures that modulate motor preparation activities and are sensitive to visual input, including but not restricted to the human analogue of the mirror neuron system. ?? 2013 Elsevier B.V.", "author" : [ { "dropping-particle" : "", "family" : "Braadbaart", "given" : "Lieke", "non-dropping-particle" : "", "parse-names" : false, "suffix" : "" }, { "dropping-particle" : "", "family" : "Williams", "given" : "Justin H G", "non-dropping-particle" : "", "parse-names" : false, "suffix" : "" }, { "dropping-particle" : "", "family" : "Waiter", "given" : "Gordon D.", "non-dropping-particle" : "", "parse-names" : false, "suffix" : "" } ], "container-title" : "International Journal of Psychophysiology", "id" : "ITEM-1", "issue" : "1", "issued" : { "date-parts" : [ [ "2013" ] ] }, "page" : "99-105", "publisher" : "Elsevier B.V.", "title" : "Do mirror neuron areas mediate mu rhythm suppression during imitation and action observation?", "type" : "article-journal", "volume" : "89" }, "uris" : [ "http://www.mendeley.com/documents/?uuid=38d9330c-7ed8-4063-a2d0-73b5471d4abc" ] }, { "id" : "ITEM-2", "itemData" : { "DOI" : "10.1016/j.brainres.2009.05.059", "ISSN" : "1872-6240", "PMID" : "19500557", "abstract" : "Mu (mu) rhythms are EEG oscillations between 8-13 Hz distinguished from alpha by having more anterior distribution and being desynchronized by motor rather than visual activity. Evidence accumulating during the last decade suggests that the desynchronization of mu rhythms (mu suppression) might be also a manifestation of a human Mirror Neuron System (MNS). To further explore this hypothesis we used a paradigm that, in a previous fMRI study, successfully activated this putative MNS in humans. Our direct goal was to provide further support for a link between modulation of mu rhythms and the MNS, by finding parallels between the reported patterns of fMRI activations and patterns of mu suppression. The EEG power in the mu range has been recorded while participants passively observed either a left or a right hand, reaching to and grasping objects, and compared it with that recorded while participants observed the movement of a ball, and while observing static grasping scenes or still objects. Mirroring fMRI results (Shmuelof, L., Zohary, E., 2005. Dissociation between ventral and dorsal fMRI activation during object and action recognition. Neuron 47, 457-470), mu suppression was larger in the hemisphere contra-lateral to the moving hand and larger when the hands grasped different objects in different ways than when the movement was repetitive. No suppression was found while participants observed still objects but mu suppression was also found while seeing static grasping postures. These data are discussed in light of similar parallels between modulations of alpha waves and fMRI while recording EEG in the magnet. The present data support a link between mu suppression and a human MNS.", "author" : [ { "dropping-particle" : "", "family" : "Perry", "given" : "Anat", "non-dropping-particle" : "", "parse-names" : false, "suffix" : "" }, { "dropping-particle" : "", "family" : "Bentin", "given" : "Shlomo", "non-dropping-particle" : "", "parse-names" : false, "suffix" : "" } ], "container-title" : "Brain Research", "id" : "ITEM-2", "issued" : { "date-parts" : [ [ "2009", "7", "28" ] ] }, "page" : "126-32", "publisher" : "Elsevier B.V.", "title" : "Mirror activity in the human brain while observing hand movements: a comparison between EEG desynchronization in the mu-range and previous fMRI results.", "type" : "article-journal", "volume" : "1282" }, "uris" : [ "http://www.mendeley.com/documents/?uuid=f18cc55a-3d22-46a0-9f29-c3ca211757ff" ] } ], "mendeley" : { "formattedCitation" : "(Braadbaart, Williams, &amp; Waiter, 2013; Perry &amp; Bentin, 2009)", "plainTextFormattedCitation" : "(Braadbaart, Williams, &amp; Waiter, 2013; Perry &amp; Bentin, 2009)", "previouslyFormattedCitation" : "(Braadbaart, Williams, &amp; Waiter, 2013; Perry &amp; Bentin, 2009)" }, "properties" : { "noteIndex" : 0 }, "schema" : "https://github.com/citation-style-language/schema/raw/master/csl-citation.json" }</w:instrText>
      </w:r>
      <w:r w:rsidRPr="00341B41">
        <w:rPr>
          <w:rFonts w:cs="Times New Roman"/>
        </w:rPr>
        <w:fldChar w:fldCharType="separate"/>
      </w:r>
      <w:r w:rsidRPr="00341B41">
        <w:rPr>
          <w:rFonts w:cs="Times New Roman"/>
          <w:noProof/>
        </w:rPr>
        <w:t>(Braadbaart, Williams, &amp; Waiter, 2013; Perry &amp; Bentin, 2009)</w:t>
      </w:r>
      <w:r w:rsidRPr="00341B41">
        <w:rPr>
          <w:rFonts w:cs="Times New Roman"/>
        </w:rPr>
        <w:fldChar w:fldCharType="end"/>
      </w:r>
      <w:r w:rsidRPr="00341B41">
        <w:rPr>
          <w:rFonts w:cs="Times New Roman"/>
        </w:rPr>
        <w:t xml:space="preserve">. Importantly, these non-mu alpha oscillations are not considered to constitute activity of the </w:t>
      </w:r>
      <w:r w:rsidR="00605E25" w:rsidRPr="00341B41">
        <w:rPr>
          <w:rFonts w:cs="Times New Roman"/>
        </w:rPr>
        <w:t>sensorimotor system</w:t>
      </w:r>
      <w:r w:rsidRPr="00341B41">
        <w:rPr>
          <w:rFonts w:cs="Times New Roman"/>
        </w:rPr>
        <w:t xml:space="preserve"> but instead are believed to be modulated by attentional processes. Some research has found that during action observation tasks, ERD is seen in both central and occipital electrode sites, suggesting that differences may be due to attentional demand, rather than </w:t>
      </w:r>
      <w:r w:rsidRPr="00341B41">
        <w:rPr>
          <w:rFonts w:cs="Times New Roman"/>
        </w:rPr>
        <w:lastRenderedPageBreak/>
        <w:t xml:space="preserve">differences in </w:t>
      </w:r>
      <w:r w:rsidR="00605E25" w:rsidRPr="00341B41">
        <w:rPr>
          <w:rFonts w:cs="Times New Roman"/>
        </w:rPr>
        <w:t xml:space="preserve">sensorimotor activations </w:t>
      </w:r>
      <w:r w:rsidRPr="00341B41">
        <w:rPr>
          <w:rFonts w:cs="Times New Roman"/>
        </w:rPr>
        <w:fldChar w:fldCharType="begin" w:fldLock="1"/>
      </w:r>
      <w:r w:rsidRPr="00341B41">
        <w:rPr>
          <w:rFonts w:cs="Times New Roman"/>
        </w:rPr>
        <w:instrText>ADDIN CSL_CITATION { "citationItems" : [ { "id" : "ITEM-1", "itemData" : { "DOI" : "10.1080/17470910903395767", "ISBN" : "1747-0927 (Electronic)\\r1747-0919 (Linking)", "ISSN" : "1747-0919", "PMID" : "20169504", "abstract" : "Putative contributions of a human mirror neuron system (hMNS) to the perception of social information have been assessed by measuring the suppression of EEG oscillations in the mu/alpha (8-12 Hz), beta (15-25 Hz) and low-gamma (25-25 Hz) ranges while participants processed social information revealed by point-light displays of human motion. Identical dynamic displays were presented and participants were instructed to distinguish the intention, the emotion, or the gender of a moving image of a person, while they performed an adapted odd-ball task. Relative to a baseline presenting a nonbiological but meaningful motion display, all three biological motion conditions reduced the EEG amplitude in the mu/alpha and beta ranges, but not in the low-gamma range. Suppression was larger in the intention than in the emotion and gender conditions, with no difference between the latter two. Moreover, the suppression in the intention condition was negatively correlated with an accepted measure of empathy (EQ), revealing that participants high in empathy scores manifested less suppression. For intention and emotion the suppression was larger at occipital than at central sites, suggesting that factors other than motor system were in play while processing social information embedded in the motion of point-light displays.", "author" : [ { "dropping-particle" : "", "family" : "Perry", "given" : "Anat", "non-dropping-particle" : "", "parse-names" : false, "suffix" : "" }, { "dropping-particle" : "", "family" : "Troje", "given" : "Nikolaus F", "non-dropping-particle" : "", "parse-names" : false, "suffix" : "" }, { "dropping-particle" : "", "family" : "Bentin", "given" : "Shlomo", "non-dropping-particle" : "", "parse-names" : false, "suffix" : "" } ], "container-title" : "Social Neuroscience", "id" : "ITEM-1", "issue" : "3", "issued" : { "date-parts" : [ [ "2010" ] ] }, "page" : "272-284", "title" : "Exploring motor system contributions to the perception of social information: Evidence from EEG activity in the mu/alpha frequency range.", "type" : "article-journal", "volume" : "5" }, "uris" : [ "http://www.mendeley.com/documents/?uuid=74755181-8ef8-4efa-9d7a-02c76bf6fb85" ] }, { "id" : "ITEM-2", "itemData" : { "DOI" : "10.1016/j.jneumeth.2008.07.021", "ISBN" : "0165-0270 (Print)", "ISSN" : "01650270", "PMID" : "18762214", "abstract" : "It is now well established that the human brain is endowed with a system that matches the observation of actions with their execution. At the motor cortex level, EEG mu rhythm modulation (8-12 Hz) and TMS-induced motor evoked potentials (MEPs) are two techniques commonly used to assess brain activity during action observation. While both techniques have reliably demonstrated similarities in the pattern of activity induced by action production and action observation, the relationship they bear with each other remains elusive. In the present study, we combined ongoing EEG recordings and single-pulse TMS during the execution, imagination and observation of simple hand actions. Relationship between MEPs and EEG frequency bands at the individual level was investigated. Our results replicate those obtained independently with both techniques: a significant increase in MEP amplitude and a significant attenuation of the mu rhythm during action observation, imagination and execution compared to rest. Surprisingly, we found no significant correlation between MEP amplitude and mu rhythm modulation. However, modulation in the low to midrange beta (12-18 Hz) was related to MEP size during the rest and execution conditions. These results suggest that although mu rhythm and TMS-induced MEPs are sensitive to motor resonance mechanisms, they may reflect different processes taking place within the observation/execution matching system. ?? 2008 Elsevier B.V. All rights reserved.", "author" : [ { "dropping-particle" : "", "family" : "Lepage", "given" : "Jean Francois", "non-dropping-particle" : "", "parse-names" : false, "suffix" : "" }, { "dropping-particle" : "", "family" : "Saint-Amour", "given" : "Dave", "non-dropping-particle" : "", "parse-names" : false, "suffix" : "" }, { "dropping-particle" : "", "family" : "Theoret", "given" : "Hugo", "non-dropping-particle" : "", "parse-names" : false, "suffix" : "" } ], "container-title" : "Journal of Neuroscience Methods", "id" : "ITEM-2", "issue" : "1", "issued" : { "date-parts" : [ [ "2008" ] ] }, "page" : "17-24", "title" : "EEG and neuronavigated single-pulse TMS in the study of the observation/execution matching system: Are both techniques measuring the same process?", "type" : "article-journal", "volume" : "175" }, "uris" : [ "http://www.mendeley.com/documents/?uuid=07c7a626-f445-4a79-be3b-7dc4aedd360f" ] } ], "mendeley" : { "formattedCitation" : "(Lepage, Saint-Amour, &amp; Theoret, 2008; Perry, Troje, &amp; Bentin, 2010)", "plainTextFormattedCitation" : "(Lepage, Saint-Amour, &amp; Theoret, 2008; Perry, Troje, &amp; Bentin, 2010)", "previouslyFormattedCitation" : "(Lepage, Saint-Amour, &amp; Theoret, 2008; Perry, Troje, &amp; Bentin, 2010)" }, "properties" : { "noteIndex" : 0 }, "schema" : "https://github.com/citation-style-language/schema/raw/master/csl-citation.json" }</w:instrText>
      </w:r>
      <w:r w:rsidRPr="00341B41">
        <w:rPr>
          <w:rFonts w:cs="Times New Roman"/>
        </w:rPr>
        <w:fldChar w:fldCharType="separate"/>
      </w:r>
      <w:r w:rsidRPr="00341B41">
        <w:rPr>
          <w:rFonts w:cs="Times New Roman"/>
          <w:noProof/>
        </w:rPr>
        <w:t>(Lepage, Saint-Amour, &amp; Theoret, 2008; Perry, Troje, &amp; Bentin, 2010)</w:t>
      </w:r>
      <w:r w:rsidRPr="00341B41">
        <w:rPr>
          <w:rFonts w:cs="Times New Roman"/>
        </w:rPr>
        <w:fldChar w:fldCharType="end"/>
      </w:r>
      <w:r w:rsidRPr="00341B41">
        <w:rPr>
          <w:rFonts w:cs="Times New Roman"/>
        </w:rPr>
        <w:t xml:space="preserve">. Other studies however have found significant group differences only at central sites </w:t>
      </w:r>
      <w:r w:rsidRPr="00341B41">
        <w:rPr>
          <w:rFonts w:cs="Times New Roman"/>
        </w:rPr>
        <w:fldChar w:fldCharType="begin" w:fldLock="1"/>
      </w:r>
      <w:r w:rsidRPr="00341B41">
        <w:rPr>
          <w:rFonts w:cs="Times New Roman"/>
        </w:rPr>
        <w:instrText>ADDIN CSL_CITATION { "citationItems" : [ { "id" : "ITEM-1", "itemData" : { "DOI" : "10.1016/j.bandc.2007.03.004", "ISBN" : "0278-2626 (Print)\\r0278-2626 (Linking)", "ISSN" : "02782626", "PMID" : "17451856", "abstract" : "Imitation ability has consistently been shown to be impaired in individuals with autism. A dysfunctional execution/observation matching system has been proposed to account for this impairment. The EEG mu rhythm is believed to reflect an underlying execution/observation matching system. This study investigated evidence of differential mu rhythm attenuation during the observation, execution, and imitation of movements and examined its relation to behaviorally assessed imitation abilities. Fourteen high-functioning adults with autism spectrum disorder (ASD) and 15 IQ- and age-matched typical adults participated. On the behavioral imitation task, adults with ASD demonstrated significantly poorer performance compared to typical adults in all domains of imitation ability. On the EEG task, both groups demonstrated significant attenuation of the mu rhythm when executing an action. However, when observing movement, the individuals with ASD showed significantly reduced attenuation of the mu wave. Behaviorally assessed imitation skills were correlated with degree of mu wave attenuation during observation of movement. These findings suggest that there is execution/observation matching system dysfunction in individuals with autism and that this matching system is related to degree of impairment in imitation abilities. ?? 2007 Elsevier Inc. All rights reserved.", "author" : [ { "dropping-particle" : "", "family" : "Bernier", "given" : "Raphael", "non-dropping-particle" : "", "parse-names" : false, "suffix" : "" }, { "dropping-particle" : "", "family" : "Dawson", "given" : "G.", "non-dropping-particle" : "", "parse-names" : false, "suffix" : "" }, { "dropping-particle" : "", "family" : "Webb", "given" : "S.", "non-dropping-particle" : "", "parse-names" : false, "suffix" : "" }, { "dropping-particle" : "", "family" : "Murias", "given" : "M.", "non-dropping-particle" : "", "parse-names" : false, "suffix" : "" } ], "container-title" : "Brain and Cognition", "id" : "ITEM-1", "issue" : "3", "issued" : { "date-parts" : [ [ "2007" ] ] }, "page" : "228-237", "title" : "EEG mu rhythm and imitation impairments in individuals with autism spectrum disorder", "type" : "article-journal", "volume" : "64" }, "uris" : [ "http://www.mendeley.com/documents/?uuid=24ab4f53-f29f-4872-89f1-edee493eb2e4" ] }, { "id" : "ITEM-2", "itemData" : { "DOI" : "10.1016/j.bandc.2013.02.008", "ISBN" : "0278-2626", "ISSN" : "02782626", "PMID" : "23511847", "abstract" : "Dysfunction in an execution/observation matching system, or mirror neuron system, has been proposed to contribute to the social deficits observed in Autism Spectrum Disorder (ASD). Atypical activity in this system, as reflected in attenuation of the EEG mu rhythm, has been demonstrated in several studies; however, normative patterns of activity have been evident in other ASD samples. The current study sought to investigate this poorly understood heterogeneity in social perceptual brain function in ASD. EEG mu rhythm was recorded in a well-characterized sample of 19 children with ASD (mean age=6.4; 1 female) and 19 age-matched typically developing peers (mean age=6.9; 2 females) during execution and observation of goal-directed hand actions. Children were assessed on variables theoretically related to mirror neuron system function (MNS), such as ASD symptoms and imitation ability. Results indicated that MNS activity was associated with facial imitation ability, but not hand imitation ability, in children with ASD and typically developing individuals. Groups were comparable in terms of average MNS activity during both action observation and execution, but, in both groups, a subset of children showed absent or significantly reduced MNS activity during observation of action in conjunction with greater difficulty in imitation. These results emphasize the relationship between EEG indices of MNS function and imitative skill and suggest that dysfunction of the MNS is related to imitation ability in both clinical and typical populations, rather than representing a core deficit or universal impairment in ASD. ?? 2013 Elsevier Inc.", "author" : [ { "dropping-particle" : "", "family" : "Bernier", "given" : "Raphael", "non-dropping-particle" : "", "parse-names" : false, "suffix" : "" }, { "dropping-particle" : "", "family" : "Aaronson", "given" : "Benjamin", "non-dropping-particle" : "", "parse-names" : false, "suffix" : "" }, { "dropping-particle" : "", "family" : "McPartland", "given" : "James", "non-dropping-particle" : "", "parse-names" : false, "suffix" : "" } ], "container-title" : "Brain and Cognition", "id" : "ITEM-2", "issue" : "1", "issued" : { "date-parts" : [ [ "2013" ] ] }, "page" : "69-75", "publisher" : "Elsevier Inc.", "title" : "The role of imitation in the observed heterogeneity in EEG mu rhythm in autism and typical development", "type" : "article-journal", "volume" : "82" }, "uris" : [ "http://www.mendeley.com/documents/?uuid=5e7d3afc-0b70-4616-94b6-83fbae8f882c" ] }, { "id" : "ITEM-3", "itemData" : { "DOI" : "10.1016/j.cogbrainres.2005.01.014", "ISBN" : "0926-6410 (Print)", "ISSN" : "09266410", "PMID" : "15993757", "abstract" : "Autism spectrum disorders (ASD) are largely characterized by deficits in imitation, pragmatic language, theory of mind, and empathy. Previous research has suggested that a dysfunctional mirror neuron system may explain the pathology observed in ASD. Because EEG oscillations in the mu frequency (8-13 Hz) over sensorimotor cortex are thought to reflect mirror neuron activity, one method for testing the integrity of this system is to measure mu responsiveness to actual and observed movement. It has been established that mu power is reduced (mu suppression) in typically developing individuals both when they perform actions and when they observe others performing actions, reflecting an observation/execution system which may play a critical role in the ability to understand and imitate others' behaviors. This study investigated whether individuals with ASD show a dysfunction in this system, given their behavioral impairments in understanding and responding appropriately to others' behaviors. Mu wave suppression was measured in ten high-functioning individuals with ASD and ten age- and gender-matched control subjects while watching videos of (1) a moving hand, (2) a bouncing ball, and (3) visual noise, or (4) moving their own hand. Control subjects showed significant mu suppression to both self and observed hand movement. The ASD group showed significant mu suppression to self-performed hand movements but not to observed hand movements. These results support the hypothesis of a dysfunctional mirror neuron system in high-functioning individuals with ASD. ?? 2005 Elsevier B.V. All rights reserved.", "author" : [ { "dropping-particle" : "", "family" : "Oberman", "given" : "Lindsay M.", "non-dropping-particle" : "", "parse-names" : false, "suffix" : "" }, { "dropping-particle" : "", "family" : "Hubbard", "given" : "Edward M.", "non-dropping-particle" : "", "parse-names" : false, "suffix" : "" }, { "dropping-particle" : "", "family" : "McCleery", "given" : "Joseph P.", "non-dropping-particle" : "", "parse-names" : false, "suffix" : "" }, { "dropping-particle" : "", "family" : "Altschuler", "given" : "Eric L.", "non-dropping-particle" : "", "parse-names" : false, "suffix" : "" }, { "dropping-particle" : "", "family" : "Ramachandran", "given" : "Vilayanur S.", "non-dropping-particle" : "", "parse-names" : false, "suffix" : "" }, { "dropping-particle" : "", "family" : "Pineda", "given" : "Jaime A.", "non-dropping-particle" : "", "parse-names" : false, "suffix" : "" } ], "container-title" : "Cognitive Brain Research", "id" : "ITEM-3", "issue" : "2", "issued" : { "date-parts" : [ [ "2005" ] ] }, "page" : "190-198", "title" : "EEG evidence for mirror neuron dysfunction in autism spectrum disorders", "type" : "article-journal", "volume" : "24" }, "uris" : [ "http://www.mendeley.com/documents/?uuid=610db0ac-d1ab-49b8-9be7-eec116bf2774" ] }, { "id" : "ITEM-4", "itemData" : { "DOI" : "10.1016/j.neuropsychologia.2008.01.010", "ISBN" : "0028-3932", "ISSN" : "00283932", "PMID" : "18304590", "abstract" : "In an early description of the mu rhythm, Gastaut and Bert [Gastaut, H. J., &amp; Bert, J. (1954). EEG changes during cinematographic presentation. Clinical Neurophysiology, 6, 433-444] noted that it was blocked when an individual identified himself with an active person on the screen, suggesting that it may be modulated by the degree to which the individual can relate to the observed action. Additionally, multiple recent studies suggest that the mirror neurons system (MNS) is impaired in individuals with autism spectrum disorders (ASD), which may affect their ability to relate to others. The current study aimed to investigate MNS sensitivity by examining mu suppression to familiarity, i.e., the degree to which the observer is able to identify with the actor on the screen by using familiar versus unfamiliar actors. The participants viewed four 80 s videos that included: (1) stranger: an unfamiliar hand performing a grasping action; (2) familiar: the child's guardian or sibling's hand performing the same action; (3) own: the participant's own hand performing the same action; (4) bouncing balls: two balls moving vertically toward and away from each other. The study revealed that mu suppression was sensitive to degree of familiarity. Both typically developing participants and those with ASD showed greater suppression to familiar hands compared to those of strangers. These findings suggest that the MNS responds to observed actions in individuals with ASD, but only when individuals can identify in some personal way with the stimuli. \u00a9 2008 Elsevier Ltd. All rights reserved.", "author" : [ { "dropping-particle" : "", "family" : "Oberman", "given" : "Lindsay M.", "non-dropping-particle" : "", "parse-names" : false, "suffix" : "" }, { "dropping-particle" : "", "family" : "Ramachandran", "given" : "Vilayanur S.", "non-dropping-particle" : "", "parse-names" : false, "suffix" : "" }, { "dropping-particle" : "", "family" : "Pineda", "given" : "Jaime A.", "non-dropping-particle" : "", "parse-names" : false, "suffix" : "" } ], "container-title" : "Neuropsychologia", "id" : "ITEM-4", "issue" : "5", "issued" : { "date-parts" : [ [ "2008" ] ] }, "page" : "1558-1565", "title" : "Modulation of mu suppression in children with autism spectrum disorders in response to familiar or unfamiliar stimuli: The mirror neuron hypothesis", "type" : "article-journal", "volume" : "46" }, "uris" : [ "http://www.mendeley.com/documents/?uuid=1db7bd98-3f72-4ee6-86ef-6adf0449462c" ] } ], "mendeley" : { "formattedCitation" : "(Bernier, Aaronson, &amp; McPartland, 2013; Bernier, Dawson, Webb, &amp; Murias, 2007; Oberman et al., 2005, 2008)", "plainTextFormattedCitation" : "(Bernier, Aaronson, &amp; McPartland, 2013; Bernier, Dawson, Webb, &amp; Murias, 2007; Oberman et al., 2005, 2008)", "previouslyFormattedCitation" : "(Bernier, Aaronson, &amp; McPartland, 2013; Bernier, Dawson, Webb, &amp; Murias, 2007; Oberman et al., 2005, 2008)" }, "properties" : { "noteIndex" : 0 }, "schema" : "https://github.com/citation-style-language/schema/raw/master/csl-citation.json" }</w:instrText>
      </w:r>
      <w:r w:rsidRPr="00341B41">
        <w:rPr>
          <w:rFonts w:cs="Times New Roman"/>
        </w:rPr>
        <w:fldChar w:fldCharType="separate"/>
      </w:r>
      <w:r w:rsidRPr="00341B41">
        <w:rPr>
          <w:rFonts w:cs="Times New Roman"/>
          <w:noProof/>
        </w:rPr>
        <w:t>(Bernier, Aaronson, &amp; McPartland, 2013; Bernier, Dawson, Webb, &amp; Murias, 2007; Oberman et al., 2005, 2008)</w:t>
      </w:r>
      <w:r w:rsidRPr="00341B41">
        <w:rPr>
          <w:rFonts w:cs="Times New Roman"/>
        </w:rPr>
        <w:fldChar w:fldCharType="end"/>
      </w:r>
      <w:r w:rsidRPr="00341B41">
        <w:rPr>
          <w:rFonts w:cs="Times New Roman"/>
        </w:rPr>
        <w:t xml:space="preserve">, a finding replicated in the current study. However even if differences are observed only at central sites, it is possible that attention modulated posterior alpha activity is being recorded at the central electrode sites. The implication of this for the findings of this study is that the group differences occurring during action observation may not be </w:t>
      </w:r>
      <w:r w:rsidR="00605E25" w:rsidRPr="00341B41">
        <w:rPr>
          <w:rFonts w:cs="Times New Roman"/>
        </w:rPr>
        <w:t>due solely to differences in sensorimotor activity</w:t>
      </w:r>
      <w:r w:rsidRPr="00341B41">
        <w:rPr>
          <w:rFonts w:cs="Times New Roman"/>
        </w:rPr>
        <w:t xml:space="preserve">, but instead could be explained in terms of the </w:t>
      </w:r>
      <w:r w:rsidR="00605E25" w:rsidRPr="00341B41">
        <w:rPr>
          <w:rFonts w:cs="Times New Roman"/>
        </w:rPr>
        <w:t>experienced</w:t>
      </w:r>
      <w:r w:rsidRPr="00341B41">
        <w:rPr>
          <w:rFonts w:cs="Times New Roman"/>
        </w:rPr>
        <w:t xml:space="preserve"> players simply paying more attention to the stimuli than the </w:t>
      </w:r>
      <w:r w:rsidR="004545E6" w:rsidRPr="00341B41">
        <w:rPr>
          <w:rFonts w:cs="Times New Roman"/>
        </w:rPr>
        <w:t>less experienced</w:t>
      </w:r>
      <w:r w:rsidRPr="00341B41">
        <w:rPr>
          <w:rFonts w:cs="Times New Roman"/>
        </w:rPr>
        <w:t xml:space="preserve"> participants. </w:t>
      </w:r>
      <w:r w:rsidR="00605E25" w:rsidRPr="00341B41">
        <w:rPr>
          <w:rFonts w:cs="Times New Roman"/>
        </w:rPr>
        <w:t xml:space="preserve"> </w:t>
      </w:r>
    </w:p>
    <w:p w14:paraId="30B5D282" w14:textId="3ACE5E90" w:rsidR="00047076" w:rsidRPr="00341B41" w:rsidRDefault="00047076" w:rsidP="00605E25">
      <w:pPr>
        <w:ind w:firstLine="720"/>
      </w:pPr>
      <w:r w:rsidRPr="00341B41">
        <w:rPr>
          <w:rFonts w:cs="Times New Roman"/>
        </w:rPr>
        <w:t xml:space="preserve">Because the EEG channel data is potential mix of many different sources, it makes </w:t>
      </w:r>
      <w:r w:rsidR="008E4B4A" w:rsidRPr="00341B41">
        <w:rPr>
          <w:rFonts w:cs="Times New Roman"/>
        </w:rPr>
        <w:t xml:space="preserve">it difficult to assert that the sensorimotor system </w:t>
      </w:r>
      <w:r w:rsidRPr="00341B41">
        <w:rPr>
          <w:rFonts w:cs="Times New Roman"/>
        </w:rPr>
        <w:t>was the system that was modulated by expertise during action observation. A potential solution to this issue is to use indepe</w:t>
      </w:r>
      <w:r w:rsidR="002504A5" w:rsidRPr="00341B41">
        <w:rPr>
          <w:rFonts w:cs="Times New Roman"/>
        </w:rPr>
        <w:t xml:space="preserve">ndent component analysis (ICA) </w:t>
      </w:r>
      <w:r w:rsidRPr="00341B41">
        <w:rPr>
          <w:rFonts w:cs="Times New Roman"/>
        </w:rPr>
        <w:t xml:space="preserve">to </w:t>
      </w:r>
      <w:proofErr w:type="spellStart"/>
      <w:r w:rsidRPr="00341B41">
        <w:rPr>
          <w:rFonts w:cs="Times New Roman"/>
        </w:rPr>
        <w:t>unmix</w:t>
      </w:r>
      <w:proofErr w:type="spellEnd"/>
      <w:r w:rsidRPr="00341B41">
        <w:rPr>
          <w:rFonts w:cs="Times New Roman"/>
        </w:rPr>
        <w:t xml:space="preserve"> the signal in the EEG channel data and decompose it into distinct independent components (IC) </w:t>
      </w:r>
      <w:r w:rsidRPr="00341B41">
        <w:rPr>
          <w:rFonts w:cs="Times New Roman"/>
        </w:rPr>
        <w:fldChar w:fldCharType="begin" w:fldLock="1"/>
      </w:r>
      <w:r w:rsidR="00384056" w:rsidRPr="00341B41">
        <w:rPr>
          <w:rFonts w:cs="Times New Roman"/>
        </w:rPr>
        <w:instrText>ADDIN CSL_CITATION { "citationItems" : [ { "id" : "ITEM-1",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"ITEM-1", "issue" : "6", "issued" : { "date-parts" : [ [ "2006" ] ] }, "page" : "808-822", "title" : "Imaging human EEG dynamics using independent component analysis", "type" : "article-journal", "volume" : "30" }, "uris" : [ "http://www.mendeley.com/documents/?uuid=24d35955-aa6e-4a33-bd9c-4893800a8c59" ] }, { "id" : "ITEM-2", "itemData" : { "DOI" : "10.1016/j.tics.2004.03.008", "ISBN" : "1364-6613 (Print)\\r1364-6613 (Linking)", "ISSN" : "13646613", "PMID" : "15120678", "abstract" : "This article provides a new, more comprehensive view of event-related brain dynamics founded on an information-based approach to modeling electroencephalographic (EEG) dynamics. Most EEG research focuses either on peaks 'evoked' in average event-related potentials (ERPs) or on changes 'induced' in the EEG power spectrum by experimental events. Although these measures are nearly complementary, they do not fully model the event-related dynamics in the data, and cannot isolate the signals of the contributing cortical areas. We propose that many ERPs and other EEG features are better viewed as time/frequency perturbations of underlying field potential processes. The new approach combines independent component analysis (ICA), time/frequency analysis, and trial-by-trial visualization that measures EEG source dynamics without requiring an explicit head model.", "author" : [ { "dropping-particle" : "", "family" : "Makeig", "given" : "Scott", "non-dropping-particle" : "", "parse-names" : false, "suffix" : "" }, { "dropping-particle" : "", "family" : "Debener", "given" : "Stefan", "non-dropping-particle" : "", "parse-names" : false, "suffix" : "" }, { "dropping-particle" : "", "family" : "Onton", "given" : "Julie", "non-dropping-particle" : "", "parse-names" : false, "suffix" : "" }, { "dropping-particle" : "", "family" : "Delorme", "given" : "Arnaud", "non-dropping-particle" : "", "parse-names" : false, "suffix" : "" } ], "container-title" : "Trends in Cognitive Sciences", "id" : "ITEM-2", "issue" : "5", "issued" : { "date-parts" : [ [ "2004" ] ] }, "page" : "204-210", "title" : "Mining event-related brain dynamics", "type" : "article-journal", "volume" : "8" }, "uris" : [ "http://www.mendeley.com/documents/?uuid=9607b3d1-812a-4575-87fd-526cc7b9ee0c" ] }, { "id" : "ITEM-3", "itemData" : { "author" : [ { "dropping-particle" : "", "family" : "Makeig", "given" : "Scott", "non-dropping-particle" : "", "parse-names" : false, "suffix" : "" }, { "dropping-particle" : "", "family" : "Bell", "given" : "Anthony J", "non-dropping-particle" : "", "parse-names" : false, "suffix" : "" }, { "dropping-particle" : "", "family" : "Jung", "given" : "Tzyy-Ping", "non-dropping-particle" : "", "parse-names" : false, "suffix" : "" }, { "dropping-particle" : "", "family" : "Sejnowski", "given" : "Terrence J", "non-dropping-particle" : "", "parse-names" : false, "suffix" : "" } ], "container-title" : "Advances in Neural Information Processing Systems", "id" : "ITEM-3", "issued" : { "date-parts" : [ [ "1996" ] ] }, "page" : "145-151", "title" : "Independent component analysis of electroencephalographic data", "type" : "article-journal" }, "uris" : [ "http://www.mendeley.com/documents/?uuid=6c3f825c-ac60-4a21-aeb3-8a4a5d7141d1" ] } ], "mendeley" : { "formattedCitation" : "(Makeig, Bell, Jung, &amp; Sejnowski, 1996; Makeig, Debener, Onton, &amp; Delorme, 2004; Onton, Westerfield, Townsend, &amp; Makeig, 2006)", "plainTextFormattedCitation" : "(Makeig, Bell, Jung, &amp; Sejnowski, 1996; Makeig, Debener, Onton, &amp; Delorme, 2004; Onton, Westerfield, Townsend, &amp; Makeig, 2006)", "previouslyFormattedCitation" : "(Makeig, Bell, Jung, &amp; Sejnowski, 1996; Makeig, Debener, Onton, &amp; Delorme, 2004; Onton, Westerfield, Townsend, &amp; Makeig,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(Makeig, Bell, Jung, &amp; Sejnowski, 1996; Makeig, Debener, Onton, &amp; Delorme, 2004; Onton, Westerfield, Townsend, &amp; Makeig, 2006)</w:t>
      </w:r>
      <w:r w:rsidRPr="00341B41">
        <w:rPr>
          <w:rFonts w:cs="Times New Roman"/>
        </w:rPr>
        <w:fldChar w:fldCharType="end"/>
      </w:r>
      <w:r w:rsidRPr="00341B41">
        <w:rPr>
          <w:rFonts w:cs="Times New Roman"/>
        </w:rPr>
        <w:t>. These ICs can then be localised to better determine the generator source of the activity. Therefore, ICA holds the potential to separate sensorimotor mu activity, occurring in a sensorimotor source, from posterior alpha activity, occurring in parietal/occipital sources. Chapter</w:t>
      </w:r>
      <w:r w:rsidRPr="00341B41">
        <w:t xml:space="preserve"> 4 applies ICA to the data in order to gain a clearer picture of the independent brain processes that are ongoing during action observation and anticipation.</w:t>
      </w:r>
    </w:p>
    <w:p w14:paraId="7F765C20" w14:textId="77777777" w:rsidR="008E4B4A" w:rsidRPr="00341B41" w:rsidRDefault="008E4B4A" w:rsidP="008E4B4A">
      <w:pPr>
        <w:rPr>
          <w:rFonts w:cs="Times New Roman"/>
        </w:rPr>
        <w:sectPr w:rsidR="008E4B4A" w:rsidRPr="00341B41" w:rsidSect="00805FAB">
          <w:pgSz w:w="12240" w:h="15840"/>
          <w:pgMar w:top="1440" w:right="1138" w:bottom="1440" w:left="2275" w:header="720" w:footer="720" w:gutter="0"/>
          <w:cols w:space="720"/>
          <w:titlePg/>
          <w:docGrid w:linePitch="360"/>
        </w:sectPr>
      </w:pPr>
    </w:p>
    <w:p w14:paraId="7DEC6781" w14:textId="5E7E3772" w:rsidR="008E4B4A" w:rsidRPr="00341B41" w:rsidRDefault="008E4B4A" w:rsidP="00B15647">
      <w:pPr>
        <w:pStyle w:val="Heading1"/>
      </w:pPr>
      <w:bookmarkStart w:id="80" w:name="_Toc486260878"/>
      <w:r w:rsidRPr="00341B41">
        <w:lastRenderedPageBreak/>
        <w:t xml:space="preserve">Chapter 4 – </w:t>
      </w:r>
      <w:r w:rsidR="00611DA9" w:rsidRPr="00341B41">
        <w:t>Using</w:t>
      </w:r>
      <w:r w:rsidRPr="00341B41">
        <w:t xml:space="preserve"> independent component analysis to assess the ongoing brain dynamics during action observation and anticipation</w:t>
      </w:r>
      <w:bookmarkEnd w:id="80"/>
    </w:p>
    <w:p w14:paraId="57DBA43E" w14:textId="2153F480" w:rsidR="008E4B4A" w:rsidRPr="00341B41" w:rsidRDefault="008E4B4A" w:rsidP="00B15647">
      <w:pPr>
        <w:pStyle w:val="Heading2"/>
      </w:pPr>
      <w:bookmarkStart w:id="81" w:name="_Toc486260879"/>
      <w:r w:rsidRPr="00341B41">
        <w:t>4.1.</w:t>
      </w:r>
      <w:r w:rsidRPr="00341B41">
        <w:tab/>
        <w:t>Introduction</w:t>
      </w:r>
      <w:bookmarkEnd w:id="81"/>
    </w:p>
    <w:p w14:paraId="75F4F550" w14:textId="03AB1056" w:rsidR="008E4B4A" w:rsidRPr="00341B41" w:rsidRDefault="008E4B4A" w:rsidP="008E4B4A">
      <w:r w:rsidRPr="00341B41">
        <w:t xml:space="preserve">EEG data analysis methods typically focus on analysing recordings directly from the EEG channels, by assessing potential differences between an electrode on the scalp and a reference. The problem with this approach is that EEG channel electrodes are positioned relatively far from the brain itself, and so also the cortical generators of the EEG activity. Due to the effects of volume conduction, any EEG source activity generated in the brain that creates far-field potentials that can be measured at the scalp, these potentials will be distributed widely across the whole scalp surface </w:t>
      </w:r>
      <w:r w:rsidRPr="00341B41">
        <w:fldChar w:fldCharType="begin" w:fldLock="1"/>
      </w:r>
      <w:r w:rsidRPr="00341B41">
        <w:instrText>ADDIN CSL_CITATION { "citationItems" : [ { "id" : "ITEM-1", "itemData" : { "author" : [ { "dropping-particle" : "", "family" : "Luck", "given" : "Steven", "non-dropping-particle" : "", "parse-names" : false, "suffix" : "" } ], "edition" : "1st", "id" : "ITEM-1", "issued" : { "date-parts" : [ [ "2005" ] ] }, "publisher" : "MIT Press", "publisher-place" : "Cambridge, MA", "title" : "An intoduction to the event-related potential technique", "type" : "book" }, "uris" : [ "http://www.mendeley.com/documents/?uuid=8041ac40-8fbd-40e7-a8d6-20b8ca2eef1c" ] }, { "id" : "ITEM-2",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"ITEM-2", "issued" : { "date-parts" : [ [ "2006", "1" ] ] }, "page" : "99-120", "title" : "Information-based modeling of event-related brain dynamics.", "type" : "article-journal", "volume" : "159" }, "uris" : [ "http://www.mendeley.com/documents/?uuid=a5ff3541-fcfc-4533-bf43-44ca29611c47" ] } ], "mendeley" : { "formattedCitation" : "(Luck, 2005; Onton &amp; Makeig, 2006)", "plainTextFormattedCitation" : "(Luck, 2005; Onton &amp; Makeig, 2006)", "previouslyFormattedCitation" : "(Luck, 2005; Onton &amp; Makeig, 2006)" }, "properties" : { "noteIndex" : 0 }, "schema" : "https://github.com/citation-style-language/schema/raw/master/csl-citation.json" }</w:instrText>
      </w:r>
      <w:r w:rsidRPr="00341B41">
        <w:fldChar w:fldCharType="separate"/>
      </w:r>
      <w:r w:rsidRPr="00341B41">
        <w:rPr>
          <w:noProof/>
        </w:rPr>
        <w:t>(Luck, 2005; Onton &amp; Makeig, 2006)</w:t>
      </w:r>
      <w:r w:rsidRPr="00341B41">
        <w:fldChar w:fldCharType="end"/>
      </w:r>
      <w:r w:rsidRPr="00341B41">
        <w:t>. As such, recorded EEG data is the sum of activities from all EEG source locations, along with artefacts produced by muscles, eyes, electrodes, and the external environment (e.g. line noise). A further issue lies in the fact that inter-individual differences in the number and configuration of cortical sulci may lead to large differences in the orientations of spatially equivalent source ac</w:t>
      </w:r>
      <w:r w:rsidR="00502D58" w:rsidRPr="00341B41">
        <w:t>tivity in different individual</w:t>
      </w:r>
      <w:r w:rsidRPr="00341B41">
        <w:t xml:space="preserve"> brains </w:t>
      </w:r>
      <w:r w:rsidRPr="00341B41">
        <w:fldChar w:fldCharType="begin" w:fldLock="1"/>
      </w:r>
      <w:r w:rsidRPr="00341B41">
        <w:instrText>ADDIN CSL_CITATION { "citationItems" : [ { "id" : "ITEM-1",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"ITEM-1", "issued" : { "date-parts" : [ [ "2006", "1" ] ] }, "page" : "99-120", "title" : "Information-based modeling of event-related brain dynamics.", "type" : "article-journal", "volume" : "159" }, "uris" : [ "http://www.mendeley.com/documents/?uuid=a5ff3541-fcfc-4533-bf43-44ca29611c47" ] } ], "mendeley" : { "formattedCitation" : "(Onton &amp; Makeig, 2006)", "plainTextFormattedCitation" : "(Onton &amp; Makeig, 2006)", "previouslyFormattedCitation" : "(Onton &amp; Makeig, 2006)" }, "properties" : { "noteIndex" : 0 }, "schema" : "https://github.com/citation-style-language/schema/raw/master/csl-citation.json" }</w:instrText>
      </w:r>
      <w:r w:rsidRPr="00341B41">
        <w:fldChar w:fldCharType="separate"/>
      </w:r>
      <w:r w:rsidRPr="00341B41">
        <w:rPr>
          <w:noProof/>
        </w:rPr>
        <w:t>(Onton &amp; Makeig, 2006)</w:t>
      </w:r>
      <w:r w:rsidRPr="00341B41">
        <w:fldChar w:fldCharType="end"/>
      </w:r>
      <w:r w:rsidRPr="00341B41">
        <w:t xml:space="preserve">. This may then in turn result in differences in scalp potential distribution produced by functionally equivalent brain sources. </w:t>
      </w:r>
    </w:p>
    <w:p w14:paraId="436BB47F" w14:textId="56326FFD" w:rsidR="00C4356C" w:rsidRPr="00341B41" w:rsidRDefault="008E4B4A" w:rsidP="00C4356C">
      <w:pPr>
        <w:ind w:firstLine="720"/>
      </w:pPr>
      <w:r w:rsidRPr="00341B41">
        <w:t xml:space="preserve">The wide-spread projection of source activations across the whole surface of the scalp means that the EEG inverse problem of locating brain sources from the recorded data is mathematically ill-posed, and is unsolvable without additional assumptions. As the </w:t>
      </w:r>
      <w:r w:rsidRPr="00341B41">
        <w:lastRenderedPageBreak/>
        <w:t xml:space="preserve">position of the EEG electrodes on the scalp cannot be assumed to reflect the area of cortical activity bring recorded, EEG is generally considered to have low spatial resolution. These additional assumptions inherently limit many traditional source localisation approaches to EEG data </w:t>
      </w:r>
      <w:r w:rsidRPr="00341B41">
        <w:fldChar w:fldCharType="begin" w:fldLock="1"/>
      </w:r>
      <w:r w:rsidR="00876673" w:rsidRPr="00341B41">
        <w:instrText>ADDIN CSL_CITATION { "citationItems" : [ { "id" : "ITEM-1", "itemData" : { "author" : [ { "dropping-particle" : "", "family" : "Luck", "given" : "Steven", "non-dropping-particle" : "", "parse-names" : false, "suffix" : "" } ], "edition" : "1st", "id" : "ITEM-1", "issued" : { "date-parts" : [ [ "2005" ] ] }, "publisher" : "MIT Press", "publisher-place" : "Cambridge, MA", "title" : "An intoduction to the event-related potential technique", "type" : "book" }, "uris" : [ "http://www.mendeley.com/documents/?uuid=8041ac40-8fbd-40e7-a8d6-20b8ca2eef1c" ] }, { "id" : "ITEM-2", "itemData" : { "DOI" : "10.1101/071597", "ISSN" : "10538119", "abstract" : "As the EEG inverse problem does not have a unique solution, the sources reconstructed from EEG and their connectivity properties depend on forward and inverse modeling parameters such as the choice of an anatomical template and electrical model, prior assumptions on the sources, and further implementational details. In order to use source connectivity analysis as a reliable research tool, there is a need for stability across a wider range of standard estimation routines. Using resting state EEG recordings of N=65 participants acquired within two studies, we present the first comprehensive assessment of the consistency of EEG source localization and functional/effective connectivity metrics across two anatomical templates (ICBM152 and Colin27), three electrical models (BEM, FEM and spherical harmonics expansions), three inverse methods (WMNE, eLORETA and LCMV), and three software implementations (Brainstorm, Fieldtrip and our own toolbox). While localizations were found to be relatively stable, considerable variability of connectivity metrics was observed between LCMV beamformer solutions on one hand and eLORETA/WMNE distributed inverse solutions on the other hand, but also across implementations of the same source reconstruction procedure in different packages. To provide reliable findings in the face of the observed variability, we encourage verification of the obtained results using more than one source imaging procedure in future studies. Our results also show that while effective and functional connectivity are similarly consistent across different source reconstructions, effective connectivity is less reproducible than functional connectivity across participants. This finding may indicate that there are different phenotypes of directed brain communication patterns within resting state networks.", "author" : [ { "dropping-particle" : "", "family" : "Mahjoory", "given" : "Keyvan", "non-dropping-particle" : "", "parse-names" : false, "suffix" : "" }, { "dropping-particle" : "V", "family" : "Nikulin", "given" : "Vadim", "non-dropping-particle" : "", "parse-names" : false, "suffix" : "" }, { "dropping-particle" : "", "family" : "Botrel", "given" : "Loic", "non-dropping-particle" : "", "parse-names" : false, "suffix" : "" }, { "dropping-particle" : "", "family" : "Linkenkaer-Hansen", "given" : "Klaus", "non-dropping-particle" : "", "parse-names" : false, "suffix" : "" }, { "dropping-particle" : "", "family" : "Fato", "given" : "Marco M", "non-dropping-particle" : "", "parse-names" : false, "suffix" : "" }, { "dropping-particle" : "", "family" : "Haufe", "given" : "Stefan", "non-dropping-particle" : "", "parse-names" : false, "suffix" : "" } ], "container-title" : "NeuroImage", "id" : "ITEM-2", "issued" : { "date-parts" : [ [ "2017" ] ] }, "page" : "590-601", "publisher" : "Elsevier", "title" : "Consistency of EEG source localization and connectivity estimates", "type" : "article-journal", "volume" : "152" }, "uris" : [ "http://www.mendeley.com/documents/?uuid=ffb901e2-d959-476b-9107-1f441390abc7" ] } ], "mendeley" : { "formattedCitation" : "(Luck, 2005; Mahjoory et al., 2017)", "plainTextFormattedCitation" : "(Luck, 2005; Mahjoory et al., 2017)", "previouslyFormattedCitation" : "(Luck, 2005; Mahjoory et al., 2017)" }, "properties" : { "noteIndex" : 0 }, "schema" : "https://github.com/citation-style-language/schema/raw/master/csl-citation.json" }</w:instrText>
      </w:r>
      <w:r w:rsidRPr="00341B41">
        <w:fldChar w:fldCharType="separate"/>
      </w:r>
      <w:r w:rsidRPr="00341B41">
        <w:rPr>
          <w:noProof/>
        </w:rPr>
        <w:t>(Luck, 2005; Mahjoory et al., 2017)</w:t>
      </w:r>
      <w:r w:rsidRPr="00341B41">
        <w:fldChar w:fldCharType="end"/>
      </w:r>
      <w:r w:rsidRPr="00341B41">
        <w:t>. Recent developments in blind source separatio</w:t>
      </w:r>
      <w:r w:rsidR="00C4356C" w:rsidRPr="00341B41">
        <w:t xml:space="preserve">n techniques however provide an interesting alternative to </w:t>
      </w:r>
      <w:proofErr w:type="spellStart"/>
      <w:r w:rsidR="00C4356C" w:rsidRPr="00341B41">
        <w:t>unmixing</w:t>
      </w:r>
      <w:proofErr w:type="spellEnd"/>
      <w:r w:rsidR="00C4356C" w:rsidRPr="00341B41">
        <w:t xml:space="preserve"> the sources of EEG activity. </w:t>
      </w:r>
    </w:p>
    <w:p w14:paraId="216C16CD" w14:textId="77777777" w:rsidR="00713B03" w:rsidRPr="00341B41" w:rsidRDefault="008E4B4A" w:rsidP="00713B03">
      <w:pPr>
        <w:ind w:firstLine="720"/>
      </w:pPr>
      <w:r w:rsidRPr="00341B41">
        <w:t xml:space="preserve">Independent component analysis (ICA) has emerged as a promising alternative approach to modelling and analysing the underlying cortical sources of activity that are mixed in the EEG channel data. The concept of ICA was originally proposed as a mathematical technique to solve the problem of blind source separation </w:t>
      </w:r>
      <w:r w:rsidRPr="00341B41">
        <w:fldChar w:fldCharType="begin" w:fldLock="1"/>
      </w:r>
      <w:r w:rsidRPr="00341B41">
        <w:instrText>ADDIN CSL_CITATION { "citationItems" : [ { "id" : "ITEM-1", "itemData" : { "DOI" : "10.1016/0165-1684(94)90029-9", "ISBN" : "0165-1684", "ISSN" : "01651684", "PMID" : "19419239", "abstract" : "The independent component analysis (ICA) of a random vector consists of searching for a linear transformation that minimizes the statistical dependence between its components. In order to define suitable search criteria, the expansion of mutual information is utilized as a function of cumulants of increasing orders. An efficient algorithm is proposed, which allows the computation of the ICA of a data matrix within a polynomial time. The concept of ICA may actually be seen as an extension of the principal component analysis (PCA), which can only impose independence up to the second order and, consequently, defines directions that are orthogonal. Potential applications of ICA include data analysis and compression, Bayesian detection, localization of sources, and blind identification and deconvolution. \u00a9 1994.", "author" : [ { "dropping-particle" : "", "family" : "Comon", "given" : "Pierre", "non-dropping-particle" : "", "parse-names" : false, "suffix" : "" } ], "container-title" : "Signal Processing", "id" : "ITEM-1", "issue" : "3", "issued" : { "date-parts" : [ [ "1994" ] ] }, "page" : "287-314", "title" : "Independent component analysis, A new concept?", "type" : "article-journal", "volume" : "36" }, "uris" : [ "http://www.mendeley.com/documents/?uuid=f97229d8-1546-49d3-90e3-6f299d1974fb" ] } ], "mendeley" : { "formattedCitation" : "(Comon, 1994)", "plainTextFormattedCitation" : "(Comon, 1994)", "previouslyFormattedCitation" : "(Comon, 1994)" }, "properties" : { "noteIndex" : 0 }, "schema" : "https://github.com/citation-style-language/schema/raw/master/csl-citation.json" }</w:instrText>
      </w:r>
      <w:r w:rsidRPr="00341B41">
        <w:fldChar w:fldCharType="separate"/>
      </w:r>
      <w:r w:rsidRPr="00341B41">
        <w:rPr>
          <w:noProof/>
        </w:rPr>
        <w:t>(Comon, 1994)</w:t>
      </w:r>
      <w:r w:rsidRPr="00341B41">
        <w:fldChar w:fldCharType="end"/>
      </w:r>
      <w:r w:rsidRPr="00341B41">
        <w:t xml:space="preserve"> with the aim being to separate individual source signals from the multi-dimensional data in which they are mixed. Applied to EEG data, ICA is able to decompose EEG signals into maximally independent activity patterns that are compatible with activity in a single active cortical area </w:t>
      </w:r>
      <w:r w:rsidRPr="00341B41">
        <w:fldChar w:fldCharType="begin" w:fldLock="1"/>
      </w:r>
      <w:r w:rsidRPr="00341B41">
        <w:instrText>ADDIN CSL_CITATION { "citationItems" : [ { "id" : "ITEM-1", "itemData" : { "DOI" : "10.1371/journal.pone.0030135", "ISSN" : "1932-6203", "PMID" : "22355308", "abstract" : "Independent component analysis (ICA) and blind source separation (BSS) methods are increasingly used to separate individual brain and non-brain source signals mixed by volume conduction in electroencephalographic (EEG) and other electrophysiological recordings. We compared results of decomposing thirteen 71-channel human scalp EEG datasets by 22 ICA and BSS algorithms, assessing the pairwise mutual information (PMI) in scalp channel pairs, the remaining PMI in component pairs, the overall mutual information reduction (MIR) effected by each decomposition, and decomposition 'dipolarity' defined as the number of component scalp maps matching the projection of a single equivalent dipole with less than a given residual variance. The least well-performing algorithm was principal component analysis (PCA); best performing were AMICA and other likelihood/mutual information based ICA methods. Though these and other commonly-used decomposition methods returned many similar components, across 18 ICA/BSS algorithms mean dipolarity varied linearly with both MIR and with PMI remaining between the resulting component time courses, a result compatible with an interpretation of many maximally independent EEG components as being volume-conducted projections of partially-synchronous local cortical field activity within single compact cortical domains. To encourage further method comparisons, the data and software used to prepare the results have been made available (http://sccn.ucsd.edu/wiki/BSSComparison).", "author" : [ { "dropping-particle" : "", "family" : "Delorme", "given" : "Arnaud", "non-dropping-particle" : "", "parse-names" : false, "suffix" : "" }, { "dropping-particle" : "", "family" : "Palmer", "given" : "Jason", "non-dropping-particle" : "", "parse-names" : false, "suffix" : "" }, { "dropping-particle" : "", "family" : "Onton", "given" : "Julie", "non-dropping-particle" : "", "parse-names" : false, "suffix" : "" }, { "dropping-particle" : "", "family" : "Oostenveld", "given" : "Robert", "non-dropping-particle" : "", "parse-names" : false, "suffix" : "" }, { "dropping-particle" : "", "family" : "Makeig", "given" : "Scott", "non-dropping-particle" : "", "parse-names" : false, "suffix" : "" } ], "container-title" : "PLoS ONE", "id" : "ITEM-1", "issue" : "2", "issued" : { "date-parts" : [ [ "2012", "1" ] ] }, "page" : "e30135", "title" : "Independent EEG sources are dipolar.", "type" : "article-journal", "volume" : "7" }, "uris" : [ "http://www.mendeley.com/documents/?uuid=aeda38e2-7170-40c0-baa3-c28eba765f9c" ] }, { "id" : "ITEM-2",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"ITEM-2", "issue" : "6", "issued" : { "date-parts" : [ [ "2006" ] ] }, "page" : "808-822", "title" : "Imaging human EEG dynamics using independent component analysis", "type" : "article-journal", "volume" : "30" }, "uris" : [ "http://www.mendeley.com/documents/?uuid=24d35955-aa6e-4a33-bd9c-4893800a8c59" ] }, { "id" : "ITEM-3",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"ITEM-3", "issued" : { "date-parts" : [ [ "2006", "1" ] ] }, "page" : "99-120", "title" : "Information-based modeling of event-related brain dynamics.", "type" : "article-journal", "volume" : "159" }, "uris" : [ "http://www.mendeley.com/documents/?uuid=a5ff3541-fcfc-4533-bf43-44ca29611c47" ] } ], "mendeley" : { "formattedCitation" : "(Delorme, Palmer, Onton, Oostenveld, &amp; Makeig, 2012; Onton &amp; Makeig, 2006; Onton et al., 2006)", "plainTextFormattedCitation" : "(Delorme, Palmer, Onton, Oostenveld, &amp; Makeig, 2012; Onton &amp; Makeig, 2006; Onton et al., 2006)", "previouslyFormattedCitation" : "(Delorme, Palmer, Onton, Oostenveld, &amp; Makeig, 2012; Onton &amp; Makeig, 2006; Onton et al., 2006)" }, "properties" : { "noteIndex" : 0 }, "schema" : "https://github.com/citation-style-language/schema/raw/master/csl-citation.json" }</w:instrText>
      </w:r>
      <w:r w:rsidRPr="00341B41">
        <w:fldChar w:fldCharType="separate"/>
      </w:r>
      <w:r w:rsidRPr="00341B41">
        <w:rPr>
          <w:noProof/>
        </w:rPr>
        <w:t>(Delorme, Palmer, Onton, Oostenveld, &amp; Makeig, 2012; Onton &amp; Makeig, 2006; Onton et al., 2006)</w:t>
      </w:r>
      <w:r w:rsidRPr="00341B41">
        <w:fldChar w:fldCharType="end"/>
      </w:r>
      <w:r w:rsidRPr="00341B41">
        <w:t xml:space="preserve">. A number of ICA algorithms have been proposed, with the </w:t>
      </w:r>
      <w:proofErr w:type="spellStart"/>
      <w:r w:rsidRPr="00341B41">
        <w:t>Infomax</w:t>
      </w:r>
      <w:proofErr w:type="spellEnd"/>
      <w:r w:rsidRPr="00341B41">
        <w:t xml:space="preserve"> algorithm </w:t>
      </w:r>
      <w:r w:rsidRPr="00341B41">
        <w:fldChar w:fldCharType="begin" w:fldLock="1"/>
      </w:r>
      <w:r w:rsidRPr="00341B41">
        <w:instrText>ADDIN CSL_CITATION { "citationItems" : [ { "id" : "ITEM-1", "itemData" : { "DOI" : "10.1162/089976699300016719", "ISBN" : "0899-7667 (Print)\\r0899-7667 (Linking)", "ISSN" : "0899-7667", "PMID" : "9950738", "abstract" : "An extension of the infomax algorithm of Bell and Sejnowski (1995) is presented that is able blindly to separate mixed signals with sub- and supergaussian source distributions. This was achieved by using a simple type of learning rule first derived by Girolami (1997) by choosing negentropy as a projection pursuit index. Parameterized probability distributions that have sub- and supergaussian regimes were used to derive a general learning rule that preserves the simple architecture proposed by Bell and Sejnowski (1995), is optimized using the natural gradient by Amari (1998), and uses the stability analysis of Cardoso and Laheld (1996) to switch between sub- and supergaussian regimes. We demonstrate that the extended infomax algorithm is able to separate 20 sources with a variety of source distributions easily. Applied to high-dimensional data from electroencephalographic recordings, it is effective at separating artifacts such as eye blinks and line noise from weaker electrical signals that arise from sources in the brain.", "author" : [ { "dropping-particle" : "", "family" : "Lee", "given" : "T W", "non-dropping-particle" : "", "parse-names" : false, "suffix" : "" }, { "dropping-particle" : "", "family" : "Girolami", "given" : "M", "non-dropping-particle" : "", "parse-names" : false, "suffix" : "" }, { "dropping-particle" : "", "family" : "Sejnowski", "given" : "T J", "non-dropping-particle" : "", "parse-names" : false, "suffix" : "" } ], "container-title" : "Neural Computation", "id" : "ITEM-1", "issued" : { "date-parts" : [ [ "1999" ] ] }, "page" : "417-441", "title" : "Independent component analysis using an extended infomax algorithm for mixed subgaussian and supergaussian sources.", "type" : "article-journal", "volume" : "11" }, "uris" : [ "http://www.mendeley.com/documents/?uuid=5a4de490-e5b5-4bc5-bbc1-220420f68756" ] }, { "id" : "ITEM-2", "itemData" : { "DOI" : "10.1162/neco.1995.7.6.1129", "ISBN" : "0899-7667 (Print) 0899-7667 (Linking)", "ISSN" : "0899-7667", "PMID" : "7584893", "abstract" : "We derive a new self-organizing learning algorithm that maximizes the information transferred in a network of nonlinear units. The algorithm does not assume any knowledge of the input distributions, and is defined here for the zero-noise limit. Under these conditions, information maximization has extra properties not found in the linear case (Linsker 1989). The nonlinearities in the transfer function are able to pick up higher-order moments of the input distributions and perform something akin to true redundancy reduction between units in the output representation. This enables the network to separate statistically independent components in the inputs: a higher-order generalization of principal components analysis. We apply the network to the source separation (or cocktail party) problem, successfully separating unknown mixtures of up to 10 speakers. We also show that a variant on the network architecture is able to perform blind deconvolution (cancellation of unknown echoes and reverberation in a speech signal). Finally, we derive dependencies of information transfer on time delays. We suggest that information maximization provides a unifying framework for problems in \"blind\" signal processing.", "author" : [ { "dropping-particle" : "", "family" : "Bell", "given" : "A J", "non-dropping-particle" : "", "parse-names" : false, "suffix" : "" }, { "dropping-particle" : "", "family" : "Sejnowski", "given" : "T J", "non-dropping-particle" : "", "parse-names" : false, "suffix" : "" } ], "container-title" : "Neural Computation", "id" : "ITEM-2", "issue" : "6", "issued" : { "date-parts" : [ [ "1995" ] ] }, "page" : "1129-1159", "title" : "An information-maximization approach to blind separation and blind deconvolution.", "type" : "article-journal", "volume" : "7" }, "uris" : [ "http://www.mendeley.com/documents/?uuid=b37e14b2-d3a2-438d-8762-07eda1ba0edc" ] } ], "mendeley" : { "formattedCitation" : "(Bell &amp; Sejnowski, 1995; Lee, Girolami, &amp; Sejnowski, 1999)", "plainTextFormattedCitation" : "(Bell &amp; Sejnowski, 1995; Lee, Girolami, &amp; Sejnowski, 1999)", "previouslyFormattedCitation" : "(Bell &amp; Sejnowski, 1995; Lee, Girolami, &amp; Sejnowski, 1999)" }, "properties" : { "noteIndex" : 0 }, "schema" : "https://github.com/citation-style-language/schema/raw/master/csl-citation.json" }</w:instrText>
      </w:r>
      <w:r w:rsidRPr="00341B41">
        <w:fldChar w:fldCharType="separate"/>
      </w:r>
      <w:r w:rsidRPr="00341B41">
        <w:rPr>
          <w:noProof/>
        </w:rPr>
        <w:t>(Bell &amp; Sejnowski, 1995; Lee, Girolami, &amp; Sejnowski, 1999)</w:t>
      </w:r>
      <w:r w:rsidRPr="00341B41">
        <w:fldChar w:fldCharType="end"/>
      </w:r>
      <w:r w:rsidRPr="00341B41">
        <w:t xml:space="preserve"> being particularly well adopted for use with EEG data, though many other algorithms have been shown to produce comparable results </w:t>
      </w:r>
      <w:r w:rsidRPr="00341B41">
        <w:fldChar w:fldCharType="begin" w:fldLock="1"/>
      </w:r>
      <w:r w:rsidRPr="00341B41">
        <w:instrText>ADDIN CSL_CITATION { "citationItems" : [ { "id" : "ITEM-1", "itemData" : { "author" : [ { "dropping-particle" : "", "family" : "Jung", "given" : "Tzyy-Ping", "non-dropping-particle" : "", "parse-names" : false, "suffix" : "" }, { "dropping-particle" : "", "family" : "Makeig", "given" : "Scott", "non-dropping-particle" : "", "parse-names" : false, "suffix" : "" }, { "dropping-particle" : "", "family" : "McKeown", "given" : "Martin J", "non-dropping-particle" : "", "parse-names" : false, "suffix" : "" }, { "dropping-particle" : "", "family" : "Bell", "given" : "Anthony J", "non-dropping-particle" : "", "parse-names" : false, "suffix" : "" }, { "dropping-particle" : "", "family" : "Lee", "given" : "Te-Won", "non-dropping-particle" : "", "parse-names" : false, "suffix" : "" }, { "dropping-particle" : "", "family" : "Sejnowski", "given" : "Terrence J", "non-dropping-particle" : "", "parse-names" : false, "suffix" : "" } ], "container-title" : "Proceedings of the IEEE", "id" : "ITEM-1", "issue" : "7", "issued" : { "date-parts" : [ [ "2001" ] ] }, "page" : "1107-1122", "title" : "Imaging brain dynamics using independent component analysis", "type" : "article-journal", "volume" : "89" }, "uris" : [ "http://www.mendeley.com/documents/?uuid=56f493b1-57e9-4b76-bbbc-898e17abc230" ] }, { "id" : "ITEM-2",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"ITEM-2", "issue" : "6", "issued" : { "date-parts" : [ [ "2006" ] ] }, "page" : "808-822", "title" : "Imaging human EEG dynamics using independent component analysis", "type" : "article-journal", "volume" : "30" }, "uris" : [ "http://www.mendeley.com/documents/?uuid=24d35955-aa6e-4a33-bd9c-4893800a8c59" ] } ], "mendeley" : { "formattedCitation" : "(Jung et al., 2001; Onton et al., 2006)", "manualFormatting" : "(Jung et al., 2001; Delorme et al., 2012; Onton et al., 2006)", "plainTextFormattedCitation" : "(Jung et al., 2001; Onton et al., 2006)", "previouslyFormattedCitation" : "(Jung et al., 2001; Onton et al., 2006)" }, "properties" : { "noteIndex" : 0 }, "schema" : "https://github.com/citation-style-language/schema/raw/master/csl-citation.json" }</w:instrText>
      </w:r>
      <w:r w:rsidRPr="00341B41">
        <w:fldChar w:fldCharType="separate"/>
      </w:r>
      <w:r w:rsidRPr="00341B41">
        <w:rPr>
          <w:noProof/>
        </w:rPr>
        <w:t>(Jung et al., 2001</w:t>
      </w:r>
      <w:r w:rsidRPr="00341B41">
        <w:rPr>
          <w:noProof/>
        </w:rPr>
        <w:fldChar w:fldCharType="begin" w:fldLock="1"/>
      </w:r>
      <w:r w:rsidRPr="00341B41">
        <w:rPr>
          <w:noProof/>
        </w:rPr>
        <w:instrText>ADDIN CSL_CITATION { "citationItems" : [ { "id" : "ITEM-1", "itemData" : { "DOI" : "10.1371/journal.pone.0030135", "ISSN" : "1932-6203", "PMID" : "22355308", "abstract" : "Independent component analysis (ICA) and blind source separation (BSS) methods are increasingly used to separate individual brain and non-brain source signals mixed by volume conduction in electroencephalographic (EEG) and other electrophysiological recordings. We compared results of decomposing thirteen 71-channel human scalp EEG datasets by 22 ICA and BSS algorithms, assessing the pairwise mutual information (PMI) in scalp channel pairs, the remaining PMI in component pairs, the overall mutual information reduction (MIR) effected by each decomposition, and decomposition 'dipolarity' defined as the number of component scalp maps matching the projection of a single equivalent dipole with less than a given residual variance. The least well-performing algorithm was principal component analysis (PCA); best performing were AMICA and other likelihood/mutual information based ICA methods. Though these and other commonly-used decomposition methods returned many similar components, across 18 ICA/BSS algorithms mean dipolarity varied linearly with both MIR and with PMI remaining between the resulting component time courses, a result compatible with an interpretation of many maximally independent EEG components as being volume-conducted projections of partially-synchronous local cortical field activity within single compact cortical domains. To encourage further method comparisons, the data and software used to prepare the results have been made available (http://sccn.ucsd.edu/wiki/BSSComparison).", "author" : [ { "dropping-particle" : "", "family" : "Delorme", "given" : "Arnaud", "non-dropping-particle" : "", "parse-names" : false, "suffix" : "" }, { "dropping-particle" : "", "family" : "Palmer", "given" : "Jason", "non-dropping-particle" : "", "parse-names" : false, "suffix" : "" }, { "dropping-particle" : "", "family" : "Onton", "given" : "Julie", "non-dropping-particle" : "", "parse-names" : false, "suffix" : "" }, { "dropping-particle" : "", "family" : "Oostenveld", "given" : "Robert", "non-dropping-particle" : "", "parse-names" : false, "suffix" : "" }, { "dropping-particle" : "", "family" : "Makeig", "given" : "Scott", "non-dropping-particle" : "", "parse-names" : false, "suffix" : "" } ], "container-title" : "PLoS ONE", "id" : "ITEM-1", "issue" : "2", "issued" : { "date-parts" : [ [ "2012", "1" ] ] }, "page" : "e30135", "title" : "Independent EEG sources are dipolar.", "type" : "article-journal", "volume" : "7" }, "uris" : [ "http://www.mendeley.com/documents/?uuid=aeda38e2-7170-40c0-baa3-c28eba765f9c" ] } ], "mendeley" : { "formattedCitation" : "(Delorme et al., 2012)", "manualFormatting" : "; Delorme et al., 2012", "plainTextFormattedCitation" : "(Delorme et al., 2012)", "previouslyFormattedCitation" : "(Delorme et al., 2012)" }, "properties" : { "noteIndex" : 0 }, "schema" : "https://github.com/citation-style-language/schema/raw/master/csl-citation.json" }</w:instrText>
      </w:r>
      <w:r w:rsidRPr="00341B41">
        <w:rPr>
          <w:noProof/>
        </w:rPr>
        <w:fldChar w:fldCharType="separate"/>
      </w:r>
      <w:r w:rsidRPr="00341B41">
        <w:rPr>
          <w:noProof/>
        </w:rPr>
        <w:t>; Delorme et al., 2012</w:t>
      </w:r>
      <w:r w:rsidRPr="00341B41">
        <w:rPr>
          <w:noProof/>
        </w:rPr>
        <w:fldChar w:fldCharType="end"/>
      </w:r>
      <w:r w:rsidRPr="00341B41">
        <w:rPr>
          <w:noProof/>
        </w:rPr>
        <w:t>; Onton et al., 2006)</w:t>
      </w:r>
      <w:r w:rsidRPr="00341B41">
        <w:fldChar w:fldCharType="end"/>
      </w:r>
      <w:r w:rsidRPr="00341B41">
        <w:t>.</w:t>
      </w:r>
      <w:r w:rsidR="00713B03" w:rsidRPr="00341B41">
        <w:t xml:space="preserve"> </w:t>
      </w:r>
    </w:p>
    <w:p w14:paraId="01F95DD5" w14:textId="329E0DA8" w:rsidR="00713B03" w:rsidRPr="00341B41" w:rsidRDefault="008E4B4A" w:rsidP="00713B03">
      <w:pPr>
        <w:ind w:firstLine="720"/>
      </w:pPr>
      <w:r w:rsidRPr="00341B41">
        <w:t xml:space="preserve">ICA identifies signals in the recorded multi-channel EEG data that are temporally maximally independent of one another, and as such contribute maximally distinct information to the recorded channel data </w:t>
      </w:r>
      <w:r w:rsidRPr="00341B41">
        <w:fldChar w:fldCharType="begin" w:fldLock="1"/>
      </w:r>
      <w:r w:rsidRPr="00341B41">
        <w:instrText>ADDIN CSL_CITATION { "citationItems" : [ { "id" : "ITEM-1", "itemData" : { "DOI" : "10.1371/journal.pone.0030135", "ISSN" : "1932-6203", "PMID" : "22355308", "abstract" : "Independent component analysis (ICA) and blind source separation (BSS) methods are increasingly used to separate individual brain and non-brain source signals mixed by volume conduction in electroencephalographic (EEG) and other electrophysiological recordings. We compared results of decomposing thirteen 71-channel human scalp EEG datasets by 22 ICA and BSS algorithms, assessing the pairwise mutual information (PMI) in scalp channel pairs, the remaining PMI in component pairs, the overall mutual information reduction (MIR) effected by each decomposition, and decomposition 'dipolarity' defined as the number of component scalp maps matching the projection of a single equivalent dipole with less than a given residual variance. The least well-performing algorithm was principal component analysis (PCA); best performing were AMICA and other likelihood/mutual information based ICA methods. Though these and other commonly-used decomposition methods returned many similar components, across 18 ICA/BSS algorithms mean dipolarity varied linearly with both MIR and with PMI remaining between the resulting component time courses, a result compatible with an interpretation of many maximally independent EEG components as being volume-conducted projections of partially-synchronous local cortical field activity within single compact cortical domains. To encourage further method comparisons, the data and software used to prepare the results have been made available (http://sccn.ucsd.edu/wiki/BSSComparison).", "author" : [ { "dropping-particle" : "", "family" : "Delorme", "given" : "Arnaud", "non-dropping-particle" : "", "parse-names" : false, "suffix" : "" }, { "dropping-particle" : "", "family" : "Palmer", "given" : "Jason", "non-dropping-particle" : "", "parse-names" : false, "suffix" : "" }, { "dropping-particle" : "", "family" : "Onton", "given" : "Julie", "non-dropping-particle" : "", "parse-names" : false, "suffix" : "" }, { "dropping-particle" : "", "family" : "Oostenveld", "given" : "Robert", "non-dropping-particle" : "", "parse-names" : false, "suffix" : "" }, { "dropping-particle" : "", "family" : "Makeig", "given" : "Scott", "non-dropping-particle" : "", "parse-names" : false, "suffix" : "" } ], "container-title" : "PLoS ONE", "id" : "ITEM-1", "issue" : "2", "issued" : { "date-parts" : [ [ "2012", "1" ] ] }, "page" : "e30135", "title" : "Independent EEG sources are dipolar.", "type" : "article-journal", "volume" : "7" }, "uris" : [ "http://www.mendeley.com/documents/?uuid=aeda38e2-7170-40c0-baa3-c28eba765f9c" ] } ], "mendeley" : { "formattedCitation" : "(Delorme et al., 2012)", "plainTextFormattedCitation" : "(Delorme et al., 2012)", "previouslyFormattedCitation" : "(Delorme et al., 2012)" }, "properties" : { "noteIndex" : 0 }, "schema" : "https://github.com/citation-style-language/schema/raw/master/csl-citation.json" }</w:instrText>
      </w:r>
      <w:r w:rsidRPr="00341B41">
        <w:fldChar w:fldCharType="separate"/>
      </w:r>
      <w:r w:rsidRPr="00341B41">
        <w:rPr>
          <w:noProof/>
        </w:rPr>
        <w:t>(Delorme et al., 2012)</w:t>
      </w:r>
      <w:r w:rsidRPr="00341B41">
        <w:fldChar w:fldCharType="end"/>
      </w:r>
      <w:r w:rsidRPr="00341B41">
        <w:t xml:space="preserve">. Each independent component (IC) is then characterised by a fixed scalp map, showing the spatial projection </w:t>
      </w:r>
      <w:r w:rsidRPr="00341B41">
        <w:lastRenderedPageBreak/>
        <w:t xml:space="preserve">of the component to each scalp EEG channel. Therefore, for each IC, a time course of activation and a scalp map are produced </w:t>
      </w:r>
      <w:r w:rsidRPr="00341B41">
        <w:fldChar w:fldCharType="begin" w:fldLock="1"/>
      </w:r>
      <w:r w:rsidR="00907792" w:rsidRPr="00341B41">
        <w:instrText>ADDIN CSL_CITATION { "citationItems" : [ { "id" : "ITEM-1", "itemData" : { "DOI" : "10.1371/journal.pone.0030135", "ISSN" : "1932-6203", "PMID" : "22355308", "abstract" : "Independent component analysis (ICA) and blind source separation (BSS) methods are increasingly used to separate individual brain and non-brain source signals mixed by volume conduction in electroencephalographic (EEG) and other electrophysiological recordings. We compared results of decomposing thirteen 71-channel human scalp EEG datasets by 22 ICA and BSS algorithms, assessing the pairwise mutual information (PMI) in scalp channel pairs, the remaining PMI in component pairs, the overall mutual information reduction (MIR) effected by each decomposition, and decomposition 'dipolarity' defined as the number of component scalp maps matching the projection of a single equivalent dipole with less than a given residual variance. The least well-performing algorithm was principal component analysis (PCA); best performing were AMICA and other likelihood/mutual information based ICA methods. Though these and other commonly-used decomposition methods returned many similar components, across 18 ICA/BSS algorithms mean dipolarity varied linearly with both MIR and with PMI remaining between the resulting component time courses, a result compatible with an interpretation of many maximally independent EEG components as being volume-conducted projections of partially-synchronous local cortical field activity within single compact cortical domains. To encourage further method comparisons, the data and software used to prepare the results have been made available (http://sccn.ucsd.edu/wiki/BSSComparison).", "author" : [ { "dropping-particle" : "", "family" : "Delorme", "given" : "Arnaud", "non-dropping-particle" : "", "parse-names" : false, "suffix" : "" }, { "dropping-particle" : "", "family" : "Palmer", "given" : "Jason", "non-dropping-particle" : "", "parse-names" : false, "suffix" : "" }, { "dropping-particle" : "", "family" : "Onton", "given" : "Julie", "non-dropping-particle" : "", "parse-names" : false, "suffix" : "" }, { "dropping-particle" : "", "family" : "Oostenveld", "given" : "Robert", "non-dropping-particle" : "", "parse-names" : false, "suffix" : "" }, { "dropping-particle" : "", "family" : "Makeig", "given" : "Scott", "non-dropping-particle" : "", "parse-names" : false, "suffix" : "" } ], "container-title" : "PLoS ONE", "id" : "ITEM-1", "issue" : "2", "issued" : { "date-parts" : [ [ "2012", "1" ] ] }, "page" : "e30135", "title" : "Independent EEG sources are dipolar.", "type" : "article-journal", "volume" : "7" }, "uris" : [ "http://www.mendeley.com/documents/?uuid=aeda38e2-7170-40c0-baa3-c28eba765f9c" ] }, { "id" : "ITEM-2", "itemData" : { "DOI" : "10.1126/science.1066168", "ISBN" : "1095-9203 (Electronic)\\r0036-8075 (Linking)", "ISSN" : "00368075", "PMID" : "11809976", "abstract" : "It has been long debated whether averaged electrical responses recorded from the scalp result from stimulus-evoked brain events or stimulus-induced changes in ongoing brain dynamics. In a human visual selective attention task, we show that nontarget event-related potentials were mainly generated by partial stimulus-induced phase resetting of multiple electroencephalographic processes. Independent component analysis applied to the single-trial data identified at least eight classes of contributing components, including those producing central and lateral posterior alpha, left and right mu, and frontal midline theta rhythms. Scalp topographies of these components were consistent with their generation in compact cortical domains.", "author" : [ { "dropping-particle" : "", "family" : "Makeig", "given" : "Scott", "non-dropping-particle" : "", "parse-names" : false, "suffix" : "" }, { "dropping-particle" : "", "family" : "Westerfield", "given" : "M", "non-dropping-particle" : "", "parse-names" : false, "suffix" : "" }, { "dropping-particle" : "", "family" : "Jung", "given" : "Tzyy-ping P", "non-dropping-particle" : "", "parse-names" : false, "suffix" : "" }, { "dropping-particle" : "", "family" : "Enghoff", "given" : "S", "non-dropping-particle" : "", "parse-names" : false, "suffix" : "" }, { "dropping-particle" : "", "family" : "Townsend", "given" : "J", "non-dropping-particle" : "", "parse-names" : false, "suffix" : "" }, { "dropping-particle" : "", "family" : "Courchesne", "given" : "E", "non-dropping-particle" : "", "parse-names" : false, "suffix" : "" }, { "dropping-particle" : "", "family" : "Sejnowski", "given" : "T J", "non-dropping-particle" : "", "parse-names" : false, "suffix" : "" } ], "container-title" : "Science", "id" : "ITEM-2", "issue" : "January", "issued" : { "date-parts" : [ [ "2002" ] ] }, "page" : "690-694", "title" : "Dynamic Brain Sources of Visual Evoked Responses", "type" : "article-journal", "volume" : "295" }, "uris" : [ "http://www.mendeley.com/documents/?uuid=0d664ac4-8a6d-4db1-8d1a-edd14db542e6" ] } ], "mendeley" : { "formattedCitation" : "(Delorme et al., 2012; Makeig et al., 2002)", "plainTextFormattedCitation" : "(Delorme et al., 2012; Makeig et al., 2002)", "previouslyFormattedCitation" : "(Delorme et al., 2012; Makeig et al., 2002)" }, "properties" : { "noteIndex" : 0 }, "schema" : "https://github.com/citation-style-language/schema/raw/master/csl-citation.json" }</w:instrText>
      </w:r>
      <w:r w:rsidRPr="00341B41">
        <w:fldChar w:fldCharType="separate"/>
      </w:r>
      <w:r w:rsidR="00384056" w:rsidRPr="00341B41">
        <w:rPr>
          <w:noProof/>
        </w:rPr>
        <w:t>(Delorme et al., 2012; Makeig et al., 2002)</w:t>
      </w:r>
      <w:r w:rsidRPr="00341B41">
        <w:fldChar w:fldCharType="end"/>
      </w:r>
      <w:r w:rsidRPr="00341B41">
        <w:t xml:space="preserve">. </w:t>
      </w:r>
      <w:r w:rsidRPr="00341B41">
        <w:rPr>
          <w:rFonts w:cs="Times New Roman"/>
        </w:rPr>
        <w:t xml:space="preserve">ICs have been shown to be dipolar, and as such many EEG components have scalp maps that closely match the projection of a single equivalent dipole in the brain </w:t>
      </w:r>
      <w:r w:rsidRPr="00341B41">
        <w:rPr>
          <w:rFonts w:cs="Times New Roman"/>
        </w:rPr>
        <w:fldChar w:fldCharType="begin" w:fldLock="1"/>
      </w:r>
      <w:r w:rsidR="00F61E21" w:rsidRPr="00341B41">
        <w:rPr>
          <w:rFonts w:cs="Times New Roman"/>
        </w:rPr>
        <w:instrText>ADDIN CSL_CITATION { "citationItems" : [ { "id" : "ITEM-1", "itemData" : { "DOI" : "10.1371/journal.pone.0030135", "ISSN" : "1932-6203", "PMID" : "22355308", "abstract" : "Independent component analysis (ICA) and blind source separation (BSS) methods are increasingly used to separate individual brain and non-brain source signals mixed by volume conduction in electroencephalographic (EEG) and other electrophysiological recordings. We compared results of decomposing thirteen 71-channel human scalp EEG datasets by 22 ICA and BSS algorithms, assessing the pairwise mutual information (PMI) in scalp channel pairs, the remaining PMI in component pairs, the overall mutual information reduction (MIR) effected by each decomposition, and decomposition 'dipolarity' defined as the number of component scalp maps matching the projection of a single equivalent dipole with less than a given residual variance. The least well-performing algorithm was principal component analysis (PCA); best performing were AMICA and other likelihood/mutual information based ICA methods. Though these and other commonly-used decomposition methods returned many similar components, across 18 ICA/BSS algorithms mean dipolarity varied linearly with both MIR and with PMI remaining between the resulting component time courses, a result compatible with an interpretation of many maximally independent EEG components as being volume-conducted projections of partially-synchronous local cortical field activity within single compact cortical domains. To encourage further method comparisons, the data and software used to prepare the results have been made available (http://sccn.ucsd.edu/wiki/BSSComparison).", "author" : [ { "dropping-particle" : "", "family" : "Delorme", "given" : "Arnaud", "non-dropping-particle" : "", "parse-names" : false, "suffix" : "" }, { "dropping-particle" : "", "family" : "Palmer", "given" : "Jason", "non-dropping-particle" : "", "parse-names" : false, "suffix" : "" }, { "dropping-particle" : "", "family" : "Onton", "given" : "Julie", "non-dropping-particle" : "", "parse-names" : false, "suffix" : "" }, { "dropping-particle" : "", "family" : "Oostenveld", "given" : "Robert", "non-dropping-particle" : "", "parse-names" : false, "suffix" : "" }, { "dropping-particle" : "", "family" : "Makeig", "given" : "Scott", "non-dropping-particle" : "", "parse-names" : false, "suffix" : "" } ], "container-title" : "PLoS ONE", "id" : "ITEM-1", "issue" : "2", "issued" : { "date-parts" : [ [ "2012", "1" ] ] }, "page" : "e30135", "title" : "Independent EEG sources are dipolar.", "type" : "article-journal", "volume" : "7" }, "uris" : [ "http://www.mendeley.com/documents/?uuid=aeda38e2-7170-40c0-baa3-c28eba765f9c" ] }, { "id" : "ITEM-2",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"ITEM-2", "issue" : "6", "issued" : { "date-parts" : [ [ "2006" ] ] }, "page" : "808-822", "title" : "Imaging human EEG dynamics using independent component analysis", "type" : "article-journal", "volume" : "30" }, "uris" : [ "http://www.mendeley.com/documents/?uuid=24d35955-aa6e-4a33-bd9c-4893800a8c59" ] }, { "id" : "ITEM-3", "itemData" : { "DOI" : "10.1523/JNEUROSCI.3286-05.2005", "ISBN" : "1529-2401 (Electronic)\\n0270-6474 (Linking)", "ISSN" : "0270-6474, 1529-2401", "PMID" : "16354931", "abstract" : "Goal-directed behavior requires the continuous monitoring and dynamic adjustment of ongoing actions. Here, we report a direct coupling between the event-related electroencephalogram (EEG), functional magnetic resonance imaging (fMRI), and behavioral measures of performance monitoring in humans. By applying independent component analysis to EEG signals recorded simultaneously with fMRI, we found the single-trial error-related negativity of the EEG to be systematically related to behavior in the subsequent trial, thereby reflecting immediate behavioral adjustments of a cognitive performance monitoring system. Moreover, this trial-by-trial EEG measure of performance monitoring predicted the fMRI activity in the rostral cingulate zone, a brain region thought to play a key role in processing of response errors. We conclude that investigations of the dynamic coupling between EEG and fMRI provide a powerful approach for the study of higher order brain functions.", "author" : [ { "dropping-particle" : "", "family" : "Debener", "given" : "Stefan", "non-dropping-particle" : "", "parse-names" : false, "suffix" : "" }, { "dropping-particle" : "", "family" : "Ullsperger", "given" : "Markus", "non-dropping-particle" : "", "parse-names" : false, "suffix" : "" }, { "dropping-particle" : "", "family" : "Siegel", "given" : "Markus", "non-dropping-particle" : "", "parse-names" : false, "suffix" : "" }, { "dropping-particle" : "", "family" : "Fiehler", "given" : "Katja", "non-dropping-particle" : "", "parse-names" : false, "suffix" : "" }, { "dropping-particle" : "von", "family" : "Cramon", "given" : "D. Yves", "non-dropping-particle" : "", "parse-names" : false, "suffix" : "" }, { "dropping-particle" : "", "family" : "Engel", "given" : "Andreas K.", "non-dropping-particle" : "", "parse-names" : false, "suffix" : "" } ], "container-title" : "The Journal of Neuroscience", "id" : "ITEM-3", "issue" : "50", "issued" : { "date-parts" : [ [ "2005" ] ] }, "page" : "11730-11737", "title" : "Trial-by-Trial Coupling of Concurrent Electroencephalogram and Functional Magnetic Resonance Imaging Identifies the Dynamics of Performance Monitoring", "type" : "article-journal", "volume" : "25" }, "uris" : [ "http://www.mendeley.com/documents/?uuid=de15343a-765a-4796-a76b-c43db7647fa8" ] } ], "mendeley" : { "formattedCitation" : "(Debener, Ullsperger, et al., 2005; Delorme et al., 2012; Onton et al., 2006)", "plainTextFormattedCitation" : "(Debener, Ullsperger, et al., 2005; Delorme et al., 2012; Onton et al., 2006)", "previouslyFormattedCitation" : "(Debener, Ullsperger, et al., 2005; Delorme et al., 2012; Onton et al., 2006)" }, "properties" : { "noteIndex" : 0 }, "schema" : "https://github.com/citation-style-language/schema/raw/master/csl-citation.json" }</w:instrText>
      </w:r>
      <w:r w:rsidRPr="00341B41">
        <w:rPr>
          <w:rFonts w:cs="Times New Roman"/>
        </w:rPr>
        <w:fldChar w:fldCharType="separate"/>
      </w:r>
      <w:r w:rsidR="00B636C5" w:rsidRPr="00341B41">
        <w:rPr>
          <w:rFonts w:cs="Times New Roman"/>
          <w:noProof/>
        </w:rPr>
        <w:t>(Debener, Ullsperger, et al., 2005; Delorme et al., 2012; Onton et al., 2006)</w:t>
      </w:r>
      <w:r w:rsidRPr="00341B41">
        <w:rPr>
          <w:rFonts w:cs="Times New Roman"/>
        </w:rPr>
        <w:fldChar w:fldCharType="end"/>
      </w:r>
      <w:r w:rsidRPr="00341B41">
        <w:rPr>
          <w:rFonts w:cs="Times New Roman"/>
        </w:rPr>
        <w:t xml:space="preserve">. The location of this dipole can then be estimated within a standard head model such as that of the Montreal Neurological Institute (MNI), giving a better spatial estimate of where source activity is being generated than would be possible with channel-based analyses </w:t>
      </w:r>
      <w:r w:rsidRPr="00341B41">
        <w:rPr>
          <w:rFonts w:cs="Times New Roman"/>
        </w:rPr>
        <w:fldChar w:fldCharType="begin" w:fldLock="1"/>
      </w:r>
      <w:r w:rsidRPr="00341B41">
        <w:rPr>
          <w:rFonts w:cs="Times New Roman"/>
        </w:rPr>
        <w:instrText>ADDIN CSL_CITATION { "citationItems" : [ { "id" : "ITEM-1", "itemData" : { "DOI" : "10.1016/j.jneumeth.2010.04.031", "ISBN" : "978-1-4244-1814-5", "ISSN" : "01650270", "PMID" : "20457183", "abstract" : "This paper introduces a Neuroelectromagnetic Forward Head Modeling Toolbox (NFT) running under MATLAB (The Mathworks, Inc.) for generating realistic head models from available data (MRI and/or electrode locations) and for computing numerical solutions for the forward problem of electromagnetic source imaging. The NFT includes tools for segmenting scalp, skull, cerebrospinal fluid (CSF) and brain tissues from T1-weighted magnetic resonance (MR) images. The Boundary Element Method (BEM) is used for the numerical solution of the forward problem. After extracting segmented tissue volumes, surface BEM meshes can be generated. When a subject MR image is not available, a template head model can be warped to measured electrode locations to obtain an individualized head model. Toolbox functions may be called either from a graphic user interface compatible with EEGLAB (http://sccn.ucsd.edu/eeglab), or from the MATLAB command line. Function help messages and a user tutorial are included. The toolbox is freely available under the GNU Public License for noncommercial use and open source development. ?? 2010 Elsevier B.V.", "author" : [ { "dropping-particle" : "", "family" : "Acar", "given" : "Zeynep Akalin", "non-dropping-particle" : "", "parse-names" : false, "suffix" : "" }, { "dropping-particle" : "", "family" : "Makeig", "given" : "Scott", "non-dropping-particle" : "", "parse-names" : false, "suffix" : "" } ], "container-title" : "Journal of Neuroscience Methods", "id" : "ITEM-1", "issue" : "2", "issued" : { "date-parts" : [ [ "2010" ] ] }, "page" : "258-270", "title" : "Neuroelectromagnetic Forward Head Modeling Toolbox", "type" : "article-journal", "volume" : "190" }, "uris" : [ "http://www.mendeley.com/documents/?uuid=9ce53841-5f3d-4ef2-b805-efe3b34eee25" ] } ], "mendeley" : { "formattedCitation" : "(Acar &amp; Makeig, 2010)", "plainTextFormattedCitation" : "(Acar &amp; Makeig, 2010)", "previouslyFormattedCitation" : "(Acar &amp; Makeig, 2010)" }, "properties" : { "noteIndex" : 0 }, "schema" : "https://github.com/citation-style-language/schema/raw/master/csl-citation.json" }</w:instrText>
      </w:r>
      <w:r w:rsidRPr="00341B41">
        <w:rPr>
          <w:rFonts w:cs="Times New Roman"/>
        </w:rPr>
        <w:fldChar w:fldCharType="separate"/>
      </w:r>
      <w:r w:rsidRPr="00341B41">
        <w:rPr>
          <w:rFonts w:cs="Times New Roman"/>
          <w:noProof/>
        </w:rPr>
        <w:t>(Acar &amp; Makeig, 2010)</w:t>
      </w:r>
      <w:r w:rsidRPr="00341B41">
        <w:rPr>
          <w:rFonts w:cs="Times New Roman"/>
        </w:rPr>
        <w:fldChar w:fldCharType="end"/>
      </w:r>
      <w:r w:rsidRPr="00341B41">
        <w:rPr>
          <w:rFonts w:cs="Times New Roman"/>
        </w:rPr>
        <w:t>.</w:t>
      </w:r>
      <w:r w:rsidR="00713B03" w:rsidRPr="00341B41">
        <w:t xml:space="preserve"> </w:t>
      </w:r>
    </w:p>
    <w:p w14:paraId="5C6E3B3D" w14:textId="7A45400A" w:rsidR="008E4B4A" w:rsidRPr="00341B41" w:rsidRDefault="008E4B4A" w:rsidP="008534B3">
      <w:pPr>
        <w:ind w:firstLine="720"/>
      </w:pPr>
      <w:r w:rsidRPr="00341B41">
        <w:rPr>
          <w:rFonts w:cs="Times New Roman"/>
        </w:rPr>
        <w:t xml:space="preserve">As described by </w:t>
      </w:r>
      <w:r w:rsidRPr="00341B41">
        <w:rPr>
          <w:rFonts w:cs="Times New Roman"/>
        </w:rPr>
        <w:fldChar w:fldCharType="begin" w:fldLock="1"/>
      </w:r>
      <w:r w:rsidRPr="00341B41">
        <w:rPr>
          <w:rFonts w:cs="Times New Roman"/>
        </w:rPr>
        <w:instrText>ADDIN CSL_CITATION { "citationItems" : [ { "id" : "ITEM-1",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"ITEM-1", "issue" : "6", "issued" : { "date-parts" : [ [ "2006" ] ] }, "page" : "808-822", "title" : "Imaging human EEG dynamics using independent component analysis", "type" : "article-journal", "volume" : "30" }, "uris" : [ "http://www.mendeley.com/documents/?uuid=24d35955-aa6e-4a33-bd9c-4893800a8c59" ] } ], "mendeley" : { "formattedCitation" : "(Onton et al., 2006)", "manualFormatting" : "Onton et al., (2006)", "plainTextFormattedCitation" : "(Onton et al., 2006)", "previouslyFormattedCitation" : "(Onton et al.,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Onton et al., (2006)</w:t>
      </w:r>
      <w:r w:rsidRPr="00341B41">
        <w:rPr>
          <w:rFonts w:cs="Times New Roman"/>
        </w:rPr>
        <w:fldChar w:fldCharType="end"/>
      </w:r>
      <w:r w:rsidRPr="00341B41">
        <w:rPr>
          <w:rFonts w:cs="Times New Roman"/>
        </w:rPr>
        <w:t xml:space="preserve">,  ICA works be being fed a matrix of the recorded EEG scalp data organised by </w:t>
      </w:r>
      <w:r w:rsidRPr="00341B41">
        <w:rPr>
          <w:rFonts w:cs="Times New Roman"/>
          <w:i/>
        </w:rPr>
        <w:t xml:space="preserve">n </w:t>
      </w:r>
      <w:r w:rsidRPr="00341B41">
        <w:rPr>
          <w:rFonts w:cs="Times New Roman"/>
        </w:rPr>
        <w:t xml:space="preserve">channels (rows) by </w:t>
      </w:r>
      <w:r w:rsidRPr="00341B41">
        <w:rPr>
          <w:rFonts w:cs="Times New Roman"/>
          <w:i/>
        </w:rPr>
        <w:t xml:space="preserve">t </w:t>
      </w:r>
      <w:r w:rsidRPr="00341B41">
        <w:rPr>
          <w:rFonts w:cs="Times New Roman"/>
        </w:rPr>
        <w:t>time-points (columns). No electrode location information is used in the analysis. ICA then performs the blind separation of this data matrix (</w:t>
      </w:r>
      <w:r w:rsidRPr="00341B41">
        <w:rPr>
          <w:rFonts w:cs="Times New Roman"/>
          <w:i/>
        </w:rPr>
        <w:t>X</w:t>
      </w:r>
      <w:r w:rsidRPr="00341B41">
        <w:rPr>
          <w:rFonts w:cs="Times New Roman"/>
        </w:rPr>
        <w:t>) based on the criteria that the resulting time courses (</w:t>
      </w:r>
      <w:r w:rsidRPr="00341B41">
        <w:rPr>
          <w:rFonts w:cs="Times New Roman"/>
          <w:i/>
        </w:rPr>
        <w:t>U</w:t>
      </w:r>
      <w:r w:rsidRPr="00341B41">
        <w:rPr>
          <w:rFonts w:cs="Times New Roman"/>
        </w:rPr>
        <w:t>) are maximally independent of one another. This process produces an ‘</w:t>
      </w:r>
      <w:proofErr w:type="spellStart"/>
      <w:r w:rsidRPr="00341B41">
        <w:rPr>
          <w:rFonts w:cs="Times New Roman"/>
        </w:rPr>
        <w:t>unmixing</w:t>
      </w:r>
      <w:proofErr w:type="spellEnd"/>
      <w:r w:rsidRPr="00341B41">
        <w:rPr>
          <w:rFonts w:cs="Times New Roman"/>
        </w:rPr>
        <w:t>’ matrix (</w:t>
      </w:r>
      <w:r w:rsidRPr="00341B41">
        <w:rPr>
          <w:rFonts w:cs="Times New Roman"/>
          <w:i/>
        </w:rPr>
        <w:t>W</w:t>
      </w:r>
      <w:r w:rsidRPr="00341B41">
        <w:rPr>
          <w:rFonts w:cs="Times New Roman"/>
        </w:rPr>
        <w:t>) that when multiplied by the original data yields a matrix of the independent component time courses:</w:t>
      </w:r>
    </w:p>
    <w:p w14:paraId="328DFFFF" w14:textId="20DA4A4C" w:rsidR="008E4B4A" w:rsidRPr="00341B41" w:rsidRDefault="008E4B4A" w:rsidP="008E4B4A">
      <w:pPr>
        <w:rPr>
          <w:rFonts w:eastAsiaTheme="minorEastAsia" w:cs="Times New Roman"/>
        </w:rPr>
      </w:pPr>
      <m:oMathPara>
        <m:oMath>
          <m:r>
            <w:rPr>
              <w:rFonts w:ascii="Cambria Math" w:hAnsi="Cambria Math" w:cs="Times New Roman"/>
            </w:rPr>
            <m:t>U =WX</m:t>
          </m:r>
        </m:oMath>
      </m:oMathPara>
    </w:p>
    <w:p w14:paraId="5625BF83" w14:textId="71611B8D" w:rsidR="008E4B4A" w:rsidRPr="00341B41" w:rsidRDefault="008E4B4A" w:rsidP="008E4B4A">
      <w:pPr>
        <w:rPr>
          <w:rFonts w:eastAsiaTheme="minorEastAsia" w:cs="Times New Roman"/>
        </w:rPr>
      </w:pPr>
      <w:r w:rsidRPr="00341B41">
        <w:rPr>
          <w:rFonts w:eastAsiaTheme="minorEastAsia" w:cs="Times New Roman"/>
        </w:rPr>
        <w:t xml:space="preserve">Here, </w:t>
      </w:r>
      <w:r w:rsidRPr="00341B41">
        <w:rPr>
          <w:rFonts w:eastAsiaTheme="minorEastAsia" w:cs="Times New Roman"/>
          <w:i/>
        </w:rPr>
        <w:t xml:space="preserve">X </w:t>
      </w:r>
      <w:r w:rsidRPr="00341B41">
        <w:rPr>
          <w:rFonts w:eastAsiaTheme="minorEastAsia" w:cs="Times New Roman"/>
        </w:rPr>
        <w:t xml:space="preserve">and </w:t>
      </w:r>
      <w:r w:rsidRPr="00341B41">
        <w:rPr>
          <w:rFonts w:eastAsiaTheme="minorEastAsia" w:cs="Times New Roman"/>
          <w:i/>
        </w:rPr>
        <w:t xml:space="preserve">U </w:t>
      </w:r>
      <w:r w:rsidRPr="00341B41">
        <w:rPr>
          <w:rFonts w:eastAsiaTheme="minorEastAsia" w:cs="Times New Roman"/>
        </w:rPr>
        <w:t xml:space="preserve">are both </w:t>
      </w:r>
      <w:r w:rsidRPr="00341B41">
        <w:rPr>
          <w:rFonts w:eastAsiaTheme="minorEastAsia" w:cs="Times New Roman"/>
          <w:i/>
        </w:rPr>
        <w:t xml:space="preserve">n </w:t>
      </w:r>
      <w:r w:rsidRPr="00341B41">
        <w:rPr>
          <w:rFonts w:eastAsiaTheme="minorEastAsia" w:cs="Times New Roman"/>
        </w:rPr>
        <w:t xml:space="preserve">x </w:t>
      </w:r>
      <w:r w:rsidRPr="00341B41">
        <w:rPr>
          <w:rFonts w:eastAsiaTheme="minorEastAsia" w:cs="Times New Roman"/>
          <w:i/>
        </w:rPr>
        <w:t>t</w:t>
      </w:r>
      <w:r w:rsidRPr="00341B41">
        <w:rPr>
          <w:rFonts w:eastAsiaTheme="minorEastAsia" w:cs="Times New Roman"/>
        </w:rPr>
        <w:t xml:space="preserve"> matrices, and </w:t>
      </w:r>
      <w:r w:rsidRPr="00341B41">
        <w:rPr>
          <w:rFonts w:eastAsiaTheme="minorEastAsia" w:cs="Times New Roman"/>
          <w:i/>
        </w:rPr>
        <w:t xml:space="preserve">W </w:t>
      </w:r>
      <w:r w:rsidRPr="00341B41">
        <w:rPr>
          <w:rFonts w:eastAsiaTheme="minorEastAsia" w:cs="Times New Roman"/>
        </w:rPr>
        <w:t xml:space="preserve">is an </w:t>
      </w:r>
      <w:r w:rsidRPr="00341B41">
        <w:rPr>
          <w:rFonts w:eastAsiaTheme="minorEastAsia" w:cs="Times New Roman"/>
          <w:i/>
        </w:rPr>
        <w:t xml:space="preserve">n </w:t>
      </w:r>
      <w:r w:rsidRPr="00341B41">
        <w:rPr>
          <w:rFonts w:eastAsiaTheme="minorEastAsia" w:cs="Times New Roman"/>
        </w:rPr>
        <w:t xml:space="preserve">x </w:t>
      </w:r>
      <w:r w:rsidRPr="00341B41">
        <w:rPr>
          <w:rFonts w:eastAsiaTheme="minorEastAsia" w:cs="Times New Roman"/>
          <w:i/>
        </w:rPr>
        <w:t xml:space="preserve">n </w:t>
      </w:r>
      <w:r w:rsidRPr="00341B41">
        <w:rPr>
          <w:rFonts w:eastAsiaTheme="minorEastAsia" w:cs="Times New Roman"/>
        </w:rPr>
        <w:t>matrix. By using matrix algebra, it is implied that:</w:t>
      </w:r>
    </w:p>
    <w:p w14:paraId="4CC61D21" w14:textId="356AD72D" w:rsidR="008E4B4A" w:rsidRPr="00341B41" w:rsidRDefault="008E4B4A" w:rsidP="008E4B4A">
      <w:pPr>
        <w:rPr>
          <w:rFonts w:eastAsiaTheme="minorEastAsia" w:cs="Times New Roman"/>
        </w:rPr>
      </w:pPr>
      <m:oMathPara>
        <m:oMath>
          <m:r>
            <w:rPr>
              <w:rFonts w:ascii="Cambria Math" w:hAnsi="Cambria Math" w:cs="Times New Roman"/>
            </w:rPr>
            <m:t>X=</m:t>
          </m:r>
          <m:sSup>
            <m:sSupPr>
              <m:ctrlPr>
                <w:rPr>
                  <w:rFonts w:ascii="Cambria Math" w:hAnsi="Cambria Math" w:cs="Times New Roman"/>
                  <w:i/>
                </w:rPr>
              </m:ctrlPr>
            </m:sSupPr>
            <m:e>
              <m:r>
                <w:rPr>
                  <w:rFonts w:ascii="Cambria Math" w:hAnsi="Cambria Math" w:cs="Times New Roman"/>
                </w:rPr>
                <m:t>W</m:t>
              </m:r>
            </m:e>
            <m:sup>
              <m:r>
                <w:rPr>
                  <w:rFonts w:ascii="Cambria Math" w:hAnsi="Cambria Math" w:cs="Times New Roman"/>
                </w:rPr>
                <m:t>-1</m:t>
              </m:r>
            </m:sup>
          </m:sSup>
          <m:r>
            <w:rPr>
              <w:rFonts w:ascii="Cambria Math" w:hAnsi="Cambria Math" w:cs="Times New Roman"/>
            </w:rPr>
            <m:t xml:space="preserve"> U</m:t>
          </m:r>
        </m:oMath>
      </m:oMathPara>
    </w:p>
    <w:p w14:paraId="4470127E" w14:textId="5ECDA300" w:rsidR="008E4B4A" w:rsidRPr="00341B41" w:rsidRDefault="008E4B4A" w:rsidP="008E4B4A">
      <w:pPr>
        <w:rPr>
          <w:rFonts w:eastAsiaTheme="minorEastAsia" w:cs="Times New Roman"/>
        </w:rPr>
      </w:pPr>
      <w:r w:rsidRPr="00341B41">
        <w:rPr>
          <w:rFonts w:eastAsiaTheme="minorEastAsia" w:cs="Times New Roman"/>
        </w:rPr>
        <w:t xml:space="preserve">In this equation, </w:t>
      </w:r>
      <w:r w:rsidRPr="00341B41">
        <w:rPr>
          <w:rFonts w:eastAsiaTheme="minorEastAsia" w:cs="Times New Roman"/>
          <w:i/>
        </w:rPr>
        <w:t>W</w:t>
      </w:r>
      <w:r w:rsidRPr="00341B41">
        <w:rPr>
          <w:rFonts w:eastAsiaTheme="minorEastAsia" w:cs="Times New Roman"/>
          <w:vertAlign w:val="superscript"/>
        </w:rPr>
        <w:t>-1</w:t>
      </w:r>
      <w:r w:rsidRPr="00341B41">
        <w:rPr>
          <w:rFonts w:eastAsiaTheme="minorEastAsia" w:cs="Times New Roman"/>
        </w:rPr>
        <w:t xml:space="preserve"> (the inverse of </w:t>
      </w:r>
      <w:r w:rsidRPr="00341B41">
        <w:rPr>
          <w:rFonts w:eastAsiaTheme="minorEastAsia" w:cs="Times New Roman"/>
          <w:i/>
        </w:rPr>
        <w:t>W</w:t>
      </w:r>
      <w:r w:rsidRPr="00341B41">
        <w:rPr>
          <w:rFonts w:eastAsiaTheme="minorEastAsia" w:cs="Times New Roman"/>
        </w:rPr>
        <w:t xml:space="preserve">) is the </w:t>
      </w:r>
      <w:r w:rsidRPr="00341B41">
        <w:rPr>
          <w:rFonts w:eastAsiaTheme="minorEastAsia" w:cs="Times New Roman"/>
          <w:i/>
        </w:rPr>
        <w:t xml:space="preserve">n x n </w:t>
      </w:r>
      <w:r w:rsidRPr="00341B41">
        <w:rPr>
          <w:rFonts w:eastAsiaTheme="minorEastAsia" w:cs="Times New Roman"/>
        </w:rPr>
        <w:t xml:space="preserve">component mixing matrix where the columns contain the relative weights with which each component projects to each of the </w:t>
      </w:r>
      <w:r w:rsidRPr="00341B41">
        <w:rPr>
          <w:rFonts w:eastAsiaTheme="minorEastAsia" w:cs="Times New Roman"/>
        </w:rPr>
        <w:lastRenderedPageBreak/>
        <w:t>scalp channels, i.e. the IC scalp map. The portion of the original data (</w:t>
      </w:r>
      <w:r w:rsidRPr="00341B41">
        <w:rPr>
          <w:rFonts w:eastAsiaTheme="minorEastAsia" w:cs="Times New Roman"/>
          <w:i/>
        </w:rPr>
        <w:t>X</w:t>
      </w:r>
      <w:r w:rsidRPr="00341B41">
        <w:rPr>
          <w:rFonts w:eastAsiaTheme="minorEastAsia" w:cs="Times New Roman"/>
        </w:rPr>
        <w:t xml:space="preserve">) that forms the </w:t>
      </w:r>
      <w:proofErr w:type="spellStart"/>
      <w:r w:rsidRPr="00341B41">
        <w:rPr>
          <w:rFonts w:eastAsiaTheme="minorEastAsia" w:cs="Times New Roman"/>
          <w:i/>
        </w:rPr>
        <w:t>i</w:t>
      </w:r>
      <w:r w:rsidRPr="00341B41">
        <w:rPr>
          <w:rFonts w:eastAsiaTheme="minorEastAsia" w:cs="Times New Roman"/>
        </w:rPr>
        <w:t>th</w:t>
      </w:r>
      <w:proofErr w:type="spellEnd"/>
      <w:r w:rsidRPr="00341B41">
        <w:rPr>
          <w:rFonts w:eastAsiaTheme="minorEastAsia" w:cs="Times New Roman"/>
        </w:rPr>
        <w:t xml:space="preserve"> IC (</w:t>
      </w:r>
      <w:r w:rsidRPr="00341B41">
        <w:rPr>
          <w:rFonts w:eastAsiaTheme="minorEastAsia" w:cs="Times New Roman"/>
          <w:i/>
        </w:rPr>
        <w:t>X</w:t>
      </w:r>
      <w:r w:rsidRPr="00341B41">
        <w:rPr>
          <w:rFonts w:eastAsiaTheme="minorEastAsia" w:cs="Times New Roman"/>
          <w:i/>
          <w:vertAlign w:val="subscript"/>
        </w:rPr>
        <w:t>i</w:t>
      </w:r>
      <w:r w:rsidRPr="00341B41">
        <w:rPr>
          <w:rFonts w:eastAsiaTheme="minorEastAsia" w:cs="Times New Roman"/>
        </w:rPr>
        <w:t xml:space="preserve">) is the product of two vectors, the </w:t>
      </w:r>
      <w:proofErr w:type="spellStart"/>
      <w:r w:rsidRPr="00341B41">
        <w:rPr>
          <w:rFonts w:eastAsiaTheme="minorEastAsia" w:cs="Times New Roman"/>
          <w:i/>
        </w:rPr>
        <w:t>i</w:t>
      </w:r>
      <w:r w:rsidRPr="00341B41">
        <w:rPr>
          <w:rFonts w:eastAsiaTheme="minorEastAsia" w:cs="Times New Roman"/>
        </w:rPr>
        <w:t>th</w:t>
      </w:r>
      <w:proofErr w:type="spellEnd"/>
      <w:r w:rsidRPr="00341B41">
        <w:rPr>
          <w:rFonts w:eastAsiaTheme="minorEastAsia" w:cs="Times New Roman"/>
        </w:rPr>
        <w:t xml:space="preserve"> column of </w:t>
      </w:r>
      <w:r w:rsidRPr="00341B41">
        <w:rPr>
          <w:rFonts w:eastAsiaTheme="minorEastAsia" w:cs="Times New Roman"/>
          <w:i/>
        </w:rPr>
        <w:t xml:space="preserve">W </w:t>
      </w:r>
      <w:r w:rsidRPr="00341B41">
        <w:rPr>
          <w:rFonts w:eastAsiaTheme="minorEastAsia" w:cs="Times New Roman"/>
        </w:rPr>
        <w:t xml:space="preserve">and the </w:t>
      </w:r>
      <w:proofErr w:type="spellStart"/>
      <w:r w:rsidRPr="00341B41">
        <w:rPr>
          <w:rFonts w:eastAsiaTheme="minorEastAsia" w:cs="Times New Roman"/>
          <w:i/>
        </w:rPr>
        <w:t>i</w:t>
      </w:r>
      <w:r w:rsidRPr="00341B41">
        <w:rPr>
          <w:rFonts w:eastAsiaTheme="minorEastAsia" w:cs="Times New Roman"/>
        </w:rPr>
        <w:t>th</w:t>
      </w:r>
      <w:proofErr w:type="spellEnd"/>
      <w:r w:rsidRPr="00341B41">
        <w:rPr>
          <w:rFonts w:eastAsiaTheme="minorEastAsia" w:cs="Times New Roman"/>
        </w:rPr>
        <w:t xml:space="preserve"> row of </w:t>
      </w:r>
      <w:r w:rsidRPr="00341B41">
        <w:rPr>
          <w:rFonts w:eastAsiaTheme="minorEastAsia" w:cs="Times New Roman"/>
          <w:i/>
        </w:rPr>
        <w:t>U</w:t>
      </w:r>
      <w:r w:rsidRPr="00341B41">
        <w:rPr>
          <w:rFonts w:eastAsiaTheme="minorEastAsia" w:cs="Times New Roman"/>
        </w:rPr>
        <w:t>:</w:t>
      </w:r>
    </w:p>
    <w:p w14:paraId="154D6BD6" w14:textId="11F3260C" w:rsidR="008E4B4A" w:rsidRPr="00341B41" w:rsidRDefault="00B141E3" w:rsidP="008E4B4A">
      <w:pPr>
        <w:rPr>
          <w:rFonts w:eastAsiaTheme="minorEastAsia" w:cs="Times New Roman"/>
        </w:rPr>
      </w:pPr>
      <m:oMathPara>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W</m:t>
              </m:r>
            </m:e>
            <m:sub>
              <m:r>
                <w:rPr>
                  <w:rFonts w:ascii="Cambria Math" w:hAnsi="Cambria Math" w:cs="Times New Roman"/>
                </w:rPr>
                <m:t>i</m:t>
              </m:r>
            </m:sub>
            <m:sup>
              <m:eqArr>
                <m:eqArrPr>
                  <m:ctrlPr>
                    <w:rPr>
                      <w:rFonts w:ascii="Cambria Math" w:hAnsi="Cambria Math" w:cs="Times New Roman"/>
                      <w:i/>
                    </w:rPr>
                  </m:ctrlPr>
                </m:eqArrPr>
                <m:e>
                  <m:r>
                    <w:rPr>
                      <w:rFonts w:ascii="Cambria Math" w:hAnsi="Cambria Math" w:cs="Times New Roman"/>
                    </w:rPr>
                    <m:t>-1</m:t>
                  </m:r>
                </m:e>
                <m:e>
                  <m:r>
                    <w:rPr>
                      <w:rFonts w:ascii="Cambria Math" w:hAnsi="Cambria Math" w:cs="Times New Roman"/>
                    </w:rPr>
                    <m:t xml:space="preserve"> </m:t>
                  </m:r>
                </m:e>
              </m:eqArr>
            </m:sup>
          </m:sSubSup>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i</m:t>
              </m:r>
            </m:sub>
          </m:sSub>
        </m:oMath>
      </m:oMathPara>
    </w:p>
    <w:p w14:paraId="575E9E81" w14:textId="3807552E" w:rsidR="008E4B4A" w:rsidRPr="00341B41" w:rsidRDefault="008E4B4A" w:rsidP="008E4B4A">
      <w:pPr>
        <w:rPr>
          <w:rFonts w:eastAsiaTheme="minorEastAsia" w:cs="Times New Roman"/>
        </w:rPr>
      </w:pPr>
      <w:r w:rsidRPr="00341B41">
        <w:rPr>
          <w:rFonts w:eastAsiaTheme="minorEastAsia" w:cs="Times New Roman"/>
        </w:rPr>
        <w:t>The whole data (</w:t>
      </w:r>
      <w:r w:rsidRPr="00341B41">
        <w:rPr>
          <w:rFonts w:eastAsiaTheme="minorEastAsia" w:cs="Times New Roman"/>
          <w:i/>
        </w:rPr>
        <w:t>X</w:t>
      </w:r>
      <w:r w:rsidRPr="00341B41">
        <w:rPr>
          <w:rFonts w:eastAsiaTheme="minorEastAsia" w:cs="Times New Roman"/>
        </w:rPr>
        <w:t>) are the sum of the back-projected ICs (</w:t>
      </w:r>
      <w:r w:rsidRPr="00341B41">
        <w:rPr>
          <w:rFonts w:eastAsiaTheme="minorEastAsia" w:cs="Times New Roman"/>
          <w:i/>
        </w:rPr>
        <w:t>X</w:t>
      </w:r>
      <w:r w:rsidRPr="00341B41">
        <w:rPr>
          <w:rFonts w:eastAsiaTheme="minorEastAsia" w:cs="Times New Roman"/>
          <w:i/>
          <w:vertAlign w:val="subscript"/>
        </w:rPr>
        <w:t>i</w:t>
      </w:r>
      <w:r w:rsidRPr="00341B41">
        <w:rPr>
          <w:rFonts w:eastAsiaTheme="minorEastAsia" w:cs="Times New Roman"/>
        </w:rPr>
        <w:t>):</w:t>
      </w:r>
    </w:p>
    <w:p w14:paraId="151212BE" w14:textId="0C5B8FBE" w:rsidR="008E4B4A" w:rsidRPr="00341B41" w:rsidRDefault="008E4B4A" w:rsidP="008E4B4A">
      <w:pPr>
        <w:rPr>
          <w:rFonts w:eastAsiaTheme="minorEastAsia" w:cs="Times New Roman"/>
        </w:rPr>
      </w:pPr>
      <m:oMathPara>
        <m:oMath>
          <m:r>
            <w:rPr>
              <w:rFonts w:ascii="Cambria Math" w:hAnsi="Cambria Math" w:cs="Times New Roman"/>
            </w:rPr>
            <m:t>X=</m:t>
          </m:r>
          <m:nary>
            <m:naryPr>
              <m:chr m:val="∑"/>
              <m:limLoc m:val="undOvr"/>
              <m:subHide m:val="1"/>
              <m:supHide m:val="1"/>
              <m:ctrlPr>
                <w:rPr>
                  <w:rFonts w:ascii="Cambria Math" w:hAnsi="Cambria Math" w:cs="Times New Roman"/>
                  <w:i/>
                </w:rPr>
              </m:ctrlPr>
            </m:naryPr>
            <m:sub/>
            <m:sup/>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e>
          </m:nary>
        </m:oMath>
      </m:oMathPara>
    </w:p>
    <w:p w14:paraId="0DEE6693" w14:textId="77777777" w:rsidR="00713B03" w:rsidRPr="00341B41" w:rsidRDefault="008E4B4A" w:rsidP="008E4B4A">
      <w:pPr>
        <w:rPr>
          <w:rFonts w:cs="Times New Roman"/>
        </w:rPr>
      </w:pPr>
      <w:r w:rsidRPr="00341B41">
        <w:rPr>
          <w:rFonts w:eastAsiaTheme="minorEastAsia" w:cs="Times New Roman"/>
        </w:rPr>
        <w:t xml:space="preserve">Mapping the relative projection weights to the corresponding electrodes on a head model then allows for visualisation of the scalp projection or a scalp map for each source component. </w:t>
      </w:r>
    </w:p>
    <w:p w14:paraId="78BCACC1" w14:textId="77777777" w:rsidR="00713B03" w:rsidRPr="00341B41" w:rsidRDefault="008E4B4A" w:rsidP="00713B03">
      <w:pPr>
        <w:ind w:firstLine="720"/>
        <w:rPr>
          <w:rFonts w:cs="Times New Roman"/>
        </w:rPr>
      </w:pPr>
      <w:r w:rsidRPr="00341B41">
        <w:rPr>
          <w:rFonts w:cs="Times New Roman"/>
        </w:rPr>
        <w:t xml:space="preserve">The ICA model makes two main assumptions about the nature of scalp EEG data. First, it is assumed that EEG sources sum linearly at the scalp electrodes </w:t>
      </w:r>
      <w:r w:rsidRPr="00341B41">
        <w:rPr>
          <w:rFonts w:cs="Times New Roman"/>
        </w:rPr>
        <w:fldChar w:fldCharType="begin" w:fldLock="1"/>
      </w:r>
      <w:r w:rsidRPr="00341B41">
        <w:rPr>
          <w:rFonts w:cs="Times New Roman"/>
        </w:rPr>
        <w:instrText>ADDIN CSL_CITATION { "citationItems" : [ { "id" : "ITEM-1",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"ITEM-1", "issued" : { "date-parts" : [ [ "2006", "1" ] ] }, "page" : "99-120", "title" : "Information-based modeling of event-related brain dynamics.", "type" : "article-journal", "volume" : "159" }, "uris" : [ "http://www.mendeley.com/documents/?uuid=a5ff3541-fcfc-4533-bf43-44ca29611c47" ] } ], "mendeley" : { "formattedCitation" : "(Onton &amp; Makeig, 2006)", "plainTextFormattedCitation" : "(Onton &amp; Makeig, 2006)", "previouslyFormattedCitation" : "(Onton &amp; Makeig,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(Onton &amp; Makeig, 2006)</w:t>
      </w:r>
      <w:r w:rsidRPr="00341B41">
        <w:rPr>
          <w:rFonts w:cs="Times New Roman"/>
        </w:rPr>
        <w:fldChar w:fldCharType="end"/>
      </w:r>
      <w:r w:rsidRPr="00341B41">
        <w:rPr>
          <w:rFonts w:cs="Times New Roman"/>
        </w:rPr>
        <w:t xml:space="preserve">. Biophysics suggests that EEG sources will project near-instantly to and then sum linearly at the level of the scalp electrode </w:t>
      </w:r>
      <w:r w:rsidRPr="00341B41">
        <w:rPr>
          <w:rFonts w:cs="Times New Roman"/>
        </w:rPr>
        <w:fldChar w:fldCharType="begin" w:fldLock="1"/>
      </w:r>
      <w:r w:rsidRPr="00341B41">
        <w:rPr>
          <w:rFonts w:cs="Times New Roman"/>
        </w:rPr>
        <w:instrText>ADDIN CSL_CITATION { "citationItems" : [ { "id" : "ITEM-1", "itemData" : { "author" : [ { "dropping-particle" : "", "family" : "Nunez", "given" : "P", "non-dropping-particle" : "", "parse-names" : false, "suffix" : "" }, { "dropping-particle" : "", "family" : "Srinivasen", "given" : "R", "non-dropping-particle" : "", "parse-names" : false, "suffix" : "" } ], "id" : "ITEM-1", "issued" : { "date-parts" : [ [ "2005" ] ] }, "publisher" : "Oxford University Press", "publisher-place" : "New York, NY", "title" : "Electric Fields of the Brain: The Neurophysics of EEG", "type" : "book" }, "uris" : [ "http://www.mendeley.com/documents/?uuid=88d69c1e-9616-4e42-ac4c-b8934b46430d" ] } ], "mendeley" : { "formattedCitation" : "(Nunez &amp; Srinivasen, 2005)", "plainTextFormattedCitation" : "(Nunez &amp; Srinivasen, 2005)", "previouslyFormattedCitation" : "(Nunez &amp; Srinivasen, 2005)" }, "properties" : { "noteIndex" : 0 }, "schema" : "https://github.com/citation-style-language/schema/raw/master/csl-citation.json" }</w:instrText>
      </w:r>
      <w:r w:rsidRPr="00341B41">
        <w:rPr>
          <w:rFonts w:cs="Times New Roman"/>
        </w:rPr>
        <w:fldChar w:fldCharType="separate"/>
      </w:r>
      <w:r w:rsidRPr="00341B41">
        <w:rPr>
          <w:rFonts w:cs="Times New Roman"/>
          <w:noProof/>
        </w:rPr>
        <w:t>(Nunez &amp; Srinivasen, 2005)</w:t>
      </w:r>
      <w:r w:rsidRPr="00341B41">
        <w:rPr>
          <w:rFonts w:cs="Times New Roman"/>
        </w:rPr>
        <w:fldChar w:fldCharType="end"/>
      </w:r>
      <w:r w:rsidRPr="00341B41">
        <w:rPr>
          <w:rFonts w:cs="Times New Roman"/>
        </w:rPr>
        <w:t xml:space="preserve">. Furthermore, the relatively sparse interconnection of cortical EEG source areas suggests that their activities may, across a significantly large amount of data, be near independent sources. As such, it seems plausible that EEG data can be modelled as a linear mixture of the activities of multiple brain and non-brain sources with near independent time courses </w:t>
      </w:r>
      <w:r w:rsidRPr="00341B41">
        <w:rPr>
          <w:rFonts w:cs="Times New Roman"/>
        </w:rPr>
        <w:fldChar w:fldCharType="begin" w:fldLock="1"/>
      </w:r>
      <w:r w:rsidRPr="00341B41">
        <w:rPr>
          <w:rFonts w:cs="Times New Roman"/>
        </w:rPr>
        <w:instrText>ADDIN CSL_CITATION { "citationItems" : [ { "id" : "ITEM-1",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"ITEM-1", "issue" : "6", "issued" : { "date-parts" : [ [ "2006" ] ] }, "page" : "808-822", "title" : "Imaging human EEG dynamics using independent component analysis", "type" : "article-journal", "volume" : "30" }, "uris" : [ "http://www.mendeley.com/documents/?uuid=24d35955-aa6e-4a33-bd9c-4893800a8c59" ] } ], "mendeley" : { "formattedCitation" : "(Onton et al., 2006)", "plainTextFormattedCitation" : "(Onton et al., 2006)", "previouslyFormattedCitation" : "(Onton et al.,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(Onton et al., 2006)</w:t>
      </w:r>
      <w:r w:rsidRPr="00341B41">
        <w:rPr>
          <w:rFonts w:cs="Times New Roman"/>
        </w:rPr>
        <w:fldChar w:fldCharType="end"/>
      </w:r>
      <w:r w:rsidR="00713B03" w:rsidRPr="00341B41">
        <w:rPr>
          <w:rFonts w:cs="Times New Roman"/>
        </w:rPr>
        <w:t xml:space="preserve">. </w:t>
      </w:r>
    </w:p>
    <w:p w14:paraId="5E77E90C" w14:textId="60D2364E" w:rsidR="007F22DE" w:rsidRPr="00341B41" w:rsidRDefault="008E4B4A" w:rsidP="007F22DE">
      <w:pPr>
        <w:ind w:firstLine="720"/>
        <w:rPr>
          <w:rFonts w:cs="Times New Roman"/>
        </w:rPr>
      </w:pPr>
      <w:r w:rsidRPr="00341B41">
        <w:rPr>
          <w:rFonts w:cs="Times New Roman"/>
        </w:rPr>
        <w:t xml:space="preserve">A second assumption is that the EEG sources remain spatially fixed for the duration of the input data </w:t>
      </w:r>
      <w:r w:rsidRPr="00341B41">
        <w:rPr>
          <w:rFonts w:cs="Times New Roman"/>
        </w:rPr>
        <w:fldChar w:fldCharType="begin" w:fldLock="1"/>
      </w:r>
      <w:r w:rsidRPr="00341B41">
        <w:rPr>
          <w:rFonts w:cs="Times New Roman"/>
        </w:rPr>
        <w:instrText>ADDIN CSL_CITATION { "citationItems" : [ { "id" : "ITEM-1",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"ITEM-1", "issued" : { "date-parts" : [ [ "2006", "1" ] ] }, "page" : "99-120", "title" : "Information-based modeling of event-related brain dynamics.", "type" : "article-journal", "volume" : "159" }, "uris" : [ "http://www.mendeley.com/documents/?uuid=a5ff3541-fcfc-4533-bf43-44ca29611c47" ] } ], "mendeley" : { "formattedCitation" : "(Onton &amp; Makeig, 2006)", "plainTextFormattedCitation" : "(Onton &amp; Makeig, 2006)", "previouslyFormattedCitation" : "(Onton &amp; Makeig,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(Onton &amp; Makeig, 2006)</w:t>
      </w:r>
      <w:r w:rsidRPr="00341B41">
        <w:rPr>
          <w:rFonts w:cs="Times New Roman"/>
        </w:rPr>
        <w:fldChar w:fldCharType="end"/>
      </w:r>
      <w:r w:rsidRPr="00341B41">
        <w:rPr>
          <w:rFonts w:cs="Times New Roman"/>
        </w:rPr>
        <w:t xml:space="preserve">. It has been shown through invasive direct electrical recordings show that at a sub-millimetre scale electrical potential gradients show travelling wave patterns </w:t>
      </w:r>
      <w:r w:rsidRPr="00341B41">
        <w:rPr>
          <w:rFonts w:cs="Times New Roman"/>
        </w:rPr>
        <w:fldChar w:fldCharType="begin" w:fldLock="1"/>
      </w:r>
      <w:r w:rsidRPr="00341B41">
        <w:rPr>
          <w:rFonts w:cs="Times New Roman"/>
        </w:rPr>
        <w:instrText>ADDIN CSL_CITATION { "citationItems" : [ { "id" : "ITEM-1", "itemData" : { "author" : [ { "dropping-particle" : "", "family" : "Arieli", "given" : "Amos", "non-dropping-particle" : "", "parse-names" : false, "suffix" : "" }, { "dropping-particle" : "", "family" : "Sterkin", "given" : "A", "non-dropping-particle" : "", "parse-names" : false, "suffix" : "" }, { "dropping-particle" : "", "family" : "Grinvald", "given" : "A", "non-dropping-particle" : "", "parse-names" : false, "suffix" : "" }, { "dropping-particle" : "", "family" : "Aertsen", "given" : "A", "non-dropping-particle" : "", "parse-names" : false, "suffix" : "" } ], "container-title" : "Science", "id" : "ITEM-1", "issued" : { "date-parts" : [ [ "1996" ] ] }, "page" : "1868-1871", "title" : "Dynamics of ongoing activity: Explanation og the large variability in evoked cortical responses", "type" : "article-journal", "volume" : "273" }, "uris" : [ "http://www.mendeley.com/documents/?uuid=ad5c27b7-fb20-4783-8a68-4c44e72337c5" ] }, { "id" : "ITEM-2", "itemData" : { "author" : [ { "dropping-particle" : "", "family" : "Neuper", "given" : "C", "non-dropping-particle" : "", "parse-names" : false, "suffix" : "" }, { "dropping-particle" : "", "family" : "Klimesch", "given" : "Wolfgang", "non-dropping-particle" : "", "parse-names" : false, "suffix" : "" } ], "id" : "ITEM-2", "issued" : { "date-parts" : [ [ "2006" ] ] }, "publisher" : "Elsevier", "publisher-place" : "The Netherlands", "title" : "Event-related Dynamics of Brain Oscillations", "type" : "book" }, "uris" : [ "http://www.mendeley.com/documents/?uuid=eefded22-a70b-4e4e-aee3-85e54fa80f5d" ] } ], "mendeley" : { "formattedCitation" : "(Arieli, Sterkin, Grinvald, &amp; Aertsen, 1996; Neuper &amp; Klimesch, 2006)", "plainTextFormattedCitation" : "(Arieli, Sterkin, Grinvald, &amp; Aertsen, 1996; Neuper &amp; Klimesch, 2006)", "previouslyFormattedCitation" : "(Arieli, Sterkin, Grinvald, &amp; Aertsen, 1996; Neuper &amp; Klimesch,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 xml:space="preserve">(Arieli, Sterkin, Grinvald, &amp; Aertsen, 1996; Neuper &amp; Klimesch, </w:t>
      </w:r>
      <w:r w:rsidRPr="00341B41">
        <w:rPr>
          <w:rFonts w:cs="Times New Roman"/>
          <w:noProof/>
        </w:rPr>
        <w:lastRenderedPageBreak/>
        <w:t>2006)</w:t>
      </w:r>
      <w:r w:rsidRPr="00341B41">
        <w:rPr>
          <w:rFonts w:cs="Times New Roman"/>
        </w:rPr>
        <w:fldChar w:fldCharType="end"/>
      </w:r>
      <w:r w:rsidRPr="00341B41">
        <w:rPr>
          <w:rFonts w:cs="Times New Roman"/>
        </w:rPr>
        <w:t xml:space="preserve">. However, the cortical ‘patch’ that produces the synchronous far-field EEG source signal at the centimetre scale, whilst showing expanding traveling wave activity within the source domain, will produce a scalp signal that appears spatially constant on the scalp </w:t>
      </w:r>
      <w:r w:rsidRPr="00341B41">
        <w:rPr>
          <w:rFonts w:cs="Times New Roman"/>
        </w:rPr>
        <w:fldChar w:fldCharType="begin" w:fldLock="1"/>
      </w:r>
      <w:r w:rsidR="00907792" w:rsidRPr="00341B41">
        <w:rPr>
          <w:rFonts w:cs="Times New Roman"/>
        </w:rPr>
        <w:instrText>ADDIN CSL_CITATION { "citationItems" : [ { "id" : "ITEM-1", "itemData" : { "author" : [ { "dropping-particle" : "", "family" : "Freeman", "given" : "W.J", "non-dropping-particle" : "", "parse-names" : false, "suffix" : "" } ], "container-title" : "Clinical Neurophysiology", "id" : "ITEM-1", "issued" : { "date-parts" : [ [ "2004" ] ] }, "page" : "2077-2088", "title" : "Origin, structure, and role of background EEG activity. Part 2. Analytic phase", "type" : "article-journal", "volume" : "115" }, "uris" : [ "http://www.mendeley.com/documents/?uuid=2e0fdea4-9dbc-4e15-9d17-a70607bb4f30" ] } ], "mendeley" : { "formattedCitation" : "(Freeman, 2004)", "plainTextFormattedCitation" : "(Freeman, 2004)", "previouslyFormattedCitation" : "(Freeman, 2004)" }, "properties" : { "noteIndex" : 0 }, "schema" : "https://github.com/citation-style-language/schema/raw/master/csl-citation.json" }</w:instrText>
      </w:r>
      <w:r w:rsidRPr="00341B41">
        <w:rPr>
          <w:rFonts w:cs="Times New Roman"/>
        </w:rPr>
        <w:fldChar w:fldCharType="separate"/>
      </w:r>
      <w:r w:rsidR="00384056" w:rsidRPr="00341B41">
        <w:rPr>
          <w:rFonts w:cs="Times New Roman"/>
          <w:noProof/>
        </w:rPr>
        <w:t>(Freeman, 2004)</w:t>
      </w:r>
      <w:r w:rsidRPr="00341B41">
        <w:rPr>
          <w:rFonts w:cs="Times New Roman"/>
        </w:rPr>
        <w:fldChar w:fldCharType="end"/>
      </w:r>
      <w:r w:rsidRPr="00341B41">
        <w:rPr>
          <w:rFonts w:cs="Times New Roman"/>
        </w:rPr>
        <w:t xml:space="preserve">. As such, ICA is adequate at resolving signals from most centimetre-scale source domains </w:t>
      </w:r>
      <w:r w:rsidRPr="00341B41">
        <w:rPr>
          <w:rFonts w:cs="Times New Roman"/>
        </w:rPr>
        <w:fldChar w:fldCharType="begin" w:fldLock="1"/>
      </w:r>
      <w:r w:rsidRPr="00341B41">
        <w:rPr>
          <w:rFonts w:cs="Times New Roman"/>
        </w:rPr>
        <w:instrText>ADDIN CSL_CITATION { "citationItems" : [ { "id" : "ITEM-1", "itemData" : { "author" : [ { "dropping-particle" : "", "family" : "Neuper", "given" : "C", "non-dropping-particle" : "", "parse-names" : false, "suffix" : "" }, { "dropping-particle" : "", "family" : "Klimesch", "given" : "Wolfgang", "non-dropping-particle" : "", "parse-names" : false, "suffix" : "" } ], "id" : "ITEM-1", "issued" : { "date-parts" : [ [ "2006" ] ] }, "publisher" : "Elsevier", "publisher-place" : "The Netherlands", "title" : "Event-related Dynamics of Brain Oscillations", "type" : "book" }, "uris" : [ "http://www.mendeley.com/documents/?uuid=eefded22-a70b-4e4e-aee3-85e54fa80f5d" ] } ], "mendeley" : { "formattedCitation" : "(Neuper &amp; Klimesch, 2006)", "plainTextFormattedCitation" : "(Neuper &amp; Klimesch, 2006)", "previouslyFormattedCitation" : "(Neuper &amp; Klimesch,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(Neuper &amp; Klimesch, 2006)</w:t>
      </w:r>
      <w:r w:rsidRPr="00341B41">
        <w:rPr>
          <w:rFonts w:cs="Times New Roman"/>
        </w:rPr>
        <w:fldChar w:fldCharType="end"/>
      </w:r>
      <w:r w:rsidRPr="00341B41">
        <w:rPr>
          <w:rFonts w:cs="Times New Roman"/>
        </w:rPr>
        <w:t xml:space="preserve">. It should be noted however than certain macroscopic EEG phenomena, such as epileptic seizures and sleep spindles, exhibit large-scale travelling wave properties, which can only be </w:t>
      </w:r>
      <w:r w:rsidR="00C62722" w:rsidRPr="00341B41">
        <w:rPr>
          <w:rFonts w:cs="Times New Roman"/>
        </w:rPr>
        <w:t>modelled</w:t>
      </w:r>
      <w:r w:rsidRPr="00341B41">
        <w:rPr>
          <w:rFonts w:cs="Times New Roman"/>
        </w:rPr>
        <w:t xml:space="preserve"> with ICA as a set of components each accounting for a spatial and/or temporal phase of the moving activity pattern </w:t>
      </w:r>
      <w:r w:rsidRPr="00341B41">
        <w:rPr>
          <w:rFonts w:cs="Times New Roman"/>
        </w:rPr>
        <w:fldChar w:fldCharType="begin" w:fldLock="1"/>
      </w:r>
      <w:r w:rsidRPr="00341B41">
        <w:rPr>
          <w:rFonts w:cs="Times New Roman"/>
        </w:rPr>
        <w:instrText>ADDIN CSL_CITATION { "citationItems" : [ { "id" : "ITEM-1", "itemData" : { "DOI" : "10.1016/j.neubiorev.2006.06.007", "ISBN" : "0149-7634 (Print)\\r0149-7634 (Linking)", "ISSN" : "01497634", "PMID" : "16904745", "abstract" : "This review discusses the theory and practical application of independent component analysis (ICA) to multi-channel EEG data. We use examples from an audiovisual attention-shifting task performed by young and old subjects to illustrate the power of ICA to resolve subtle differences between evoked responses in the two age groups. Preliminary analysis of these data using ICA suggests a loss of task specificity in independent component (IC) processes in frontal and somatomotor cortex during post-response periods in older as compared to younger subjects, trends not detected during examination of scalp-channel event-related potential (ERP) averages. We discuss possible approaches to component clustering across subjects and new ways to visualize mean and trial-by-trial variations in the data, including ERP-image plots of dynamics within and across trials as well as plots of event-related spectral perturbations in component power, phase locking, and coherence. We believe that widespread application of these and related analysis methods should bring EEG once again to the forefront of brain imaging, merging its high time and frequency resolution with enhanced cm-scale spatial resolution of its cortical sources. ?? 2006.", "author" : [ { "dropping-particle" : "", "family" : "Onton", "given" : "Julie",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"Makeig", "given" : "Scott", "non-dropping-particle" : "", "parse-names" : false, "suffix" : "" } ], "container-title" : "Neuroscience and Biobehavioral Reviews", "id" : "ITEM-1", "issue" : "6", "issued" : { "date-parts" : [ [ "2006" ] ] }, "page" : "808-822", "title" : "Imaging human EEG dynamics using independent component analysis", "type" : "article-journal", "volume" : "30" }, "uris" : [ "http://www.mendeley.com/documents/?uuid=24d35955-aa6e-4a33-bd9c-4893800a8c59" ] } ], "mendeley" : { "formattedCitation" : "(Onton et al., 2006)", "plainTextFormattedCitation" : "(Onton et al., 2006)", "previouslyFormattedCitation" : "(Onton et al., 2006)" }, "properties" : { "noteIndex" : 0 }, "schema" : "https://github.com/citation-style-language/schema/raw/master/csl-citation.json" }</w:instrText>
      </w:r>
      <w:r w:rsidRPr="00341B41">
        <w:rPr>
          <w:rFonts w:cs="Times New Roman"/>
        </w:rPr>
        <w:fldChar w:fldCharType="separate"/>
      </w:r>
      <w:r w:rsidRPr="00341B41">
        <w:rPr>
          <w:rFonts w:cs="Times New Roman"/>
          <w:noProof/>
        </w:rPr>
        <w:t>(Onton et al., 2006)</w:t>
      </w:r>
      <w:r w:rsidRPr="00341B41">
        <w:rPr>
          <w:rFonts w:cs="Times New Roman"/>
        </w:rPr>
        <w:fldChar w:fldCharType="end"/>
      </w:r>
      <w:r w:rsidRPr="00341B41">
        <w:rPr>
          <w:rFonts w:cs="Times New Roman"/>
        </w:rPr>
        <w:t xml:space="preserve">, though more complex ICA models may be better suited for these types of activity </w:t>
      </w:r>
      <w:r w:rsidRPr="00341B41">
        <w:rPr>
          <w:rFonts w:cs="Times New Roman"/>
        </w:rPr>
        <w:fldChar w:fldCharType="begin" w:fldLock="1"/>
      </w:r>
      <w:r w:rsidRPr="00341B41">
        <w:rPr>
          <w:rFonts w:cs="Times New Roman"/>
        </w:rPr>
        <w:instrText>ADDIN CSL_CITATION { "citationItems" : [ { "id" : "ITEM-1", "itemData" : { "author" : [ { "dropping-particle" : "", "family" : "Anemuller", "given" : "Jorn", "non-dropping-particle" : "", "parse-names" : false, "suffix" : "" }, { "dropping-particle" : "", "family" : "Sejnowski", "given" : "Terrence J", "non-dropping-particle" : "", "parse-names" : false, "suffix" : "" }, { "dropping-particle" : "", "family" : "Makeig", "given" : "Scott", "non-dropping-particle" : "", "parse-names" : false, "suffix" : "" } ], "container-title" : "Neural Networks", "id" : "ITEM-1", "issued" : { "date-parts" : [ [ "2003" ] ] }, "page" : "1311-1323", "title" : "Complex independent component ananlysis of frequency-domain electroencephalographic data", "type" : "article-journal", "volume" : "16" }, "uris" : [ "http://www.mendeley.com/documents/?uuid=ae7e92e2-d87d-4a85-bbc0-033d4308ce2b" ] } ], "mendeley" : { "formattedCitation" : "(Anemuller, Sejnowski, &amp; Makeig, 2003)", "plainTextFormattedCitation" : "(Anemuller, Sejnowski, &amp; Makeig, 2003)", "previouslyFormattedCitation" : "(Anemuller, Sejnowski, &amp; Makeig, 2003)" }, "properties" : { "noteIndex" : 0 }, "schema" : "https://github.com/citation-style-language/schema/raw/master/csl-citation.json" }</w:instrText>
      </w:r>
      <w:r w:rsidRPr="00341B41">
        <w:rPr>
          <w:rFonts w:cs="Times New Roman"/>
        </w:rPr>
        <w:fldChar w:fldCharType="separate"/>
      </w:r>
      <w:r w:rsidRPr="00341B41">
        <w:rPr>
          <w:rFonts w:cs="Times New Roman"/>
          <w:noProof/>
        </w:rPr>
        <w:t>(Anemuller, Sejnowski, &amp; Makeig, 2003)</w:t>
      </w:r>
      <w:r w:rsidRPr="00341B41">
        <w:rPr>
          <w:rFonts w:cs="Times New Roman"/>
        </w:rPr>
        <w:fldChar w:fldCharType="end"/>
      </w:r>
      <w:r w:rsidRPr="00341B41">
        <w:rPr>
          <w:rFonts w:cs="Times New Roman"/>
        </w:rPr>
        <w:t xml:space="preserve"> </w:t>
      </w:r>
      <w:r w:rsidR="007F22DE" w:rsidRPr="00341B41">
        <w:rPr>
          <w:rFonts w:cs="Times New Roman"/>
        </w:rPr>
        <w:t xml:space="preserve"> </w:t>
      </w:r>
    </w:p>
    <w:p w14:paraId="2657C4B1" w14:textId="22DC85E1" w:rsidR="007F22DE" w:rsidRPr="00341B41" w:rsidRDefault="008E4B4A" w:rsidP="007F22DE">
      <w:pPr>
        <w:ind w:firstLine="720"/>
        <w:rPr>
          <w:rFonts w:cs="Times New Roman"/>
        </w:rPr>
      </w:pPr>
      <w:r w:rsidRPr="00341B41">
        <w:rPr>
          <w:rFonts w:cs="Times New Roman"/>
        </w:rPr>
        <w:t xml:space="preserve">It is now commonplace to see ICA used as a method of detecting and removing artefacts from EEG data </w:t>
      </w:r>
      <w:r w:rsidRPr="00341B41">
        <w:rPr>
          <w:rFonts w:cs="Times New Roman"/>
        </w:rPr>
        <w:fldChar w:fldCharType="begin" w:fldLock="1"/>
      </w:r>
      <w:r w:rsidRPr="00341B41">
        <w:rPr>
          <w:rFonts w:cs="Times New Roman"/>
        </w:rPr>
        <w:instrText>ADDIN CSL_CITATION { "citationItems" : [ { "id" : "ITEM-1", "itemData" : { "author" : [ { "dropping-particle" : "", "family" : "Makeig", "given" : "Scott", "non-dropping-particle" : "", "parse-names" : false, "suffix" : "" }, { "dropping-particle" : "", "family" : "Bell", "given" : "Anthony J", "non-dropping-particle" : "", "parse-names" : false, "suffix" : "" }, { "dropping-particle" : "", "family" : "Jung", "given" : "Tzyy-Ping", "non-dropping-particle" : "", "parse-names" : false, "suffix" : "" }, { "dropping-particle" : "", "family" : "Sejnowski", "given" : "Terrence J", "non-dropping-particle" : "", "parse-names" : false, "suffix" : "" } ], "container-title" : "Advances in Neural Information Processing Systems", "id" : "ITEM-1", "issued" : { "date-parts" : [ [ "1996" ] ] }, "page" : "145-151", "title" : "Independent component analysis of electroencephalographic data", "type" : "article-journal" }, "uris" : [ "http://www.mendeley.com/documents/?uuid=6c3f825c-ac60-4a21-aeb3-8a4a5d7141d1" ] }, { "id" : "ITEM-2", "itemData" : { "DOI" : "10.1111/1469-8986.3720163", "abstract" : "Eye movements, eye blinks, cardiac signals, muscle noise, and line noise present serious problems for electroencephalographic (EEG) interpretation and analysis when rejecting contaminated EEG segments results in an unacceptable data loss. Many methods have been proposed to remove artifacts from EEG recordings, especially those arising from eye movements and blinks. Often regression in the time or frequency domain is performed on parallel EEG and electrooculographic (EOG) recordings to derive parameters characterizing the appearance and spread of EOG artifacts in the EEG channels. Because EEG and ocular activity mix bidirectionally, regressing out eye artifacts inevitably involves subtracting relevant EEG signals from each record as well. Regression methods become even more problematic when a good regressing channel is not available for each artifact source, as in the case of muscle artifacts. Use of principal component analysis (PCA) has been proposed to remove eye artifacts from multichannel EEG. However, PCA cannot completely separate eye artifacts from brain signals, especially when they have comparable amplitudes. Here, we propose a new and generally applicable method for removing a wide variety of artifacts from EEG records based on blind source separation by independent component analysis (ICA). Our results on EEG data collected from normal and autistic subjects show that ICA can effectively detect, separate, and remove contamination from a wide variety of artifactual sources in EEG records with results comparing favorably with those obtained using regression and PCA methods. ICA can also be used to analyze blink-related brain activity.", "author" : [ { "dropping-particle" : "", "family" : "Jung", "given" : "Tzyy-Ping", "non-dropping-particle" : "", "parse-names" : false, "suffix" : "" }, { "dropping-particle" : "", "family" : "Makeig", "given" : "Scott", "non-dropping-particle" : "", "parse-names" : false, "suffix" : "" }, { "dropping-particle" : "", "family" : "Humphries", "given" : "Colin", "non-dropping-particle" : "", "parse-names" : false, "suffix" : "" }, { "dropping-particle" : "", "family" : "Lee", "given" : "Te-Won", "non-dropping-particle" : "", "parse-names" : false, "suffix" : "" }, { "dropping-particle" : "", "family" : "McKeown", "given" : "Martin J", "non-dropping-particle" : "", "parse-names" : false, "suffix" : "" }, { "dropping-particle" : "", "family" : "Iragui", "given" : "Vicente", "non-dropping-particle" : "", "parse-names" : false, "suffix" : "" }, { "dropping-particle" : "", "family" : "Sejnowski", "given" : "Terrence J", "non-dropping-particle" : "", "parse-names" : false, "suffix" : "" } ], "container-title" : "Psychophysiology", "id" : "ITEM-2", "issue" : "2", "issued" : { "date-parts" : [ [ "2000" ] ] }, "page" : "163-178", "title" : "Removing electroencephalographic artifacts by blind source separation", "type" : "article-journal", "volume" : "37" }, "uris" : [ "http://www.mendeley.com/documents/?uuid=dec94114-c895-4f89-aac7-48bc56b51e68" ] }, { "id" : "ITEM-3", "itemData" : { "DOI" : "10.1016/S1388-2457(00)00386-2", "ISBN" : "1619587041", "ISSN" : "13882457", "PMID" : "11018488", "abstract" : "Objectives: Electrical potentials produced by blinks and eye movements present serious problems for electroencephalographic (EEG) and event-related potential (ERP) data interpretation and analysis, particularly for analysis of data from some clinical populations. Often, all epochs contaminated by large eye artifacts are rejected as unusable, though this may prove unacceptable when blinks and eye movements occur frequently. Methods: Frontal channels are often used as reference signals to regress out eye artifacts, but inevitably portions of relevant EEG signals also appearing in EOG channels are thereby eliminated or mixed into other scalp channels. A generally applicable adaptive method for removing artifacts from EEG records based on blind source separation by independent component analysis (ICA) (Neural Computation 7 (1995) 1129; Neural Computation 10(8) (1998) 2103; Neural Computation 11(2) (1999) 606) overcomes these limitations. Results: Results on EEG data collected from 28 normal controls and 22 clinical subjects performing a visual selective attention task show that ICA can be used to effectively detect, separate and remove ocular artifacts from even strongly contaminated EEG recordings. The results compare favorably to those obtained using rejection or regression methods. Conclusions: The ICA method can preserve ERP contributions from all of the recorded trials and all the recorded data channels, even when none of the single trials are artifact- free. (C) 2000 Elsevier Science Ireland Ltd.", "author" : [ { "dropping-particle" : "", "family" : "Jung", "given" : "Tzyy-Ping", "non-dropping-particle" : "", "parse-names" : false, "suffix" : "" }, { "dropping-particle" : "", "family" : "Makeig", "given" : "Scott", "non-dropping-particle" : "", "parse-names" : false, "suffix" : "" }, { "dropping-particle" : "", "family" : "Westerfield", "given" : "Marissa", "non-dropping-particle" : "", "parse-names" : false, "suffix" : "" }, { "dropping-particle" : "", "family" : "Townsend", "given" : "Jeanne", "non-dropping-particle" : "", "parse-names" : false, "suffix" : "" }, { "dropping-particle" : "", "family" : "Courchesne", "given" : "Eric", "non-dropping-particle" : "", "parse-names" : false, "suffix" : "" }, { "dropping-particle" : "", "family" : "Sejnowski", "given" : "Terrence J.", "non-dropping-particle" : "", "parse-names" : false, "suffix" : "" } ], "container-title" : "Clinical Neurophysiology", "id" : "ITEM-3", "issue" : "10", "issued" : { "date-parts" : [ [ "2000" ] ] }, "page" : "1745-1758", "title" : "Removal of eye activity artifacts from visual event-related potentials in normal and clinical subjects", "type" : "article-journal", "volume" : "111" }, "uris" : [ "http://www.mendeley.com/documents/?uuid=d1acc02d-ca9a-4fa3-b3c6-d1fe3d7cab3a" ] } ], "mendeley" : { "formattedCitation" : "(Jung, Makeig, Humphries, et al., 2000; Jung, Makeig, Westerfield, et al., 2000; Makeig et al., 1996)", "plainTextFormattedCitation" : "(Jung, Makeig, Humphries, et al., 2000; Jung, Makeig, Westerfield, et al., 2000; Makeig et al., 1996)", "previouslyFormattedCitation" : "(Jung, Makeig, Humphries, et al., 2000; Jung, Makeig, Westerfield, et al., 2000; Makeig et al., 1996)" }, "properties" : { "noteIndex" : 0 }, "schema" : "https://github.com/citation-style-language/schema/raw/master/csl-citation.json" }</w:instrText>
      </w:r>
      <w:r w:rsidRPr="00341B41">
        <w:rPr>
          <w:rFonts w:cs="Times New Roman"/>
        </w:rPr>
        <w:fldChar w:fldCharType="separate"/>
      </w:r>
      <w:r w:rsidRPr="00341B41">
        <w:rPr>
          <w:rFonts w:cs="Times New Roman"/>
          <w:noProof/>
        </w:rPr>
        <w:t>(Jung, Makeig, Humphries, et al., 2000; Jung, Makeig, Westerfield, et al., 2000; Makeig et al., 1996)</w:t>
      </w:r>
      <w:r w:rsidRPr="00341B41">
        <w:rPr>
          <w:rFonts w:cs="Times New Roman"/>
        </w:rPr>
        <w:fldChar w:fldCharType="end"/>
      </w:r>
      <w:r w:rsidRPr="00341B41">
        <w:rPr>
          <w:rFonts w:cs="Times New Roman"/>
        </w:rPr>
        <w:t xml:space="preserve">. In particular, ICA is reliable at detecting highly stereotyped artefacts such as eye blinks and movement, where it has been shown to out-perform other methods of artefact detection </w:t>
      </w:r>
      <w:r w:rsidRPr="00341B41">
        <w:rPr>
          <w:rFonts w:cs="Times New Roman"/>
        </w:rPr>
        <w:fldChar w:fldCharType="begin" w:fldLock="1"/>
      </w:r>
      <w:r w:rsidRPr="00341B41">
        <w:rPr>
          <w:rFonts w:cs="Times New Roman"/>
        </w:rPr>
        <w:instrText>ADDIN CSL_CITATION { "citationItems" : [ { "id" : "ITEM-1", "itemData" : { "DOI" : "10.1371/journal.pone.0003004", "ISBN" : "1932-6203 (Electronic)", "ISSN" : "19326203", "PMID" : "18714341", "abstract" : "BACKGROUND: The study investigated the residual impact of eyeblinks on the electroencephalogram (EEG) after application of different correction procedures, namely a regression method (eye movement correction procedure, EMCP) and a component based method (Independent Component Analysis, ICA).\\n\\nMETHODOLOGY/PRINCIPLE FINDINGS: Real and simulated data were investigated with respect to blink-related potentials and the residual mutual information of uncorrected vertical electrooculogram (EOG) and corrected EEG, which is a measure of residual EOG contribution to the EEG. The results reveal an occipital positivity that peaks at about 250 ms after the maximum blink excursion following application of either correction procedure. This positivity was not observable in the simulated data. Mutual information of vertical EOG and EEG depended on the applied regression procedure. In addition, different correction results were obtained for real and simulated data. ICA yielded almost perfect correction in all conditions. However, under certain conditions EMCP yielded comparable results to the ICA approach.\\n\\nCONCLUSION: In conclusion, for EMCP the quality of correction depended on the EMCP variant used and the structure of the data, whereas ICA always yielded almost perfect correction. However, its disadvantage is the much more complex data processing, and that it requires a suitable amount of data.", "author" : [ { "dropping-particle" : "", "family" : "Hoffmann", "given" : "Sven", "non-dropping-particle" : "", "parse-names" : false, "suffix" : "" }, { "dropping-particle" : "", "family" : "Falkenstein", "given" : "Michael", "non-dropping-particle" : "", "parse-names" : false, "suffix" : "" } ], "container-title" : "PLoS ONE", "id" : "ITEM-1", "issue" : "8", "issued" : { "date-parts" : [ [ "2008" ] ] }, "title" : "The correction of eye blink artefacts in the EEG: A comparison of two prominent methods", "type" : "article-journal", "volume" : "3" }, "uris" : [ "http://www.mendeley.com/documents/?uuid=9c6c0c09-fc7b-4781-aaee-4fe9a6a147a2" ] } ], "mendeley" : { "formattedCitation" : "(Hoffmann &amp; Falkenstein, 2008)", "plainTextFormattedCitation" : "(Hoffmann &amp; Falkenstein, 2008)", "previouslyFormattedCitation" : "(Hoffmann &amp; Falkenstein, 2008)" }, "properties" : { "noteIndex" : 0 }, "schema" : "https://github.com/citation-style-language/schema/raw/master/csl-citation.json" }</w:instrText>
      </w:r>
      <w:r w:rsidRPr="00341B41">
        <w:rPr>
          <w:rFonts w:cs="Times New Roman"/>
        </w:rPr>
        <w:fldChar w:fldCharType="separate"/>
      </w:r>
      <w:r w:rsidRPr="00341B41">
        <w:rPr>
          <w:rFonts w:cs="Times New Roman"/>
          <w:noProof/>
        </w:rPr>
        <w:t>(Hoffmann &amp; Falkenstein, 2008)</w:t>
      </w:r>
      <w:r w:rsidRPr="00341B41">
        <w:rPr>
          <w:rFonts w:cs="Times New Roman"/>
        </w:rPr>
        <w:fldChar w:fldCharType="end"/>
      </w:r>
      <w:r w:rsidRPr="00341B41">
        <w:rPr>
          <w:rFonts w:cs="Times New Roman"/>
        </w:rPr>
        <w:t>. However, it is unable to deal with non-stereotyped artefacts such as large head or electrode movements, which confound ICA decomposition</w:t>
      </w:r>
      <w:r w:rsidR="003A5177" w:rsidRPr="00341B41">
        <w:rPr>
          <w:rFonts w:cs="Times New Roman"/>
        </w:rPr>
        <w:t xml:space="preserve"> </w:t>
      </w:r>
      <w:r w:rsidRPr="00341B41">
        <w:rPr>
          <w:rFonts w:cs="Times New Roman"/>
        </w:rPr>
        <w:fldChar w:fldCharType="begin" w:fldLock="1"/>
      </w:r>
      <w:r w:rsidRPr="00341B41">
        <w:rPr>
          <w:rFonts w:cs="Times New Roman"/>
        </w:rPr>
        <w:instrText>ADDIN CSL_CITATION { "citationItems" : [ { "id" : "ITEM-1", "itemData" : { "DOI" : "10.1016/j.neuroimage.2006.11.004", "ISBN" : "1053-8119 (Print)\\r1053-8119 (Linking)", "ISSN" : "10538119", "PMID" : "17188898", "abstract" : "Detecting artifacts produced in EEG data by muscle activity, eye blinks and electrical noise is a common and important problem in EEG research. It is now widely accepted that independent component analysis (ICA) may be a useful tool for isolating artifacts and/or cortical processes from electroencephalographic (EEG) data. We present results of simulations demonstrating that ICA decomposition, here tested using three popular ICA algorithms, Infomax, SOBI, and FastICA, can allow more sensitive automated detection of small non-brain artifacts than applying the same detection methods directly to the scalp channel data. We tested the upper bound performance of five methods for detecting various types of artifacts by separately optimizing and then applying them to artifact-free EEG data into which we had added simulated artifacts of several types, ranging in size from thirty times smaller (- 50??dB) to the size of the EEG data themselves (0??dB). Of the methods tested, those involving spectral thresholding were most sensitive. Except for muscle artifact detection where we found no gain of using ICA, all methods proved more sensitive when applied to the ICA-decomposed data than applied to the raw scalp data: the mean performance for ICA was higher and situated at about two standard deviations away from the performance distribution obtained on raw data. We note that ICA decomposition also allows simple subtraction of artifacts accounted for by single independent components, and/or separate and direct examination of the decomposed non-artifact processes themselves. ?? 2006 Elsevier Inc. All rights reserved.", "author" : [ { "dropping-particle" : "", "family" : "Delorme", "given" : "Arnaud", "non-dropping-particle" : "", "parse-names" : false, "suffix" : "" }, { "dropping-particle" : "", "family" : "Sejnowski", "given" : "Terrence", "non-dropping-particle" : "", "parse-names" : false, "suffix" : "" }, { "dropping-particle" : "", "family" : "Makeig", "given" : "Scott", "non-dropping-particle" : "", "parse-names" : false, "suffix" : "" } ], "container-title" : "NeuroImage", "id" : "ITEM-1", "issue" : "4", "issued" : { "date-parts" : [ [ "2007" ] ] }, "page" : "1443-1449", "title" : "Enhanced detection of artifacts in EEG data using higher-order statistics and independent component analysis", "type" : "article-journal", "volume" : "34" }, "uris" : [ "http://www.mendeley.com/documents/?uuid=b6416dcb-9120-4722-8a5a-03e807a70468" ] } ], "mendeley" : { "formattedCitation" : "(Delorme, Sejnowski, &amp; Makeig, 2007)", "plainTextFormattedCitation" : "(Delorme, Sejnowski, &amp; Makeig, 2007)", "previouslyFormattedCitation" : "(Delorme, Sejnowski, &amp; Makeig, 2007)" }, "properties" : { "noteIndex" : 0 }, "schema" : "https://github.com/citation-style-language/schema/raw/master/csl-citation.json" }</w:instrText>
      </w:r>
      <w:r w:rsidRPr="00341B41">
        <w:rPr>
          <w:rFonts w:cs="Times New Roman"/>
        </w:rPr>
        <w:fldChar w:fldCharType="separate"/>
      </w:r>
      <w:r w:rsidRPr="00341B41">
        <w:rPr>
          <w:rFonts w:cs="Times New Roman"/>
          <w:noProof/>
        </w:rPr>
        <w:t>(Delorme, Sejnowski, &amp; Makeig, 2007)</w:t>
      </w:r>
      <w:r w:rsidRPr="00341B41">
        <w:rPr>
          <w:rFonts w:cs="Times New Roman"/>
        </w:rPr>
        <w:fldChar w:fldCharType="end"/>
      </w:r>
      <w:r w:rsidRPr="00341B41">
        <w:rPr>
          <w:rFonts w:cs="Times New Roman"/>
        </w:rPr>
        <w:t xml:space="preserve">. The use of ICA for detecting and rejecting artefacts because component activations relating to a certain artefact, such as an eye blink, is that the component activation can be subtracted from the raw EEG data, meaning that less overall data has to be rejected to remove the artefact </w:t>
      </w:r>
      <w:r w:rsidRPr="00341B41">
        <w:rPr>
          <w:rFonts w:cs="Times New Roman"/>
        </w:rPr>
        <w:fldChar w:fldCharType="begin" w:fldLock="1"/>
      </w:r>
      <w:r w:rsidRPr="00341B41">
        <w:rPr>
          <w:rFonts w:cs="Times New Roman"/>
        </w:rPr>
        <w:instrText>ADDIN CSL_CITATION { "citationItems" : [ { "id" : "ITEM-1", "itemData" : { "DOI" : "10.1016/j.neuroimage.2006.11.004", "ISBN" : "1053-8119 (Print)\\r1053-8119 (Linking)", "ISSN" : "10538119", "PMID" : "17188898", "abstract" : "Detecting artifacts produced in EEG data by muscle activity, eye blinks and electrical noise is a common and important problem in EEG research. It is now widely accepted that independent component analysis (ICA) may be a useful tool for isolating artifacts and/or cortical processes from electroencephalographic (EEG) data. We present results of simulations demonstrating that ICA decomposition, here tested using three popular ICA algorithms, Infomax, SOBI, and FastICA, can allow more sensitive automated detection of small non-brain artifacts than applying the same detection methods directly to the scalp channel data. We tested the upper bound performance of five methods for detecting various types of artifacts by separately optimizing and then applying them to artifact-free EEG data into which we had added simulated artifacts of several types, ranging in size from thirty times smaller (- 50??dB) to the size of the EEG data themselves (0??dB). Of the methods tested, those involving spectral thresholding were most sensitive. Except for muscle artifact detection where we found no gain of using ICA, all methods proved more sensitive when applied to the ICA-decomposed data than applied to the raw scalp data: the mean performance for ICA was higher and situated at about two standard deviations away from the performance distribution obtained on raw data. We note that ICA decomposition also allows simple subtraction of artifacts accounted for by single independent components, and/or separate and direct examination of the decomposed non-artifact processes themselves. ?? 2006 Elsevier Inc. All rights reserved.", "author" : [ { "dropping-particle" : "", "family" : "Delorme", "given" : "Arnaud", "non-dropping-particle" : "", "parse-names" : false, "suffix" : "" }, { "dropping-particle" : "", "family" : "Sejnowski", "given" : "Terrence", "non-dropping-particle" : "", "parse-names" : false, "suffix" : "" }, { "dropping-particle" : "", "family" : "Makeig", "given" : "Scott", "non-dropping-particle" : "", "parse-names" : false, "suffix" : "" } ], "container-title" : "NeuroImage", "id" : "ITEM-1", "issue" : "4", "issued" : { "date-parts" : [ [ "2007" ] ] }, "page" : "1443-1449", "title" : "Enhanced detection of artifacts in EEG data using higher-order statistics and independent component analysis", "type" : "article-journal", "volume" : "34" }, "uris" : [ "http://www.mendeley.com/documents/?uuid=b6416dcb-9120-4722-8a5a-03e807a70468" ] } ], "mendeley" : { "formattedCitation" : "(Delorme et al., 2007)", "plainTextFormattedCitation" : "(Delorme et al., 2007)", "previouslyFormattedCitation" : "(Delorme et al., 2007)" }, "properties" : { "noteIndex" : 0 }, "schema" : "https://github.com/citation-style-language/schema/raw/master/csl-citation.json" }</w:instrText>
      </w:r>
      <w:r w:rsidRPr="00341B41">
        <w:rPr>
          <w:rFonts w:cs="Times New Roman"/>
        </w:rPr>
        <w:fldChar w:fldCharType="separate"/>
      </w:r>
      <w:r w:rsidRPr="00341B41">
        <w:rPr>
          <w:rFonts w:cs="Times New Roman"/>
          <w:noProof/>
        </w:rPr>
        <w:t>(Delorme et al., 2007)</w:t>
      </w:r>
      <w:r w:rsidRPr="00341B41">
        <w:rPr>
          <w:rFonts w:cs="Times New Roman"/>
        </w:rPr>
        <w:fldChar w:fldCharType="end"/>
      </w:r>
      <w:r w:rsidRPr="00341B41">
        <w:rPr>
          <w:rFonts w:cs="Times New Roman"/>
        </w:rPr>
        <w:t>.</w:t>
      </w:r>
      <w:r w:rsidR="007F22DE" w:rsidRPr="00341B41">
        <w:rPr>
          <w:rFonts w:cs="Times New Roman"/>
        </w:rPr>
        <w:t xml:space="preserve"> </w:t>
      </w:r>
    </w:p>
    <w:p w14:paraId="718A56B4" w14:textId="0BAF188D" w:rsidR="007F22DE" w:rsidRPr="00341B41" w:rsidRDefault="008E4B4A" w:rsidP="007F22DE">
      <w:pPr>
        <w:ind w:firstLine="720"/>
      </w:pPr>
      <w:r w:rsidRPr="00341B41">
        <w:t xml:space="preserve">More recently, ICA has become increasingly popular as a way to study ongoing brain processes during a task </w:t>
      </w:r>
      <w:r w:rsidRPr="00341B41">
        <w:fldChar w:fldCharType="begin" w:fldLock="1"/>
      </w:r>
      <w:r w:rsidR="00907792" w:rsidRPr="00341B41">
        <w:instrText>ADDIN CSL_CITATION { "citationItems" : [ { "id" : "ITEM-1", "itemData" : { "DOI" : "10.1126/science.1066168", "ISBN" : "1095-9203 (Electronic)\\r0036-8075 (Linking)", "ISSN" : "00368075", "PMID" : "11809976", "abstract" : "It has been long debated whether averaged electrical responses recorded from the scalp result from stimulus-evoked brain events or stimulus-induced changes in ongoing brain dynamics. In a human visual selective attention task, we show that nontarget event-related potentials were mainly generated by partial stimulus-induced phase resetting of multiple electroencephalographic processes. Independent component analysis applied to the single-trial data identified at least eight classes of contributing components, including those producing central and lateral posterior alpha, left and right mu, and frontal midline theta rhythms. Scalp topographies of these components were consistent with their generation in compact cortical domains.", "author" : [ { "dropping-particle" : "", "family" : "Makeig", "given" : "Scott", "non-dropping-particle" : "", "parse-names" : false, "suffix" : "" }, { "dropping-particle" : "", "family" : "Westerfield", "given" : "M", "non-dropping-particle" : "", "parse-names" : false, "suffix" : "" }, { "dropping-particle" : "", "family" : "Jung", "given" : "Tzyy-ping P", "non-dropping-particle" : "", "parse-names" : false, "suffix" : "" }, { "dropping-particle" : "", "family" : "Enghoff", "given" : "S", "non-dropping-particle" : "", "parse-names" : false, "suffix" : "" }, { "dropping-particle" : "", "family" : "Townsend", "given" : "J", "non-dropping-particle" : "", "parse-names" : false, "suffix" : "" }, { "dropping-particle" : "", "family" : "Courchesne", "given" : "E", "non-dropping-particle" : "", "parse-names" : false, "suffix" : "" }, { "dropping-particle" : "", "family" : "Sejnowski", "given" : "T J", "non-dropping-particle" : "", "parse-names" : false, "suffix" : "" } ], "container-title" : "Science", "id" : "ITEM-1", "issue" : "January", "issued" : { "date-parts" : [ [ "2002" ] ] }, "page" : "690-694", "title" : "Dynamic Brain Sources of Visual Evoked Responses", "type" : "article-journal", "volume" : "295" }, "uris" : [ "http://www.mendeley.com/documents/?uuid=0d664ac4-8a6d-4db1-8d1a-edd14db542e6" ] }, { "id" : "ITEM-2", "itemData" : { "author" : [ { "dropping-particle" : "", "family" : "Makeig", "given" : "Scott", "non-dropping-particle" : "", "parse-names" : false, "suffix" : "" }, { "dropping-particle" : "", "family" : "Delorme", "given" : "Arnaud", "non-dropping-particle" : "", "parse-names" : false, "suffix" : "" }, { "dropping-particle" : "", "family" : "Westerfield", "given" : "Marissa", "non-dropping-particle" : "", "parse-names" : false, "suffix" : "" }, { "dropping-particle" : "", "family" : "Jung", "given" : "Tzyy-Ping", "non-dropping-particle" : "", "parse-names" : false, "suffix" : "" }, { "dropping-particle" : "", "family" : "Townsend", "given" : "Jeanne", "non-dropping-particle" : "", "parse-names" : false, "suffix" : "" }, { "dropping-particle" : "", "family" : "Courchesne", "given" : "Eric", "non-dropping-particle" : "", "parse-names" : false, "suffix" : "" }, { "dropping-particle" : "", "family" : "Sejnowski", "given" : "Terrence J", "non-dropping-particle" : "", "parse-names" : false, "suffix" : "" } ], "container-title" : "PloS Biology", "id" : "ITEM-2", "issue" : "6", "issued" : { "date-parts" : [ [ "2004" ] ] }, "page" : "0747-0762", "title" : "Electroencephalographic brain dynamics following manually responded visual targets", "type" : "article-journal", "volume" : "2" }, "uris" : [ "http://www.mendeley.com/documents/?uuid=8597476c-23dc-440b-b9a9-5b7dfbed9fc4" ] }, { "id" : "ITEM-3", "itemData" : { "DOI" : "10.1162/jocn.2009.21369", "ISBN" : "0898-929X", "ISSN" : "0898-929X", "PMID" : "19925183", "abstract" : "Maintaining spatial orientation while travelling requires integrating spatial information encountered from an egocentric viewpoint with accumulated information represented within egocentric and/or allocentric reference frames. Here, we report changes in high-density EEG activity during a virtual tunnel passage task in which subjects respond to a postnavigation homing challenge in distinctly different ways--either compatible with a continued experience of the virtual environment from a solely egocentric perspective or as if also maintaining their original entrance orientation, indicating use of a parallel allocentric reference frame. By spatially filtering the EEG data using independent component analysis, we found that these two equal subject subgroups exhibited differences in EEG power spectral modulation during tunnel passages in only a few cortical areas. During tunnel turns, stronger alpha blocking occurred only in or near right primary visual cortex of subjects whose homing responses were compatible with continued use of an egocentric reference frame. In contrast, approaching and during tunnel turns, subjects who responded in a way compatible with use of an allocentric reference frame exhibited stronger alpha blocking of occipito-temporal, bilateral inferior parietal, and retrosplenial cortical areas, all areas implicated by hemodynamic imaging and neuropsychological observation in construction and maintenance of an allocentric reference frame. We conclude that in these subjects, stronger activation of retrosplenial and related cortical areas during turns support a continuous translation of egocentrically experienced visual flow into an allocentric model of their virtual position and movement.", "author" : [ { "dropping-particle" : "", "family" : "Gramann", "given" : "Klaus", "non-dropping-particle" : "", "parse-names" : false, "suffix" : "" }, { "dropping-particle" : "", "family" : "Onton", "given" : "Julie", "non-dropping-particle" : "", "parse-names" : false, "suffix" : "" }, { "dropping-particle" : "", "family" : "Riccobon", "given" : "Davide", "non-dropping-particle" : "", "parse-names" : false, "suffix" : "" }, { "dropping-particle" : "", "family" : "Mueller", "given" : "Hermann J", "non-dropping-particle" : "", "parse-names" : false, "suffix" : "" }, { "dropping-particle" : "", "family" : "Bardins", "given" : "Stanislav", "non-dropping-particle" : "", "parse-names" : false, "suffix" : "" }, { "dropping-particle" : "", "family" : "Makeig", "given" : "Scott", "non-dropping-particle" : "", "parse-names" : false, "suffix" : "" } ], "container-title" : "Journal of Cognitive Neuroscience", "id" : "ITEM-3", "issue" : "12", "issued" : { "date-parts" : [ [ "2010" ] ] }, "page" : "2836-2849", "title" : "Human brain dynamics accompanying use of egocentric and allocentric reference frames during navigation.", "type" : "article-journal", "volume" : "22" }, "uris" : [ "http://www.mendeley.com/documents/?uuid=65c3bf9b-29af-428c-b948-bc49e1c41c8c" ] }, { "id" : "ITEM-4", "itemData" : { "DOI" : "10.1016/j.neuroimage.2006.11.004", "ISBN" : "1053-8119 (Print)\\r1053-8119 (Linking)", "ISSN" : "10538119", "PMID" : "17188898", "abstract" : "Detecting artifacts produced in EEG data by muscle activity, eye blinks and electrical noise is a common and important problem in EEG research. It is now widely accepted that independent component analysis (ICA) may be a useful tool for isolating artifacts and/or cortical processes from electroencephalographic (EEG) data. We present results of simulations demonstrating that ICA decomposition, here tested using three popular ICA algorithms, Infomax, SOBI, and FastICA, can allow more sensitive automated detection of small non-brain artifacts than applying the same detection methods directly to the scalp channel data. We tested the upper bound performance of five methods for detecting various types of artifacts by separately optimizing and then applying them to artifact-free EEG data into which we had added simulated artifacts of several types, ranging in size from thirty times smaller (- 50??dB) to the size of the EEG data themselves (0??dB). Of the methods tested, those involving spectral thresholding were most sensitive. Except for muscle artifact detection where we found no gain of using ICA, all methods proved more sensitive when applied to the ICA-decomposed data than applied to the raw scalp data: the mean performance for ICA was higher and situated at about two standard deviations away from the performance distribution obtained on raw data. We note that ICA decomposition also allows simple subtraction of artifacts accounted for by single independent components, and/or separate and direct examination of the decomposed non-artifact processes themselves. ?? 2006 Elsevier Inc. All rights reserved.", "author" : [ { "dropping-particle" : "", "family" : "Delorme", "given" : "Arnaud", "non-dropping-particle" : "", "parse-names" : false, "suffix" : "" }, { "dropping-particle" : "", "family" : "Sejnowski", "given" : "Terrence", "non-dropping-particle" : "", "parse-names" : false, "suffix" : "" }, { "dropping-particle" : "", "family" : "Makeig", "given" : "Scott", "non-dropping-particle" : "", "parse-names" : false, "suffix" : "" } ], "container-title" : "NeuroImage", "id" : "ITEM-4", "issue" : "4", "issued" : { "date-parts" : [ [ "2007" ] ] }, "page" : "1443-1449", "title" : "Enhanced detection of artifacts in EEG data using higher-order statistics and independent component analysis", "type" : "article-journal", "volume" : "34" }, "uris" : [ "http://www.mendeley.com/documents/?uuid=b6416dcb-9120-4722-8a5a-03e807a70468" ] }, { "id" : "ITEM-5", "itemData" : { "DOI" : "10.1016/j.neuroimage.2005.04.014", "ISBN" : "1053-8119 (Print)\\r1053-8119 (Linking)", "ISSN" : "10538119", "PMID" : "15927487", "abstract" : "We show that during visual working memory, the electroencephalographic (EEG) process producing 5-7 Hz frontal midline theta (fm??) activity exhibits multiple spectral modes involving at least three frequency bands and a wide range of amplitudes. The process accounting for the fm?? increase during working memory was separated from 71-channel data by clustering on time/frequency transforms of components returned by independent component analysis (ICA). Dipole models of fm?? component scalp maps were consistent with their generation in or near dorsal anterior cingulate cortex. From trial to trial, theta power of fm?? components varied widely but correlated moderately with theta power in other frontal and left temporal processes. The weak mean increase in frontal midline theta power with increasing memory load, produced entirely by the fm?? components, largely reflected progressively stronger theta activity in a relatively small proportion of trials. During presentations of letter series to be memorized or ignored, fm?? components also exhibited 12-15 Hz low-beta activity that was stronger during memorized than during ignored letter trials, independent of letter duration. The same components produced a brief 3-Hz burst 500 ms after onset of the Probe letter following each letter sequence. A new decomposition method, log spectral ICA, applied to normalized log time/frequency transforms of fm?? component Memorize-letter trials, showed that their low-beta activity reflected harmonic energy in continuous, sharp-peaked theta wave trains as well as independent low-beta bursts. Possibly, the observed fm?? process variability may index dynamic adjustments in medial frontal cortex to trial-specific behavioral context and task demands. ?? 2005 Elsevier Inc. All rights reserved.", "author" : [ { "dropping-particle" : "", "family" : "Onton", "given" : "Julie", "non-dropping-particle" : "", "parse-names" : false, "suffix" : "" }, { "dropping-particle" : "", "family" : "Delorme", "given" : "Arnaud", "non-dropping-particle" : "", "parse-names" : false, "suffix" : "" }, { "dropping-particle" : "", "family" : "Makeig", "given" : "Scott", "non-dropping-particle" : "", "parse-names" : false, "suffix" : "" } ], "container-title" : "NeuroImage", "id" : "ITEM-5", "issue" : "2", "issued" : { "date-parts" : [ [ "2005" ] ] }, "page" : "341-356", "title" : "Frontal midline EEG dynamics during working memory", "type" : "article-journal", "volume" : "27" }, "uris" : [ "http://www.mendeley.com/documents/?uuid=79b49903-9afe-4737-bf32-fe1d596a476a" ] }, { "id" : "ITEM-6", "itemData" : { "DOI" : "10.1371/journal.pone.0072024", "ISSN" : "1932-6203", "PMID" : "23991030", "abstract" : "BACKGROUND: Constructivist theories propose that articulatory hypotheses about incoming phonetic targets may function to enhance perception by limiting the possibilities for sensory analysis. To provide evidence for this proposal, it is necessary to map ongoing, high-temporal resolution changes in sensorimotor activity (i.e., the sensorimotor \u03bc rhythm) to accurate speech and non-speech discrimination performance (i.e., correct trials.). METHODS: Sixteen participants (15 female and 1 male) were asked to passively listen to or actively identify speech and tone-sweeps in a two-force choice discrimination task while the electroencephalograph (EEG) was recorded from 32 channels. The stimuli were presented at signal-to-noise ratios (SNRs) in which discrimination accuracy was high (i.e., 80-100%) and low SNRs producing discrimination performance at chance. EEG data were decomposed using independent component analysis and clustered across participants using principle component methods in EEGLAB. RESULTS: ICA revealed left and right sensorimotor \u00b5 components for 14/16 and 13/16 participants respectively that were identified on the basis of scalp topography, spectral peaks, and localization to the precentral and postcentral gyri. Time-frequency analysis of left and right lateralized \u00b5 component clusters revealed significant (pFDR&lt;.05) suppression in the traditional beta frequency range (13-30 Hz) prior to, during, and following syllable discrimination trials. No significant differences from baseline were found for passive tasks. Tone conditions produced right \u00b5 beta suppression following stimulus onset only. For the left \u00b5, significant differences in the magnitude of beta suppression were found for correct speech discrimination trials relative to chance trials following stimulus offset. CONCLUSIONS: Findings are consistent with constructivist, internal model theories proposing that early forward motor models generate predictions about likely phonemic units that are then synthesized with incoming sensory cues during active as opposed to passive processing. Future directions and possible translational value for clinical populations in which sensorimotor integration may play a functional role are discussed.", "author" : [ { "dropping-particle" : "", "family" : "Bowers", "given" : "Andrew", "non-dropping-particle" : "", "parse-names" : false, "suffix" : "" }, { "dropping-particle" : "", "family" : "Saltuklaroglu", "given" : "Tim", "non-dropping-particle" : "", "parse-names" : false, "suffix" : "" }, { "dropping-particle" : "", "family" : "Harkrider", "given" : "Ashley", "non-dropping-particle" : "", "parse-names" : false, "suffix" : "" }, { "dropping-particle" : "", "family" : "Cuellar", "given" : "Megan", "non-dropping-particle" : "", "parse-names" : false, "suffix" : "" } ], "container-title" : "PLoS ONE", "id" : "ITEM-6", "issue" : "8", "issued" : { "date-parts" : [ [ "2013", "1" ] ] }, "page" : "e72024", "title" : "Suppression of the \u00b5 rhythm during speech and non-speech discrimination revealed by independent component analysis: implications for sensorimotor integration in speech processing.", "type" : "article-journal", "volume" : "8" }, "uris" : [ "http://www.mendeley.com/documents/?uuid=5d205029-f5c0-47b6-9455-ded50d117f54" ] }, { "id" : "ITEM-7", "itemData" : { "DOI" : "10.1371/journal.pone.0037665", "ISSN" : "1932-6203", "PMID" : "22666377", "abstract" : "Electroencephalogram (EEG)-based brain-computer interfaces (BCIs) often use spatial filters to improve signal-to-noise ratio of task-related EEG activities. To obtain robust spatial filters, large amounts of labeled data, which are often expensive and labor-intensive to obtain, need to be collected in a training procedure before online BCI control. Several studies have recently developed zero-training methods using a session-to-session scenario in order to alleviate this problem. To our knowledge, a state-to-state translation, which applies spatial filters derived from one state to another, has never been reported. This study proposes a state-to-state, zero-training method to construct spatial filters for extracting EEG changes induced by motor imagery. Independent component analysis (ICA) was separately applied to the multi-channel EEG in the resting and the motor imagery states to obtain motor-related spatial filters. The resultant spatial filters were then applied to single-trial EEG to differentiate left- and right-hand imagery movements. On a motor imagery dataset collected from nine subjects, comparable classification accuracies were obtained by using ICA-based spatial filters derived from the two states (motor imagery: 87.0%, resting: 85.9%), which were both significantly higher than the accuracy achieved by using monopolar scalp EEG data (80.4%). The proposed method considerably increases the practicality of BCI systems in real-world environments because it is less sensitive to electrode misalignment across different sessions or days and does not require annotated pilot data to derive spatial filters.", "author" : [ { "dropping-particle" : "", "family" : "Wang", "given" : "Yijun", "non-dropping-particle" : "", "parse-names" : false, "suffix" : "" }, { "dropping-particle" : "", "family" : "Wang", "given" : "Yu-Te", "non-dropping-particle" : "", "parse-names" : false, "suffix" : "" }, { "dropping-particle" : "", "family" : "Jung", "given" : "Tzyy-Ping", "non-dropping-particle" : "", "parse-names" : false, "suffix" : "" } ], "container-title" : "PLoS ONE", "id" : "ITEM-7", "issue" : "5", "issued" : { "date-parts" : [ [ "2012", "1" ] ] }, "page" : "e37665", "title" : "Translation of EEG spatial filters from resting to motor imagery using independent component analysis.", "type" : "article-journal", "volume" : "7" }, "uris" : [ "http://www.mendeley.com/documents/?uuid=9025b5ea-a3d3-4bda-a1c9-aed6a52c6ae0" ] } ], "mendeley" : { "formattedCitation" : "(Bowers, Saltuklaroglu, Harkrider, &amp; Cuellar, 2013; Delorme et al., 2007; Gramann et al., 2010; Makeig et al., 2002; Makeig, Delorme, et al., 2004; Onton, Delorme, &amp; Makeig, 2005; Wang, Wang, &amp; Jung, 2012)", "manualFormatting" : "(e.g. Bowers, Saltuklaroglu, Harkrider, &amp; Cuellar, 2013; Delorme et al., 2007; Gramann et al., 2010; Makeig et al., 2002, 2004; Onton, Delorme, &amp; Makeig, 2005; Wang, Wang, &amp; Jung, 2012)", "plainTextFormattedCitation" : "(Bowers, Saltuklaroglu, Harkrider, &amp; Cuellar, 2013; Delorme et al., 2007; Gramann et al., 2010; Makeig et al., 2002; Makeig, Delorme, et al., 2004; Onton, Delorme, &amp; Makeig, 2005; Wang, Wang, &amp; Jung, 2012)", "previouslyFormattedCitation" : "(Bowers, Saltuklaroglu, Harkrider, &amp; Cuellar, 2013; Delorme et al., 2007; Gramann et al., 2010; Makeig et al., 2002; Makeig, Delorme, et al., 2004; Onton, Delorme, &amp; Makeig, 2005; Wang, Wang, &amp; Jung, 2012)" }, "properties" : { "noteIndex" : 0 }, "schema" : "https://github.com/citation-style-language/schema/raw/master/csl-citation.json" }</w:instrText>
      </w:r>
      <w:r w:rsidRPr="00341B41">
        <w:fldChar w:fldCharType="separate"/>
      </w:r>
      <w:r w:rsidRPr="00341B41">
        <w:rPr>
          <w:noProof/>
        </w:rPr>
        <w:t xml:space="preserve">(e.g. Bowers, Saltuklaroglu, Harkrider, &amp; Cuellar, 2013; </w:t>
      </w:r>
      <w:r w:rsidRPr="00341B41">
        <w:rPr>
          <w:noProof/>
        </w:rPr>
        <w:lastRenderedPageBreak/>
        <w:t>Delorme et al., 2007; Gramann et al., 2010; Makeig et al., 2002, 2004; Onton, Delorme, &amp; Makeig, 2005; Wang, Wang, &amp; Jung, 2012)</w:t>
      </w:r>
      <w:r w:rsidRPr="00341B41">
        <w:fldChar w:fldCharType="end"/>
      </w:r>
      <w:r w:rsidRPr="00341B41">
        <w:t xml:space="preserve">. The advantage of using such an approach is that it allows for a clearer analysis of the distinct brain processes that occur during task performance. Applied to the research questions of this thesis, ICA can potentially be used to separate sensorimotor mu and posterior alpha into distinct components </w:t>
      </w:r>
      <w:r w:rsidRPr="00341B41">
        <w:fldChar w:fldCharType="begin" w:fldLock="1"/>
      </w:r>
      <w:r w:rsidRPr="00341B41">
        <w:instrText>ADDIN CSL_CITATION { "citationItems" : [ { "id" : "ITEM-1", "itemData" : { "author" : [ { "dropping-particle" : "", "family" : "Makeig", "given" : "Scott", "non-dropping-particle" : "", "parse-names" : false, "suffix" : "" }, { "dropping-particle" : "", "family" : "Delorme", "given" : "Arnaud", "non-dropping-particle" : "", "parse-names" : false, "suffix" : "" }, { "dropping-particle" : "", "family" : "Westerfield", "given" : "Marissa", "non-dropping-particle" : "", "parse-names" : false, "suffix" : "" }, { "dropping-particle" : "", "family" : "Jung", "given" : "Tzyy-Ping", "non-dropping-particle" : "", "parse-names" : false, "suffix" : "" }, { "dropping-particle" : "", "family" : "Townsend", "given" : "Jeanne", "non-dropping-particle" : "", "parse-names" : false, "suffix" : "" }, { "dropping-particle" : "", "family" : "Courchesne", "given" : "Eric", "non-dropping-particle" : "", "parse-names" : false, "suffix" : "" }, { "dropping-particle" : "", "family" : "Sejnowski", "given" : "Terrence J", "non-dropping-particle" : "", "parse-names" : false, "suffix" : "" } ], "container-title" : "PloS Biology", "id" : "ITEM-1", "issue" : "6", "issued" : { "date-parts" : [ [ "2004" ] ] }, "page" : "0747-0762", "title" : "Electroencephalographic brain dynamics following manually responded visual targets", "type" : "article-journal", "volume" : "2" }, "uris" : [ "http://www.mendeley.com/documents/?uuid=8597476c-23dc-440b-b9a9-5b7dfbed9fc4" ] } ], "mendeley" : { "formattedCitation" : "(Makeig, Delorme, et al., 2004)", "plainTextFormattedCitation" : "(Makeig, Delorme, et al., 2004)", "previouslyFormattedCitation" : "(Makeig, Delorme, et al., 2004)" }, "properties" : { "noteIndex" : 0 }, "schema" : "https://github.com/citation-style-language/schema/raw/master/csl-citation.json" }</w:instrText>
      </w:r>
      <w:r w:rsidRPr="00341B41">
        <w:fldChar w:fldCharType="separate"/>
      </w:r>
      <w:r w:rsidRPr="00341B41">
        <w:rPr>
          <w:noProof/>
        </w:rPr>
        <w:t>(Makeig, Delorme, et al., 2004)</w:t>
      </w:r>
      <w:r w:rsidRPr="00341B41">
        <w:fldChar w:fldCharType="end"/>
      </w:r>
      <w:r w:rsidRPr="00341B41">
        <w:t xml:space="preserve"> as th</w:t>
      </w:r>
      <w:r w:rsidR="000E595A" w:rsidRPr="00341B41">
        <w:t>ey are generated from distinct, independent brain sources</w:t>
      </w:r>
      <w:r w:rsidRPr="00341B41">
        <w:t xml:space="preserve">. Further analysis of component ERD could then be performed on the component corresponding to sensorimotor mu activity that will be free of contamination from activity originating in other cortical regions, allowing a more precise estimate of </w:t>
      </w:r>
      <w:r w:rsidR="007F22DE" w:rsidRPr="00341B41">
        <w:t>sensorimotor</w:t>
      </w:r>
      <w:r w:rsidRPr="00341B41">
        <w:t xml:space="preserve"> activity. Therefore, the aim of this Chapter was to use ICA to reanalyse the EEG data recorded in Chapter 3, in order to get a clearer understanding of the exact role of the </w:t>
      </w:r>
      <w:r w:rsidR="007F22DE" w:rsidRPr="00341B41">
        <w:t>sensorimotor system</w:t>
      </w:r>
      <w:r w:rsidRPr="00341B41">
        <w:t>, compared to attentional processes, in action observation and anticipation in experienced and less experienced athletes.</w:t>
      </w:r>
      <w:r w:rsidR="007F22DE" w:rsidRPr="00341B41">
        <w:t xml:space="preserve"> </w:t>
      </w:r>
    </w:p>
    <w:p w14:paraId="3E24B581" w14:textId="18497070" w:rsidR="008E4B4A" w:rsidRPr="00341B41" w:rsidRDefault="008E4B4A" w:rsidP="007F22DE">
      <w:pPr>
        <w:ind w:firstLine="720"/>
        <w:rPr>
          <w:rFonts w:cs="Times New Roman"/>
        </w:rPr>
      </w:pPr>
      <w:r w:rsidRPr="00341B41">
        <w:t xml:space="preserve">In Chapter 3, it was shown that mu and beta ERD were greater in the experienced players compared to less experienced novices in the observation period prior to anticipation. It was hypothesised that when the data were analysed using ICs derived from the raw EEG data that similar results would emerge. Specifically, in the observation period prior to anticipation, experienced players would show greater ERD in the </w:t>
      </w:r>
      <w:proofErr w:type="spellStart"/>
      <w:r w:rsidRPr="00341B41">
        <w:t>mu</w:t>
      </w:r>
      <w:proofErr w:type="spellEnd"/>
      <w:r w:rsidRPr="00341B41">
        <w:t xml:space="preserve"> and beta frequency bands in ICs reflecting sensorimotor activity, compared to less experienced players. As it is believed that differences in </w:t>
      </w:r>
      <w:r w:rsidR="0049645F" w:rsidRPr="00341B41">
        <w:t>sensorimotor</w:t>
      </w:r>
      <w:r w:rsidRPr="00341B41">
        <w:t xml:space="preserve"> activity are key in distinguishing experienced from less experienced participants, group differences in these frequency bands would only be seen in sensorimotor components, and not in ICs reflecting activity from other sources. As in Chapter 3, </w:t>
      </w:r>
      <w:r w:rsidRPr="00341B41">
        <w:rPr>
          <w:rFonts w:cs="Times New Roman"/>
        </w:rPr>
        <w:t xml:space="preserve">a second hypothesis was that group differences would arise </w:t>
      </w:r>
      <w:r w:rsidRPr="00341B41">
        <w:rPr>
          <w:rFonts w:cs="Times New Roman"/>
        </w:rPr>
        <w:lastRenderedPageBreak/>
        <w:t xml:space="preserve">differently in the low and high mu frequency band. As low mu is related to a general movement activity and allocating attentional resources to motion, both the experienced and less experienced groups were predicted to show ERD. In the high mu band, only the experienced group was predicted to show ERD because this activity is related to the access of movement-specific knowledge </w:t>
      </w:r>
      <w:r w:rsidRPr="00341B41">
        <w:rPr>
          <w:rFonts w:cs="Times New Roman"/>
        </w:rPr>
        <w:fldChar w:fldCharType="begin" w:fldLock="1"/>
      </w:r>
      <w:r w:rsidRPr="00341B41">
        <w:rPr>
          <w:rFonts w:cs="Times New Roman"/>
        </w:rPr>
        <w:instrText>ADDIN CSL_CITATION { "citationItems" : [ { "id" : "ITEM-1",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"ITEM-1",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"plainTextFormattedCitation" : "(Fumuro et al., 2015)", "previouslyFormattedCitation" : "(Fumuro et al., 2015)" }, "properties" : { "noteIndex" : 0 }, "schema" : "https://github.com/citation-style-language/schema/raw/master/csl-citation.json" }</w:instrText>
      </w:r>
      <w:r w:rsidRPr="00341B41">
        <w:rPr>
          <w:rFonts w:cs="Times New Roman"/>
        </w:rPr>
        <w:fldChar w:fldCharType="separate"/>
      </w:r>
      <w:r w:rsidRPr="00341B41">
        <w:rPr>
          <w:rFonts w:cs="Times New Roman"/>
          <w:noProof/>
        </w:rPr>
        <w:t>(Fumuro et al., 2015)</w:t>
      </w:r>
      <w:r w:rsidRPr="00341B41">
        <w:rPr>
          <w:rFonts w:cs="Times New Roman"/>
        </w:rPr>
        <w:fldChar w:fldCharType="end"/>
      </w:r>
      <w:r w:rsidRPr="00341B41">
        <w:rPr>
          <w:rFonts w:cs="Times New Roman"/>
        </w:rPr>
        <w:t xml:space="preserve"> which will be available to the experienced group but not to the novices. Finally, the use of ICA made it possible to investigate whether any other sources of brain activity diff</w:t>
      </w:r>
      <w:r w:rsidR="0049645F" w:rsidRPr="00341B41">
        <w:rPr>
          <w:rFonts w:cs="Times New Roman"/>
        </w:rPr>
        <w:t>er between players and novices.</w:t>
      </w:r>
      <w:r w:rsidR="003F1554" w:rsidRPr="00341B41">
        <w:rPr>
          <w:rFonts w:cs="Times New Roman"/>
        </w:rPr>
        <w:t xml:space="preserve"> As it has been suggested that the sensorimotor system players an important role in action understanding, it was hypothesised that group differences would only be seen in ICs relating to sensorimotor sources. </w:t>
      </w:r>
    </w:p>
    <w:p w14:paraId="6DEF818A" w14:textId="31DCF2A6" w:rsidR="003F1554" w:rsidRPr="00341B41" w:rsidRDefault="003F1554" w:rsidP="003F1554">
      <w:pPr>
        <w:pStyle w:val="Heading2"/>
      </w:pPr>
      <w:bookmarkStart w:id="82" w:name="_Toc486260880"/>
      <w:r w:rsidRPr="00341B41">
        <w:t>4.2.</w:t>
      </w:r>
      <w:r w:rsidRPr="00341B41">
        <w:tab/>
        <w:t>Method</w:t>
      </w:r>
      <w:bookmarkEnd w:id="82"/>
    </w:p>
    <w:p w14:paraId="546B4257" w14:textId="37FCA611" w:rsidR="003F1554" w:rsidRPr="00341B41" w:rsidRDefault="003F1554" w:rsidP="003F1554">
      <w:r w:rsidRPr="00341B41">
        <w:t>The data obtained in Chapter 3 was used for the analysis of this chapter.</w:t>
      </w:r>
    </w:p>
    <w:p w14:paraId="1DCC0C32" w14:textId="0EB8AF00" w:rsidR="003F1554" w:rsidRPr="00341B41" w:rsidRDefault="003F1554" w:rsidP="003F1554">
      <w:pPr>
        <w:pStyle w:val="Heading3"/>
      </w:pPr>
      <w:bookmarkStart w:id="83" w:name="_Toc486260881"/>
      <w:r w:rsidRPr="00341B41">
        <w:t>4.2.1.</w:t>
      </w:r>
      <w:r w:rsidRPr="00341B41">
        <w:tab/>
        <w:t>Independent component analysis</w:t>
      </w:r>
      <w:bookmarkEnd w:id="83"/>
    </w:p>
    <w:p w14:paraId="79B40085" w14:textId="77777777" w:rsidR="003F1554" w:rsidRPr="00341B41" w:rsidRDefault="003F1554" w:rsidP="003F1554">
      <w:r w:rsidRPr="00341B41">
        <w:t xml:space="preserve">The EEG data were decomposed into statistically maximally independent components (ICs) using the </w:t>
      </w:r>
      <w:proofErr w:type="spellStart"/>
      <w:r w:rsidRPr="00341B41">
        <w:t>infomax</w:t>
      </w:r>
      <w:proofErr w:type="spellEnd"/>
      <w:r w:rsidRPr="00341B41">
        <w:t xml:space="preserve"> algorithm in EEGLAB. The initial learning rate was set to 10E-4, and training was stopped when the learning rate fell below 10E-6. Following decomposition, an equivalent current dipole model was computed for each IC by using the DIPFIT </w:t>
      </w:r>
      <w:proofErr w:type="spellStart"/>
      <w:r w:rsidRPr="00341B41">
        <w:t>Autofit</w:t>
      </w:r>
      <w:proofErr w:type="spellEnd"/>
      <w:r w:rsidRPr="00341B41">
        <w:t xml:space="preserve"> routine in EEGLAB. Dipoles were localized within a three-shell boundary element model (BEM) of the Montreal Neurological Institute (MNI) standard brain. ICs that had a dipole with a residual variance smaller than 15% were selected for further analysis. This procedure led to an average of 18 components being selected per participant, and the </w:t>
      </w:r>
      <w:r w:rsidRPr="00341B41">
        <w:lastRenderedPageBreak/>
        <w:t xml:space="preserve">groups did not differ in terms of number of ICs being selected; </w:t>
      </w:r>
      <w:r w:rsidRPr="00341B41">
        <w:rPr>
          <w:i/>
        </w:rPr>
        <w:t xml:space="preserve">t </w:t>
      </w:r>
      <w:r w:rsidRPr="00341B41">
        <w:t xml:space="preserve">(35) = 0.51, </w:t>
      </w:r>
      <w:r w:rsidRPr="00341B41">
        <w:rPr>
          <w:i/>
        </w:rPr>
        <w:t xml:space="preserve">p </w:t>
      </w:r>
      <w:r w:rsidRPr="00341B41">
        <w:t xml:space="preserve">= .61, </w:t>
      </w:r>
      <w:r w:rsidRPr="00341B41">
        <w:rPr>
          <w:i/>
        </w:rPr>
        <w:t xml:space="preserve">d </w:t>
      </w:r>
      <w:r w:rsidRPr="00341B41">
        <w:t xml:space="preserve">= 0.17. (Skilled; M = 17.24, SD = 6.89; less experienced; M = 18.31, SD = 5.56). </w:t>
      </w:r>
    </w:p>
    <w:p w14:paraId="507E6F22" w14:textId="4D6418DF" w:rsidR="003F1554" w:rsidRPr="00341B41" w:rsidRDefault="003F1554" w:rsidP="003F1554">
      <w:pPr>
        <w:ind w:firstLine="720"/>
      </w:pPr>
      <w:r w:rsidRPr="00341B41">
        <w:t xml:space="preserve">In order to facilitate group level analyses, all selected ICs were clustered based on their scalp map, dipole location, power spectrum, and event related spectral perturbation (ERSP). Clustering was performed within EEGLAB using the K-means algorithm, which produced clusters with the greatest possible distinction by minimizing variability within and maximising variability between clusters. ICs with a distance larger than three standard deviations from the mean of any cluster centroid were removed from the analysis. A total of 10 clusters were created. The motivation for choosing 10 clusters was based on other studies that have investigated sensorimotor-related ICs </w:t>
      </w:r>
      <w:r w:rsidR="00876673" w:rsidRPr="00341B41">
        <w:fldChar w:fldCharType="begin" w:fldLock="1"/>
      </w:r>
      <w:r w:rsidR="00B636C5" w:rsidRPr="00341B41">
        <w:instrText>ADDIN CSL_CITATION { "citationItems" : [ { "id" : "ITEM-1", "itemData" : { "author" : [ { "dropping-particle" : "", "family" : "Makeig", "given" : "Scott", "non-dropping-particle" : "", "parse-names" : false, "suffix" : "" }, { "dropping-particle" : "", "family" : "Delorme", "given" : "Arnaud", "non-dropping-particle" : "", "parse-names" : false, "suffix" : "" }, { "dropping-particle" : "", "family" : "Westerfield", "given" : "Marissa", "non-dropping-particle" : "", "parse-names" : false, "suffix" : "" }, { "dropping-particle" : "", "family" : "Jung", "given" : "Tzyy-Ping", "non-dropping-particle" : "", "parse-names" : false, "suffix" : "" }, { "dropping-particle" : "", "family" : "Townsend", "given" : "Jeanne", "non-dropping-particle" : "", "parse-names" : false, "suffix" : "" }, { "dropping-particle" : "", "family" : "Courchesne", "given" : "Eric", "non-dropping-particle" : "", "parse-names" : false, "suffix" : "" }, { "dropping-particle" : "", "family" : "Sejnowski", "given" : "Terrence J", "non-dropping-particle" : "", "parse-names" : false, "suffix" : "" } ], "container-title" : "PloS Biology", "id" : "ITEM-1", "issue" : "6", "issued" : { "date-parts" : [ [ "2004" ] ] }, "page" : "0747-0762", "title" : "Electroencephalographic brain dynamics following manually responded visual targets", "type" : "article-journal", "volume" : "2" }, "uris" : [ "http://www.mendeley.com/documents/?uuid=8597476c-23dc-440b-b9a9-5b7dfbed9fc4" ] } ], "mendeley" : { "formattedCitation" : "(Makeig, Delorme, et al., 2004)", "plainTextFormattedCitation" : "(Makeig, Delorme, et al., 2004)", "previouslyFormattedCitation" : "(Makeig, Delorme, et al., 2004)" }, "properties" : { "noteIndex" : 0 }, "schema" : "https://github.com/citation-style-language/schema/raw/master/csl-citation.json" }</w:instrText>
      </w:r>
      <w:r w:rsidR="00876673" w:rsidRPr="00341B41">
        <w:fldChar w:fldCharType="separate"/>
      </w:r>
      <w:r w:rsidR="00876673" w:rsidRPr="00341B41">
        <w:rPr>
          <w:noProof/>
        </w:rPr>
        <w:t>(Makeig, Delorme, et al., 2004)</w:t>
      </w:r>
      <w:r w:rsidR="00876673" w:rsidRPr="00341B41">
        <w:fldChar w:fldCharType="end"/>
      </w:r>
      <w:r w:rsidR="00876673" w:rsidRPr="00341B41">
        <w:t>.</w:t>
      </w:r>
      <w:r w:rsidRPr="00341B41">
        <w:t xml:space="preserve"> Each cluster was then inspected regarding the total number of participants contributing to a cluster, and the number of individual components that each participant contributed to a cluster. In cases where a participant contributed multiple ICs to one cluster, the IC whose dipole showed the lowest residual variance was selected. </w:t>
      </w:r>
    </w:p>
    <w:p w14:paraId="49C2325D" w14:textId="0286A4E8" w:rsidR="00A27856" w:rsidRPr="00341B41" w:rsidRDefault="00A27856" w:rsidP="00A27856">
      <w:pPr>
        <w:pStyle w:val="Heading3"/>
      </w:pPr>
      <w:bookmarkStart w:id="84" w:name="_Toc486260882"/>
      <w:r w:rsidRPr="00341B41">
        <w:t>4.2.2.</w:t>
      </w:r>
      <w:r w:rsidRPr="00341B41">
        <w:tab/>
        <w:t>EEG data analysis</w:t>
      </w:r>
      <w:bookmarkEnd w:id="84"/>
    </w:p>
    <w:p w14:paraId="3A12E923" w14:textId="3B313A23" w:rsidR="00A27856" w:rsidRPr="00341B41" w:rsidRDefault="00A27856" w:rsidP="00A27856">
      <w:r w:rsidRPr="00341B41">
        <w:t>The main analyses were conducted on IC clusters. ERSP was used as the measure of relative event-related power changes. Details can be found in section 3.2.6.</w:t>
      </w:r>
    </w:p>
    <w:p w14:paraId="02710CCF" w14:textId="2E16B385" w:rsidR="00A27856" w:rsidRPr="00341B41" w:rsidRDefault="00A27856" w:rsidP="00A27856">
      <w:pPr>
        <w:pStyle w:val="Heading3"/>
      </w:pPr>
      <w:bookmarkStart w:id="85" w:name="_Toc486260883"/>
      <w:r w:rsidRPr="00341B41">
        <w:t>4.2.3.</w:t>
      </w:r>
      <w:r w:rsidRPr="00341B41">
        <w:tab/>
        <w:t>Statistical analysis</w:t>
      </w:r>
      <w:bookmarkEnd w:id="85"/>
    </w:p>
    <w:p w14:paraId="4DDCE3A9" w14:textId="37336177" w:rsidR="00A27856" w:rsidRPr="00341B41" w:rsidRDefault="00A27856" w:rsidP="00A27856">
      <w:r w:rsidRPr="00341B41">
        <w:t>See section 3.2.7.</w:t>
      </w:r>
    </w:p>
    <w:p w14:paraId="492EF19D" w14:textId="4BBDCCEA" w:rsidR="00A27856" w:rsidRPr="00341B41" w:rsidRDefault="00A27856" w:rsidP="00A27856">
      <w:pPr>
        <w:pStyle w:val="Heading2"/>
      </w:pPr>
      <w:bookmarkStart w:id="86" w:name="_Toc486260884"/>
      <w:r w:rsidRPr="00341B41">
        <w:lastRenderedPageBreak/>
        <w:t>4.3.</w:t>
      </w:r>
      <w:r w:rsidRPr="00341B41">
        <w:tab/>
        <w:t>Results</w:t>
      </w:r>
      <w:bookmarkEnd w:id="86"/>
    </w:p>
    <w:p w14:paraId="28F7F6A4" w14:textId="665C88B2" w:rsidR="00A27856" w:rsidRPr="00341B41" w:rsidRDefault="00A27856" w:rsidP="00A27856">
      <w:pPr>
        <w:pStyle w:val="Heading3"/>
      </w:pPr>
      <w:bookmarkStart w:id="87" w:name="_Toc486260885"/>
      <w:r w:rsidRPr="00341B41">
        <w:t>4.3.1.</w:t>
      </w:r>
      <w:r w:rsidRPr="00341B41">
        <w:tab/>
        <w:t>Component clustering</w:t>
      </w:r>
      <w:bookmarkEnd w:id="87"/>
    </w:p>
    <w:p w14:paraId="30A0A335" w14:textId="3513E887" w:rsidR="00A27856" w:rsidRPr="00341B41" w:rsidRDefault="00A27856" w:rsidP="00A27856">
      <w:r w:rsidRPr="00341B41">
        <w:t xml:space="preserve">From the 10 clusters computed, six were identified as reflecting clear brain processes, based upon the cluster properties (dipole location, scalp map, power spectrum, and ERSP). These clusters are displayed in </w:t>
      </w:r>
      <w:r w:rsidRPr="00341B41">
        <w:rPr>
          <w:b/>
        </w:rPr>
        <w:t>Figure 10</w:t>
      </w:r>
      <w:r w:rsidRPr="00341B41">
        <w:t xml:space="preserve">. Component dipole locations are summarised in </w:t>
      </w:r>
      <w:r w:rsidRPr="00341B41">
        <w:rPr>
          <w:b/>
        </w:rPr>
        <w:t xml:space="preserve">Table </w:t>
      </w:r>
      <w:r w:rsidR="002F588F" w:rsidRPr="00341B41">
        <w:rPr>
          <w:b/>
        </w:rPr>
        <w:t>6</w:t>
      </w:r>
      <w:r w:rsidRPr="00341B41">
        <w:t xml:space="preserve">. Sensorimotor clusters were identified based upon characteristic peaks in the power spectrum at ~10 and ~20 Hz. A distinct left and right sensorimotor cluster was found, and were distinguished by scalp maps showing projections to left and right central areas respectively. Four other clusters reflecting brain processes were found, with three components reflecting posterior/occipital alpha activity, identified by a clear ~10Hz peak in the power spectrum. The final cluster showed a frontal projection, with peaks in the power spectrum at ~4Hz and ~20Hz. </w:t>
      </w:r>
    </w:p>
    <w:p w14:paraId="22FE762E" w14:textId="386AAEC0" w:rsidR="002F1FF0" w:rsidRPr="00341B41" w:rsidRDefault="00A27856" w:rsidP="00A27856">
      <w:pPr>
        <w:ind w:firstLine="720"/>
        <w:sectPr w:rsidR="002F1FF0" w:rsidRPr="00341B41" w:rsidSect="00805FAB">
          <w:pgSz w:w="12240" w:h="15840"/>
          <w:pgMar w:top="1440" w:right="1138" w:bottom="1440" w:left="2275" w:header="720" w:footer="720" w:gutter="0"/>
          <w:cols w:space="720"/>
          <w:titlePg/>
          <w:docGrid w:linePitch="360"/>
        </w:sectPr>
      </w:pPr>
      <w:r w:rsidRPr="00341B41">
        <w:t xml:space="preserve">Of the four clusters not selected for further analysis, two reflected non-brain artefacts. These artefacts were judged based on the smoothly decreasing power spectrum and far frontal projection of the scalp map. The final two clusters showed scalp maps resembling sensorimotor activity, however the dipole locations did not support a sensorimotor source. As it was unclear what brain process these clusters were related to, they were not </w:t>
      </w:r>
      <w:r w:rsidR="000928D3" w:rsidRPr="00341B41">
        <w:t>analysed</w:t>
      </w:r>
      <w:r w:rsidRPr="00341B41">
        <w:t xml:space="preserve"> further.</w:t>
      </w:r>
    </w:p>
    <w:p w14:paraId="6F825853" w14:textId="77777777" w:rsidR="002F1FF0" w:rsidRPr="00341B41" w:rsidRDefault="002F1FF0" w:rsidP="002F1FF0">
      <w:bookmarkStart w:id="88" w:name="_Toc463276206"/>
      <w:r w:rsidRPr="00341B41">
        <w:rPr>
          <w:noProof/>
          <w:lang w:val="en-US"/>
        </w:rPr>
        <w:lastRenderedPageBreak/>
        <w:drawing>
          <wp:inline distT="0" distB="0" distL="0" distR="0" wp14:anchorId="3B6E5851" wp14:editId="133EE921">
            <wp:extent cx="5400040" cy="6537521"/>
            <wp:effectExtent l="0" t="0" r="10160" b="0"/>
            <wp:docPr id="10" name="Picture 10" descr="../../Desktop/ICA%20analysis%20figures/Cluster%20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CA%20analysis%20figures/Cluster%20location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6537521"/>
                    </a:xfrm>
                    <a:prstGeom prst="rect">
                      <a:avLst/>
                    </a:prstGeom>
                    <a:noFill/>
                    <a:ln>
                      <a:noFill/>
                    </a:ln>
                  </pic:spPr>
                </pic:pic>
              </a:graphicData>
            </a:graphic>
          </wp:inline>
        </w:drawing>
      </w:r>
      <w:bookmarkEnd w:id="88"/>
    </w:p>
    <w:p w14:paraId="6F767573" w14:textId="3D8E9E87" w:rsidR="00A27856" w:rsidRPr="00341B41" w:rsidRDefault="00A27856" w:rsidP="002F1FF0">
      <w:pPr>
        <w:pStyle w:val="Caption"/>
      </w:pPr>
      <w:r w:rsidRPr="00341B41">
        <w:t xml:space="preserve"> </w:t>
      </w:r>
      <w:bookmarkStart w:id="89" w:name="_Toc488400759"/>
      <w:r w:rsidR="002F1FF0" w:rsidRPr="00341B41">
        <w:t xml:space="preserve">Figure </w:t>
      </w:r>
      <w:r w:rsidR="002F1FF0" w:rsidRPr="00341B41">
        <w:fldChar w:fldCharType="begin"/>
      </w:r>
      <w:r w:rsidR="002F1FF0" w:rsidRPr="00341B41">
        <w:instrText xml:space="preserve"> SEQ Figure \* ARABIC </w:instrText>
      </w:r>
      <w:r w:rsidR="002F1FF0" w:rsidRPr="00341B41">
        <w:fldChar w:fldCharType="separate"/>
      </w:r>
      <w:r w:rsidR="004B6B2B" w:rsidRPr="00341B41">
        <w:rPr>
          <w:noProof/>
        </w:rPr>
        <w:t>10</w:t>
      </w:r>
      <w:r w:rsidR="002F1FF0" w:rsidRPr="00341B41">
        <w:fldChar w:fldCharType="end"/>
      </w:r>
      <w:r w:rsidR="002F1FF0" w:rsidRPr="00341B41">
        <w:t>. Dipole centroid location estimate for each independent component (IC) cluster within a three-shell boundary element model (BEM) of the Montreal Neurological Institute (MNI) standard brain</w:t>
      </w:r>
      <w:bookmarkEnd w:id="89"/>
    </w:p>
    <w:p w14:paraId="532B518D" w14:textId="77777777" w:rsidR="002F1FF0" w:rsidRPr="00341B41" w:rsidRDefault="002F1FF0" w:rsidP="002F1FF0">
      <w:pPr>
        <w:pStyle w:val="NoSpacing"/>
        <w:rPr>
          <w:i/>
          <w:color w:val="000000" w:themeColor="text1"/>
          <w:kern w:val="24"/>
        </w:rPr>
      </w:pPr>
      <w:r w:rsidRPr="00341B41">
        <w:rPr>
          <w:b/>
          <w:i/>
        </w:rPr>
        <w:t>A</w:t>
      </w:r>
      <w:r w:rsidRPr="00341B41">
        <w:rPr>
          <w:i/>
        </w:rPr>
        <w:t xml:space="preserve"> - The projection of the dipole’s electric field onto the scalp is shown in each scalp map. For each IC cluster, the number of participants (</w:t>
      </w:r>
      <w:proofErr w:type="spellStart"/>
      <w:r w:rsidRPr="00341B41">
        <w:rPr>
          <w:i/>
        </w:rPr>
        <w:t>Ss</w:t>
      </w:r>
      <w:proofErr w:type="spellEnd"/>
      <w:r w:rsidRPr="00341B41">
        <w:rPr>
          <w:i/>
        </w:rPr>
        <w:t>) contributing to the cluster, and the mean residual variance (res. var.) are displayed above each scalp map.</w:t>
      </w:r>
      <w:r w:rsidRPr="00341B41">
        <w:rPr>
          <w:i/>
          <w:color w:val="000000" w:themeColor="text1"/>
          <w:kern w:val="24"/>
        </w:rPr>
        <w:t xml:space="preserve"> </w:t>
      </w:r>
      <w:r w:rsidRPr="00341B41">
        <w:rPr>
          <w:b/>
          <w:i/>
          <w:color w:val="000000" w:themeColor="text1"/>
          <w:kern w:val="24"/>
        </w:rPr>
        <w:t>B</w:t>
      </w:r>
      <w:r w:rsidRPr="00341B41">
        <w:rPr>
          <w:i/>
          <w:color w:val="000000" w:themeColor="text1"/>
          <w:kern w:val="24"/>
        </w:rPr>
        <w:t xml:space="preserve"> – Scalp maps for the four IC clusters not selected for further analysis.</w:t>
      </w:r>
    </w:p>
    <w:p w14:paraId="236468FA" w14:textId="0D769FCB" w:rsidR="002F1FF0" w:rsidRPr="00341B41" w:rsidRDefault="002F1FF0" w:rsidP="002F1FF0">
      <w:pPr>
        <w:pStyle w:val="Caption"/>
      </w:pPr>
      <w:bookmarkStart w:id="90" w:name="_Toc486260922"/>
      <w:r w:rsidRPr="00341B41">
        <w:lastRenderedPageBreak/>
        <w:t xml:space="preserve">Table </w:t>
      </w:r>
      <w:r w:rsidRPr="00341B41">
        <w:fldChar w:fldCharType="begin"/>
      </w:r>
      <w:r w:rsidRPr="00341B41">
        <w:instrText xml:space="preserve"> SEQ Table \* ARABIC </w:instrText>
      </w:r>
      <w:r w:rsidRPr="00341B41">
        <w:fldChar w:fldCharType="separate"/>
      </w:r>
      <w:r w:rsidRPr="00341B41">
        <w:rPr>
          <w:noProof/>
        </w:rPr>
        <w:t>6</w:t>
      </w:r>
      <w:r w:rsidRPr="00341B41">
        <w:fldChar w:fldCharType="end"/>
      </w:r>
      <w:r w:rsidRPr="00341B41">
        <w:t xml:space="preserve">. </w:t>
      </w:r>
      <w:proofErr w:type="spellStart"/>
      <w:r w:rsidRPr="00341B41">
        <w:t>Talariach</w:t>
      </w:r>
      <w:proofErr w:type="spellEnd"/>
      <w:r w:rsidRPr="00341B41">
        <w:t xml:space="preserve"> co-ordinates and </w:t>
      </w:r>
      <w:proofErr w:type="spellStart"/>
      <w:r w:rsidRPr="00341B41">
        <w:t>Brodmann</w:t>
      </w:r>
      <w:proofErr w:type="spellEnd"/>
      <w:r w:rsidRPr="00341B41">
        <w:t xml:space="preserve"> area estimate</w:t>
      </w:r>
      <w:r w:rsidR="0095077A" w:rsidRPr="00341B41">
        <w:t>s</w:t>
      </w:r>
      <w:r w:rsidRPr="00341B41">
        <w:t xml:space="preserve"> for dipole centroid location for each component cluster analysed</w:t>
      </w:r>
      <w:bookmarkEnd w:id="90"/>
    </w:p>
    <w:tbl>
      <w:tblPr>
        <w:tblStyle w:val="TableGrid"/>
        <w:tblW w:w="7917" w:type="dxa"/>
        <w:tblInd w:w="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5"/>
        <w:gridCol w:w="997"/>
        <w:gridCol w:w="997"/>
        <w:gridCol w:w="997"/>
        <w:gridCol w:w="2131"/>
      </w:tblGrid>
      <w:tr w:rsidR="002F1FF0" w:rsidRPr="00341B41" w14:paraId="3EB8CC35" w14:textId="77777777" w:rsidTr="00617805">
        <w:trPr>
          <w:trHeight w:val="20"/>
        </w:trPr>
        <w:tc>
          <w:tcPr>
            <w:tcW w:w="0" w:type="auto"/>
            <w:tcBorders>
              <w:top w:val="single" w:sz="4" w:space="0" w:color="auto"/>
            </w:tcBorders>
          </w:tcPr>
          <w:p w14:paraId="0C5191EF" w14:textId="77777777" w:rsidR="002F1FF0" w:rsidRPr="00341B41" w:rsidRDefault="002F1FF0" w:rsidP="00617805">
            <w:pPr>
              <w:pStyle w:val="NoSpacing"/>
              <w:rPr>
                <w:rFonts w:ascii="Times New Roman" w:hAnsi="Times New Roman" w:cs="Times New Roman"/>
                <w:sz w:val="24"/>
                <w:szCs w:val="24"/>
              </w:rPr>
            </w:pPr>
          </w:p>
        </w:tc>
        <w:tc>
          <w:tcPr>
            <w:tcW w:w="0" w:type="auto"/>
            <w:gridSpan w:val="3"/>
            <w:tcBorders>
              <w:top w:val="single" w:sz="4" w:space="0" w:color="auto"/>
            </w:tcBorders>
          </w:tcPr>
          <w:p w14:paraId="305830B4" w14:textId="77777777" w:rsidR="002F1FF0" w:rsidRPr="00341B41" w:rsidRDefault="002F1FF0" w:rsidP="00617805">
            <w:pPr>
              <w:pStyle w:val="NoSpacing"/>
              <w:rPr>
                <w:rFonts w:ascii="Times New Roman" w:hAnsi="Times New Roman" w:cs="Times New Roman"/>
                <w:sz w:val="24"/>
                <w:szCs w:val="24"/>
              </w:rPr>
            </w:pPr>
            <w:proofErr w:type="spellStart"/>
            <w:r w:rsidRPr="00341B41">
              <w:rPr>
                <w:rFonts w:ascii="Times New Roman" w:hAnsi="Times New Roman" w:cs="Times New Roman"/>
                <w:sz w:val="24"/>
                <w:szCs w:val="24"/>
              </w:rPr>
              <w:t>Talariach</w:t>
            </w:r>
            <w:proofErr w:type="spellEnd"/>
            <w:r w:rsidRPr="00341B41">
              <w:rPr>
                <w:rFonts w:ascii="Times New Roman" w:hAnsi="Times New Roman" w:cs="Times New Roman"/>
                <w:sz w:val="24"/>
                <w:szCs w:val="24"/>
              </w:rPr>
              <w:t xml:space="preserve"> co-ordinates</w:t>
            </w:r>
          </w:p>
        </w:tc>
        <w:tc>
          <w:tcPr>
            <w:tcW w:w="0" w:type="auto"/>
            <w:tcBorders>
              <w:top w:val="single" w:sz="4" w:space="0" w:color="auto"/>
            </w:tcBorders>
          </w:tcPr>
          <w:p w14:paraId="425129AE" w14:textId="77777777" w:rsidR="002F1FF0" w:rsidRPr="00341B41" w:rsidRDefault="002F1FF0" w:rsidP="00617805">
            <w:pPr>
              <w:pStyle w:val="NoSpacing"/>
              <w:rPr>
                <w:rFonts w:ascii="Times New Roman" w:hAnsi="Times New Roman" w:cs="Times New Roman"/>
                <w:sz w:val="24"/>
                <w:szCs w:val="24"/>
              </w:rPr>
            </w:pPr>
          </w:p>
        </w:tc>
      </w:tr>
      <w:tr w:rsidR="002F1FF0" w:rsidRPr="00341B41" w14:paraId="72F88F77" w14:textId="77777777" w:rsidTr="00617805">
        <w:trPr>
          <w:trHeight w:val="20"/>
        </w:trPr>
        <w:tc>
          <w:tcPr>
            <w:tcW w:w="0" w:type="auto"/>
            <w:tcBorders>
              <w:bottom w:val="single" w:sz="4" w:space="0" w:color="auto"/>
            </w:tcBorders>
          </w:tcPr>
          <w:p w14:paraId="527ED87B"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Component cluster</w:t>
            </w:r>
          </w:p>
        </w:tc>
        <w:tc>
          <w:tcPr>
            <w:tcW w:w="0" w:type="auto"/>
            <w:tcBorders>
              <w:bottom w:val="single" w:sz="4" w:space="0" w:color="auto"/>
            </w:tcBorders>
          </w:tcPr>
          <w:p w14:paraId="6743CE9B"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X</w:t>
            </w:r>
          </w:p>
        </w:tc>
        <w:tc>
          <w:tcPr>
            <w:tcW w:w="0" w:type="auto"/>
            <w:tcBorders>
              <w:bottom w:val="single" w:sz="4" w:space="0" w:color="auto"/>
            </w:tcBorders>
          </w:tcPr>
          <w:p w14:paraId="2F5A0E0A"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Y</w:t>
            </w:r>
          </w:p>
        </w:tc>
        <w:tc>
          <w:tcPr>
            <w:tcW w:w="0" w:type="auto"/>
            <w:tcBorders>
              <w:bottom w:val="single" w:sz="4" w:space="0" w:color="auto"/>
            </w:tcBorders>
          </w:tcPr>
          <w:p w14:paraId="2CD96788"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Z</w:t>
            </w:r>
          </w:p>
        </w:tc>
        <w:tc>
          <w:tcPr>
            <w:tcW w:w="0" w:type="auto"/>
            <w:tcBorders>
              <w:bottom w:val="single" w:sz="4" w:space="0" w:color="auto"/>
            </w:tcBorders>
          </w:tcPr>
          <w:p w14:paraId="2B659457" w14:textId="77777777" w:rsidR="002F1FF0" w:rsidRPr="00341B41" w:rsidRDefault="002F1FF0" w:rsidP="00617805">
            <w:pPr>
              <w:pStyle w:val="NoSpacing"/>
              <w:rPr>
                <w:rFonts w:ascii="Times New Roman" w:hAnsi="Times New Roman" w:cs="Times New Roman"/>
                <w:sz w:val="24"/>
                <w:szCs w:val="24"/>
              </w:rPr>
            </w:pPr>
            <w:proofErr w:type="spellStart"/>
            <w:r w:rsidRPr="00341B41">
              <w:rPr>
                <w:rFonts w:ascii="Times New Roman" w:hAnsi="Times New Roman" w:cs="Times New Roman"/>
                <w:sz w:val="24"/>
                <w:szCs w:val="24"/>
              </w:rPr>
              <w:t>Brodmann</w:t>
            </w:r>
            <w:proofErr w:type="spellEnd"/>
            <w:r w:rsidRPr="00341B41">
              <w:rPr>
                <w:rFonts w:ascii="Times New Roman" w:hAnsi="Times New Roman" w:cs="Times New Roman"/>
                <w:sz w:val="24"/>
                <w:szCs w:val="24"/>
              </w:rPr>
              <w:t xml:space="preserve"> area</w:t>
            </w:r>
          </w:p>
        </w:tc>
      </w:tr>
      <w:tr w:rsidR="002F1FF0" w:rsidRPr="00341B41" w14:paraId="5440539F" w14:textId="77777777" w:rsidTr="00617805">
        <w:trPr>
          <w:trHeight w:val="20"/>
        </w:trPr>
        <w:tc>
          <w:tcPr>
            <w:tcW w:w="0" w:type="auto"/>
            <w:tcBorders>
              <w:top w:val="single" w:sz="4" w:space="0" w:color="auto"/>
            </w:tcBorders>
          </w:tcPr>
          <w:p w14:paraId="44A4BB78"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Left sensorimotor</w:t>
            </w:r>
          </w:p>
        </w:tc>
        <w:tc>
          <w:tcPr>
            <w:tcW w:w="0" w:type="auto"/>
            <w:tcBorders>
              <w:top w:val="single" w:sz="4" w:space="0" w:color="auto"/>
            </w:tcBorders>
          </w:tcPr>
          <w:p w14:paraId="7EB8D284"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-19</w:t>
            </w:r>
          </w:p>
        </w:tc>
        <w:tc>
          <w:tcPr>
            <w:tcW w:w="0" w:type="auto"/>
            <w:tcBorders>
              <w:top w:val="single" w:sz="4" w:space="0" w:color="auto"/>
            </w:tcBorders>
          </w:tcPr>
          <w:p w14:paraId="13710FB0"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-13</w:t>
            </w:r>
          </w:p>
        </w:tc>
        <w:tc>
          <w:tcPr>
            <w:tcW w:w="0" w:type="auto"/>
            <w:tcBorders>
              <w:top w:val="single" w:sz="4" w:space="0" w:color="auto"/>
            </w:tcBorders>
          </w:tcPr>
          <w:p w14:paraId="73737E9E"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53</w:t>
            </w:r>
          </w:p>
        </w:tc>
        <w:tc>
          <w:tcPr>
            <w:tcW w:w="0" w:type="auto"/>
            <w:tcBorders>
              <w:top w:val="single" w:sz="4" w:space="0" w:color="auto"/>
            </w:tcBorders>
          </w:tcPr>
          <w:p w14:paraId="30CD6FA1"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6</w:t>
            </w:r>
          </w:p>
        </w:tc>
      </w:tr>
      <w:tr w:rsidR="002F1FF0" w:rsidRPr="00341B41" w14:paraId="2464C24C" w14:textId="77777777" w:rsidTr="00617805">
        <w:trPr>
          <w:trHeight w:val="20"/>
        </w:trPr>
        <w:tc>
          <w:tcPr>
            <w:tcW w:w="0" w:type="auto"/>
          </w:tcPr>
          <w:p w14:paraId="42D4D653"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Right sensorimotor</w:t>
            </w:r>
          </w:p>
        </w:tc>
        <w:tc>
          <w:tcPr>
            <w:tcW w:w="0" w:type="auto"/>
          </w:tcPr>
          <w:p w14:paraId="7A2F06A4"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34</w:t>
            </w:r>
          </w:p>
        </w:tc>
        <w:tc>
          <w:tcPr>
            <w:tcW w:w="0" w:type="auto"/>
          </w:tcPr>
          <w:p w14:paraId="791EAF45"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0</w:t>
            </w:r>
          </w:p>
        </w:tc>
        <w:tc>
          <w:tcPr>
            <w:tcW w:w="0" w:type="auto"/>
          </w:tcPr>
          <w:p w14:paraId="2936E746"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47</w:t>
            </w:r>
          </w:p>
        </w:tc>
        <w:tc>
          <w:tcPr>
            <w:tcW w:w="0" w:type="auto"/>
          </w:tcPr>
          <w:p w14:paraId="3A532FFD"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6</w:t>
            </w:r>
          </w:p>
        </w:tc>
      </w:tr>
      <w:tr w:rsidR="002F1FF0" w:rsidRPr="00341B41" w14:paraId="78C716D3" w14:textId="77777777" w:rsidTr="00617805">
        <w:trPr>
          <w:trHeight w:val="20"/>
        </w:trPr>
        <w:tc>
          <w:tcPr>
            <w:tcW w:w="0" w:type="auto"/>
          </w:tcPr>
          <w:p w14:paraId="487E98BA"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Posterior alpha</w:t>
            </w:r>
          </w:p>
        </w:tc>
        <w:tc>
          <w:tcPr>
            <w:tcW w:w="0" w:type="auto"/>
          </w:tcPr>
          <w:p w14:paraId="3BB5FD79"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5</w:t>
            </w:r>
          </w:p>
        </w:tc>
        <w:tc>
          <w:tcPr>
            <w:tcW w:w="0" w:type="auto"/>
          </w:tcPr>
          <w:p w14:paraId="4FC9E5FF"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-61</w:t>
            </w:r>
          </w:p>
        </w:tc>
        <w:tc>
          <w:tcPr>
            <w:tcW w:w="0" w:type="auto"/>
          </w:tcPr>
          <w:p w14:paraId="0F8935B7"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27</w:t>
            </w:r>
          </w:p>
        </w:tc>
        <w:tc>
          <w:tcPr>
            <w:tcW w:w="0" w:type="auto"/>
          </w:tcPr>
          <w:p w14:paraId="1DDE6B4C"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31</w:t>
            </w:r>
          </w:p>
        </w:tc>
      </w:tr>
      <w:tr w:rsidR="002F1FF0" w:rsidRPr="00341B41" w14:paraId="21ADCB43" w14:textId="77777777" w:rsidTr="00617805">
        <w:trPr>
          <w:trHeight w:val="20"/>
        </w:trPr>
        <w:tc>
          <w:tcPr>
            <w:tcW w:w="0" w:type="auto"/>
          </w:tcPr>
          <w:p w14:paraId="08C3A327"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Left occipital alpha</w:t>
            </w:r>
          </w:p>
        </w:tc>
        <w:tc>
          <w:tcPr>
            <w:tcW w:w="0" w:type="auto"/>
          </w:tcPr>
          <w:p w14:paraId="5456C471"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-26</w:t>
            </w:r>
          </w:p>
        </w:tc>
        <w:tc>
          <w:tcPr>
            <w:tcW w:w="0" w:type="auto"/>
          </w:tcPr>
          <w:p w14:paraId="1FBB0283"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-78</w:t>
            </w:r>
          </w:p>
        </w:tc>
        <w:tc>
          <w:tcPr>
            <w:tcW w:w="0" w:type="auto"/>
          </w:tcPr>
          <w:p w14:paraId="645C1ECC"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-11</w:t>
            </w:r>
          </w:p>
        </w:tc>
        <w:tc>
          <w:tcPr>
            <w:tcW w:w="0" w:type="auto"/>
          </w:tcPr>
          <w:p w14:paraId="3D1675B1"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19</w:t>
            </w:r>
          </w:p>
        </w:tc>
      </w:tr>
      <w:tr w:rsidR="002F1FF0" w:rsidRPr="00341B41" w14:paraId="00C417AA" w14:textId="77777777" w:rsidTr="00617805">
        <w:trPr>
          <w:trHeight w:val="20"/>
        </w:trPr>
        <w:tc>
          <w:tcPr>
            <w:tcW w:w="0" w:type="auto"/>
          </w:tcPr>
          <w:p w14:paraId="235B9984"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Right occipital alpha</w:t>
            </w:r>
          </w:p>
        </w:tc>
        <w:tc>
          <w:tcPr>
            <w:tcW w:w="0" w:type="auto"/>
          </w:tcPr>
          <w:p w14:paraId="0C1D1E12"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26</w:t>
            </w:r>
          </w:p>
        </w:tc>
        <w:tc>
          <w:tcPr>
            <w:tcW w:w="0" w:type="auto"/>
          </w:tcPr>
          <w:p w14:paraId="54174618"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-79</w:t>
            </w:r>
          </w:p>
        </w:tc>
        <w:tc>
          <w:tcPr>
            <w:tcW w:w="0" w:type="auto"/>
          </w:tcPr>
          <w:p w14:paraId="1BE8F158"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-10</w:t>
            </w:r>
          </w:p>
        </w:tc>
        <w:tc>
          <w:tcPr>
            <w:tcW w:w="0" w:type="auto"/>
          </w:tcPr>
          <w:p w14:paraId="527F82A7"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18</w:t>
            </w:r>
          </w:p>
        </w:tc>
      </w:tr>
      <w:tr w:rsidR="002F1FF0" w:rsidRPr="00341B41" w14:paraId="2C2D5F81" w14:textId="77777777" w:rsidTr="00617805">
        <w:trPr>
          <w:trHeight w:val="20"/>
        </w:trPr>
        <w:tc>
          <w:tcPr>
            <w:tcW w:w="0" w:type="auto"/>
            <w:tcBorders>
              <w:bottom w:val="single" w:sz="4" w:space="0" w:color="auto"/>
            </w:tcBorders>
          </w:tcPr>
          <w:p w14:paraId="7DCC83CF"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Frontal</w:t>
            </w:r>
          </w:p>
        </w:tc>
        <w:tc>
          <w:tcPr>
            <w:tcW w:w="0" w:type="auto"/>
            <w:tcBorders>
              <w:bottom w:val="single" w:sz="4" w:space="0" w:color="auto"/>
            </w:tcBorders>
          </w:tcPr>
          <w:p w14:paraId="29E99F1A"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-12</w:t>
            </w:r>
          </w:p>
        </w:tc>
        <w:tc>
          <w:tcPr>
            <w:tcW w:w="0" w:type="auto"/>
            <w:tcBorders>
              <w:bottom w:val="single" w:sz="4" w:space="0" w:color="auto"/>
            </w:tcBorders>
          </w:tcPr>
          <w:p w14:paraId="0289740D"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30</w:t>
            </w:r>
          </w:p>
        </w:tc>
        <w:tc>
          <w:tcPr>
            <w:tcW w:w="0" w:type="auto"/>
            <w:tcBorders>
              <w:bottom w:val="single" w:sz="4" w:space="0" w:color="auto"/>
            </w:tcBorders>
          </w:tcPr>
          <w:p w14:paraId="6E35D4C3"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38</w:t>
            </w:r>
          </w:p>
        </w:tc>
        <w:tc>
          <w:tcPr>
            <w:tcW w:w="0" w:type="auto"/>
            <w:tcBorders>
              <w:bottom w:val="single" w:sz="4" w:space="0" w:color="auto"/>
            </w:tcBorders>
          </w:tcPr>
          <w:p w14:paraId="223025F8" w14:textId="77777777" w:rsidR="002F1FF0" w:rsidRPr="00341B41" w:rsidRDefault="002F1FF0" w:rsidP="00617805">
            <w:pPr>
              <w:pStyle w:val="NoSpacing"/>
              <w:rPr>
                <w:rFonts w:ascii="Times New Roman" w:hAnsi="Times New Roman" w:cs="Times New Roman"/>
                <w:sz w:val="24"/>
                <w:szCs w:val="24"/>
              </w:rPr>
            </w:pPr>
            <w:r w:rsidRPr="00341B41">
              <w:rPr>
                <w:rFonts w:ascii="Times New Roman" w:hAnsi="Times New Roman" w:cs="Times New Roman"/>
                <w:sz w:val="24"/>
                <w:szCs w:val="24"/>
              </w:rPr>
              <w:t>8</w:t>
            </w:r>
          </w:p>
        </w:tc>
      </w:tr>
    </w:tbl>
    <w:p w14:paraId="418B7842" w14:textId="77777777" w:rsidR="002F1FF0" w:rsidRPr="00341B41" w:rsidRDefault="002F1FF0" w:rsidP="002F1FF0"/>
    <w:p w14:paraId="2E84B4F7" w14:textId="2A68FAA6" w:rsidR="00A27856" w:rsidRPr="00341B41" w:rsidRDefault="00A27856" w:rsidP="00A27856">
      <w:pPr>
        <w:pStyle w:val="Heading3"/>
      </w:pPr>
      <w:bookmarkStart w:id="91" w:name="_Toc486260886"/>
      <w:r w:rsidRPr="00341B41">
        <w:t>4.3.2.</w:t>
      </w:r>
      <w:r w:rsidRPr="00341B41">
        <w:tab/>
        <w:t>EEG results</w:t>
      </w:r>
      <w:bookmarkEnd w:id="91"/>
    </w:p>
    <w:p w14:paraId="341F28B2" w14:textId="6D1F9D43" w:rsidR="00A27856" w:rsidRPr="00341B41" w:rsidRDefault="00A27856" w:rsidP="00A27856">
      <w:pPr>
        <w:pStyle w:val="Heading4"/>
      </w:pPr>
      <w:r w:rsidRPr="00341B41">
        <w:t xml:space="preserve">4.3.2.1.    Group differences during </w:t>
      </w:r>
      <w:r w:rsidR="00610538" w:rsidRPr="00341B41">
        <w:t>action observation</w:t>
      </w:r>
      <w:r w:rsidR="00A36A35" w:rsidRPr="00341B41">
        <w:t xml:space="preserve"> in the left and right sensorimotor clusters</w:t>
      </w:r>
    </w:p>
    <w:p w14:paraId="37D56252" w14:textId="00724013" w:rsidR="00610538" w:rsidRPr="00341B41" w:rsidRDefault="00610538" w:rsidP="00610538">
      <w:r w:rsidRPr="00341B41">
        <w:t xml:space="preserve">It was hypothesised that during action observation, greater ERD in sensorimotor areas would be found in the </w:t>
      </w:r>
      <w:r w:rsidR="00D14D69" w:rsidRPr="00341B41">
        <w:t>experienced</w:t>
      </w:r>
      <w:r w:rsidRPr="00341B41">
        <w:t xml:space="preserve"> group, compared to the </w:t>
      </w:r>
      <w:r w:rsidR="00D14D69" w:rsidRPr="00341B41">
        <w:t>less experienced</w:t>
      </w:r>
      <w:r w:rsidRPr="00341B41">
        <w:t xml:space="preserve"> group. Group differences in the two sensorimotor component clusters during action observation prior to anticipation were found. In the left sensorimotor cluster, bootstrapped significance tests showed that group differences arise relatively early in the epoch, with differences occurring approximately 100ms post-stimulus onset (</w:t>
      </w:r>
      <w:r w:rsidRPr="00341B41">
        <w:rPr>
          <w:b/>
        </w:rPr>
        <w:t>Figure 11</w:t>
      </w:r>
      <w:r w:rsidRPr="00341B41">
        <w:t>). In the right sensorimotor cluster, similar results were found, though group differences appeared to occur slightly later in the epoch</w:t>
      </w:r>
      <w:r w:rsidR="008E5B13" w:rsidRPr="00341B41">
        <w:t xml:space="preserve"> </w:t>
      </w:r>
      <w:r w:rsidRPr="00341B41">
        <w:t>(</w:t>
      </w:r>
      <w:r w:rsidRPr="00341B41">
        <w:rPr>
          <w:b/>
        </w:rPr>
        <w:t>Figure 12</w:t>
      </w:r>
      <w:r w:rsidRPr="00341B41">
        <w:t>).</w:t>
      </w:r>
    </w:p>
    <w:p w14:paraId="56E56DDC" w14:textId="7CE9CB14" w:rsidR="00610538" w:rsidRPr="00341B41" w:rsidRDefault="00610538" w:rsidP="00610538">
      <w:pPr>
        <w:ind w:firstLine="720"/>
      </w:pPr>
      <w:r w:rsidRPr="00341B41">
        <w:t xml:space="preserve">Across the whole epoch, mu ERD was greater in the experienced group. A two-way mixed ANOVA showed a significant main effect of group on mu ERD; </w:t>
      </w:r>
      <w:r w:rsidRPr="00341B41">
        <w:rPr>
          <w:i/>
        </w:rPr>
        <w:t xml:space="preserve">F </w:t>
      </w:r>
      <w:r w:rsidRPr="00341B41">
        <w:t xml:space="preserve">(1, 30) = 17.07, </w:t>
      </w:r>
      <w:r w:rsidRPr="00341B41">
        <w:rPr>
          <w:i/>
        </w:rPr>
        <w:t xml:space="preserve">p </w:t>
      </w:r>
      <w:r w:rsidRPr="00341B41">
        <w:t xml:space="preserve">&lt; .001, </w:t>
      </w:r>
      <w:r w:rsidRPr="00341B41">
        <w:rPr>
          <w:i/>
        </w:rPr>
        <w:t>np</w:t>
      </w:r>
      <w:r w:rsidRPr="00341B41">
        <w:rPr>
          <w:i/>
          <w:vertAlign w:val="superscript"/>
        </w:rPr>
        <w:t>2</w:t>
      </w:r>
      <w:r w:rsidRPr="00341B41">
        <w:t xml:space="preserve"> = .36. ERD was greater in the </w:t>
      </w:r>
      <w:r w:rsidR="000D5DF4" w:rsidRPr="00341B41">
        <w:t>experienced</w:t>
      </w:r>
      <w:r w:rsidRPr="00341B41">
        <w:t xml:space="preserve"> group (Left hemisphere; M = -2.46dB, 95% CI = -3.07dB – -1.85dB; right </w:t>
      </w:r>
      <w:bookmarkStart w:id="92" w:name="OLE_LINK1"/>
      <w:r w:rsidRPr="00341B41">
        <w:t>hemisphere</w:t>
      </w:r>
      <w:bookmarkEnd w:id="92"/>
      <w:r w:rsidRPr="00341B41">
        <w:t xml:space="preserve">; M = -1.11dB, 95%CI = -1.54dB – -0.68dB), compared to the </w:t>
      </w:r>
      <w:r w:rsidR="000D5DF4" w:rsidRPr="00341B41">
        <w:t>less experienced</w:t>
      </w:r>
      <w:r w:rsidRPr="00341B41">
        <w:t xml:space="preserve"> group (Left hemisphere; M = -0.68 dB, 95%CI </w:t>
      </w:r>
      <w:r w:rsidRPr="00341B41">
        <w:lastRenderedPageBreak/>
        <w:t xml:space="preserve">= -1.55dB – 0.19 dB; right hemisphere; M = 0.21 dB, 95%CI = -0.53dB – 0.13dB). There was also a significant main effect of hemisphere; </w:t>
      </w:r>
      <w:r w:rsidRPr="00341B41">
        <w:rPr>
          <w:i/>
        </w:rPr>
        <w:t xml:space="preserve">F </w:t>
      </w:r>
      <w:r w:rsidRPr="00341B41">
        <w:t xml:space="preserve">(1, 30) = 8.62, </w:t>
      </w:r>
      <w:r w:rsidRPr="00341B41">
        <w:rPr>
          <w:i/>
        </w:rPr>
        <w:t xml:space="preserve">p </w:t>
      </w:r>
      <w:r w:rsidRPr="00341B41">
        <w:t xml:space="preserve">&lt; .01, </w:t>
      </w:r>
      <w:r w:rsidRPr="00341B41">
        <w:rPr>
          <w:i/>
        </w:rPr>
        <w:t>np</w:t>
      </w:r>
      <w:r w:rsidRPr="00341B41">
        <w:rPr>
          <w:i/>
          <w:vertAlign w:val="superscript"/>
        </w:rPr>
        <w:t>2</w:t>
      </w:r>
      <w:r w:rsidRPr="00341B41">
        <w:rPr>
          <w:i/>
        </w:rPr>
        <w:t xml:space="preserve"> </w:t>
      </w:r>
      <w:r w:rsidRPr="00341B41">
        <w:t xml:space="preserve">= .22, with greater ERD found in the left (M = -1.67dB, 95%CI = -2.48dB – -1.29dB), compared to the right hemisphere (M = -0.49dB, 95%CI = -0.83dB – -0.15dB). The group x hemisphere interaction was not significant; </w:t>
      </w:r>
      <w:r w:rsidRPr="00341B41">
        <w:rPr>
          <w:i/>
        </w:rPr>
        <w:t xml:space="preserve">F </w:t>
      </w:r>
      <w:r w:rsidRPr="00341B41">
        <w:t xml:space="preserve">(1, 30) = 0.85, </w:t>
      </w:r>
      <w:r w:rsidRPr="00341B41">
        <w:rPr>
          <w:i/>
        </w:rPr>
        <w:t xml:space="preserve">p </w:t>
      </w:r>
      <w:r w:rsidRPr="00341B41">
        <w:t xml:space="preserve">= .37, </w:t>
      </w:r>
      <w:r w:rsidRPr="00341B41">
        <w:rPr>
          <w:i/>
        </w:rPr>
        <w:t>np</w:t>
      </w:r>
      <w:r w:rsidRPr="00341B41">
        <w:rPr>
          <w:i/>
          <w:vertAlign w:val="superscript"/>
        </w:rPr>
        <w:t>2</w:t>
      </w:r>
      <w:r w:rsidRPr="00341B41">
        <w:rPr>
          <w:i/>
        </w:rPr>
        <w:t xml:space="preserve"> </w:t>
      </w:r>
      <w:r w:rsidRPr="00341B41">
        <w:t>= .03. Compared to baseline, the experienced group showed a significant reduction in total mu power</w:t>
      </w:r>
      <w:r w:rsidR="001D0385" w:rsidRPr="00341B41">
        <w:t xml:space="preserve"> during the action observation period, left hemisphere</w:t>
      </w:r>
      <w:r w:rsidR="000A1754" w:rsidRPr="00341B41">
        <w:t xml:space="preserve">; </w:t>
      </w:r>
      <w:r w:rsidR="000A1754" w:rsidRPr="00341B41">
        <w:rPr>
          <w:i/>
        </w:rPr>
        <w:t xml:space="preserve">t </w:t>
      </w:r>
      <w:r w:rsidR="000A1754" w:rsidRPr="00341B41">
        <w:t xml:space="preserve">(16) = 4.98, </w:t>
      </w:r>
      <w:r w:rsidR="000A1754" w:rsidRPr="00341B41">
        <w:rPr>
          <w:i/>
        </w:rPr>
        <w:t xml:space="preserve">p </w:t>
      </w:r>
      <w:r w:rsidR="000A1754" w:rsidRPr="00341B41">
        <w:t xml:space="preserve">&lt; .001, right hemisphere; </w:t>
      </w:r>
      <w:r w:rsidR="000A1754" w:rsidRPr="00341B41">
        <w:rPr>
          <w:i/>
        </w:rPr>
        <w:t xml:space="preserve">t </w:t>
      </w:r>
      <w:r w:rsidR="000A1754" w:rsidRPr="00341B41">
        <w:t xml:space="preserve">(16) = 4.27, </w:t>
      </w:r>
      <w:r w:rsidR="000A1754" w:rsidRPr="00341B41">
        <w:rPr>
          <w:i/>
        </w:rPr>
        <w:t xml:space="preserve">p </w:t>
      </w:r>
      <w:r w:rsidR="000A1754" w:rsidRPr="00341B41">
        <w:t>= .001</w:t>
      </w:r>
      <w:r w:rsidRPr="00341B41">
        <w:t xml:space="preserve">. In the </w:t>
      </w:r>
      <w:r w:rsidR="009F3F27" w:rsidRPr="00341B41">
        <w:t>less experienced</w:t>
      </w:r>
      <w:r w:rsidRPr="00341B41">
        <w:t xml:space="preserve"> group, mu power did not change significantly from baseline during action observation</w:t>
      </w:r>
      <w:r w:rsidR="000A1754" w:rsidRPr="00341B41">
        <w:t xml:space="preserve"> in either the left hemisphere; </w:t>
      </w:r>
      <w:r w:rsidR="000A1754" w:rsidRPr="00341B41">
        <w:rPr>
          <w:i/>
        </w:rPr>
        <w:t xml:space="preserve">t </w:t>
      </w:r>
      <w:r w:rsidR="003E480F" w:rsidRPr="00341B41">
        <w:t>(16</w:t>
      </w:r>
      <w:r w:rsidR="000A1754" w:rsidRPr="00341B41">
        <w:t xml:space="preserve">) = 1.94, </w:t>
      </w:r>
      <w:r w:rsidR="000A1754" w:rsidRPr="00341B41">
        <w:rPr>
          <w:i/>
        </w:rPr>
        <w:t xml:space="preserve">p </w:t>
      </w:r>
      <w:r w:rsidR="000A1754" w:rsidRPr="00341B41">
        <w:t xml:space="preserve">= .07, or the right hemisphere; </w:t>
      </w:r>
      <w:r w:rsidR="000A1754" w:rsidRPr="00341B41">
        <w:rPr>
          <w:i/>
        </w:rPr>
        <w:t xml:space="preserve">t </w:t>
      </w:r>
      <w:r w:rsidR="003E480F" w:rsidRPr="00341B41">
        <w:t>(15</w:t>
      </w:r>
      <w:r w:rsidR="008575F3" w:rsidRPr="00341B41">
        <w:t xml:space="preserve">) = </w:t>
      </w:r>
      <w:r w:rsidR="000A1754" w:rsidRPr="00341B41">
        <w:t xml:space="preserve">2.04, </w:t>
      </w:r>
      <w:r w:rsidR="000A1754" w:rsidRPr="00341B41">
        <w:rPr>
          <w:i/>
        </w:rPr>
        <w:t xml:space="preserve">p </w:t>
      </w:r>
      <w:r w:rsidR="000A1754" w:rsidRPr="00341B41">
        <w:t>= .06</w:t>
      </w:r>
      <w:r w:rsidRPr="00341B41">
        <w:t xml:space="preserve">. </w:t>
      </w:r>
    </w:p>
    <w:p w14:paraId="54B34E98" w14:textId="48491FF2" w:rsidR="00610538" w:rsidRPr="00341B41" w:rsidRDefault="00610538" w:rsidP="00610538">
      <w:pPr>
        <w:ind w:firstLine="720"/>
      </w:pPr>
      <w:r w:rsidRPr="00341B41">
        <w:t xml:space="preserve">In the beta band, there was a significant main effect of group on beta ERD; </w:t>
      </w:r>
      <w:r w:rsidRPr="00341B41">
        <w:rPr>
          <w:i/>
        </w:rPr>
        <w:t xml:space="preserve">F </w:t>
      </w:r>
      <w:r w:rsidRPr="00341B41">
        <w:t xml:space="preserve">(1, 30) = 23.56, p &lt; .001, np2 = .44, with greater ERD in the </w:t>
      </w:r>
      <w:r w:rsidR="00F64EB7" w:rsidRPr="00341B41">
        <w:t>experienced</w:t>
      </w:r>
      <w:r w:rsidRPr="00341B41">
        <w:t xml:space="preserve"> group (Left hemisphere; M = -1.57 dB, 95%CI = -1.90dB – -1.24dB; right hemisphere; M = -1.01dB, 95%CI = -1.24dB – -0.78dB), compared to the </w:t>
      </w:r>
      <w:r w:rsidR="00F64EB7" w:rsidRPr="00341B41">
        <w:t>less experienced</w:t>
      </w:r>
      <w:r w:rsidRPr="00341B41">
        <w:t xml:space="preserve"> group (Left hemisphere; M = -0.71dB, 95%CI = -1.08dB – -0.34dB; right hemisphere; M = -0.18dB, 95%CI = -0.38dB – -0.02dB). The main effect of hemisphere was significant; F (1, 30) = 9.48, p &lt; .01, np2 = .24, with greater ERD in the left hemisphere (M = -1.20 dB, 95%CI = -1.53 dB – -0.86dB) compared to the right (M = -0.60 dB, 95%CI = -0.80 dB – -0.39dB). There was no significant interaction effect; F (1, 30) = 0.14, p = .72, np2 = .01. </w:t>
      </w:r>
      <w:r w:rsidR="003E480F" w:rsidRPr="00341B41">
        <w:t>The</w:t>
      </w:r>
      <w:r w:rsidRPr="00341B41">
        <w:t xml:space="preserve"> experienced</w:t>
      </w:r>
      <w:r w:rsidR="003E480F" w:rsidRPr="00341B41">
        <w:t xml:space="preserve"> group showed a significant reduction in total beta power during action observation compared to baseline in both the left hemisphere; </w:t>
      </w:r>
      <w:r w:rsidR="003E480F" w:rsidRPr="00341B41">
        <w:rPr>
          <w:i/>
        </w:rPr>
        <w:t xml:space="preserve">t </w:t>
      </w:r>
      <w:r w:rsidR="003E480F" w:rsidRPr="00341B41">
        <w:t xml:space="preserve">(16) = 6.97, </w:t>
      </w:r>
      <w:r w:rsidR="003E480F" w:rsidRPr="00341B41">
        <w:rPr>
          <w:i/>
        </w:rPr>
        <w:t xml:space="preserve">p </w:t>
      </w:r>
      <w:r w:rsidR="003E480F" w:rsidRPr="00341B41">
        <w:t xml:space="preserve">&lt; .001, and the right hemisphere; </w:t>
      </w:r>
      <w:r w:rsidR="003E480F" w:rsidRPr="00341B41">
        <w:rPr>
          <w:i/>
        </w:rPr>
        <w:t xml:space="preserve">t </w:t>
      </w:r>
      <w:r w:rsidR="003E480F" w:rsidRPr="00341B41">
        <w:t xml:space="preserve">(16) = 6.31, </w:t>
      </w:r>
      <w:r w:rsidR="003E480F" w:rsidRPr="00341B41">
        <w:rPr>
          <w:i/>
        </w:rPr>
        <w:t xml:space="preserve">p </w:t>
      </w:r>
      <w:r w:rsidR="003E480F" w:rsidRPr="00341B41">
        <w:t xml:space="preserve">&lt; .001). The </w:t>
      </w:r>
      <w:r w:rsidR="00F64EB7" w:rsidRPr="00341B41">
        <w:t>less experienced</w:t>
      </w:r>
      <w:r w:rsidR="003E480F" w:rsidRPr="00341B41">
        <w:t xml:space="preserve"> group showed a significant power reduction during </w:t>
      </w:r>
      <w:r w:rsidR="003E480F" w:rsidRPr="00341B41">
        <w:lastRenderedPageBreak/>
        <w:t xml:space="preserve">action observation compared to baseline in the left hemisphere; </w:t>
      </w:r>
      <w:r w:rsidR="003E480F" w:rsidRPr="00341B41">
        <w:rPr>
          <w:i/>
        </w:rPr>
        <w:t xml:space="preserve">t </w:t>
      </w:r>
      <w:r w:rsidR="003E480F" w:rsidRPr="00341B41">
        <w:t xml:space="preserve">(16) =3.01, </w:t>
      </w:r>
      <w:r w:rsidR="003E480F" w:rsidRPr="00341B41">
        <w:rPr>
          <w:i/>
        </w:rPr>
        <w:t xml:space="preserve">p </w:t>
      </w:r>
      <w:r w:rsidR="003E480F" w:rsidRPr="00341B41">
        <w:t xml:space="preserve">= .009, but not the right hemisphere, </w:t>
      </w:r>
      <w:r w:rsidR="003E480F" w:rsidRPr="00341B41">
        <w:rPr>
          <w:i/>
        </w:rPr>
        <w:t xml:space="preserve">t </w:t>
      </w:r>
      <w:r w:rsidR="003E480F" w:rsidRPr="00341B41">
        <w:t xml:space="preserve">(15) = 0.65, </w:t>
      </w:r>
      <w:r w:rsidR="003E480F" w:rsidRPr="00341B41">
        <w:rPr>
          <w:i/>
        </w:rPr>
        <w:t xml:space="preserve">p </w:t>
      </w:r>
      <w:r w:rsidR="003E480F" w:rsidRPr="00341B41">
        <w:t>= .53</w:t>
      </w:r>
      <w:r w:rsidRPr="00341B41">
        <w:t>.</w:t>
      </w:r>
    </w:p>
    <w:p w14:paraId="161BBB95" w14:textId="2FCF81CF" w:rsidR="008832BC" w:rsidRPr="00341B41" w:rsidRDefault="008832BC" w:rsidP="008832BC">
      <w:r w:rsidRPr="00341B41">
        <w:rPr>
          <w:rFonts w:cs="Times New Roman"/>
          <w:noProof/>
          <w:lang w:val="en-US"/>
        </w:rPr>
        <w:drawing>
          <wp:inline distT="0" distB="0" distL="0" distR="0" wp14:anchorId="46B3AF4D" wp14:editId="7658F349">
            <wp:extent cx="5400040" cy="4047037"/>
            <wp:effectExtent l="0" t="0" r="10160" b="0"/>
            <wp:docPr id="11" name="Picture 11" descr="../../Desktop/ICA%20analysis%20figures/Left%20mu%20compon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CA%20analysis%20figures/Left%20mu%20component.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4047037"/>
                    </a:xfrm>
                    <a:prstGeom prst="rect">
                      <a:avLst/>
                    </a:prstGeom>
                    <a:noFill/>
                    <a:ln>
                      <a:noFill/>
                    </a:ln>
                  </pic:spPr>
                </pic:pic>
              </a:graphicData>
            </a:graphic>
          </wp:inline>
        </w:drawing>
      </w:r>
    </w:p>
    <w:p w14:paraId="4D7A4150" w14:textId="365C644D" w:rsidR="008832BC" w:rsidRPr="00341B41" w:rsidRDefault="008832BC" w:rsidP="008832BC">
      <w:pPr>
        <w:pStyle w:val="Caption"/>
      </w:pPr>
      <w:bookmarkStart w:id="93" w:name="_Toc488400760"/>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11</w:t>
      </w:r>
      <w:r w:rsidRPr="00341B41">
        <w:fldChar w:fldCharType="end"/>
      </w:r>
      <w:r w:rsidRPr="00341B41">
        <w:t>. Group differences in the left sensorimotor component cluster</w:t>
      </w:r>
      <w:bookmarkEnd w:id="93"/>
    </w:p>
    <w:p w14:paraId="732B0859" w14:textId="0A5D4647" w:rsidR="00B37F7C" w:rsidRPr="00341B41" w:rsidRDefault="008832BC" w:rsidP="008832BC">
      <w:pPr>
        <w:pStyle w:val="NoSpacing"/>
        <w:rPr>
          <w:i/>
        </w:rPr>
        <w:sectPr w:rsidR="00B37F7C" w:rsidRPr="00341B41" w:rsidSect="00805FAB">
          <w:pgSz w:w="12240" w:h="15840"/>
          <w:pgMar w:top="1440" w:right="1138" w:bottom="1440" w:left="2275" w:header="720" w:footer="720" w:gutter="0"/>
          <w:cols w:space="720"/>
          <w:titlePg/>
          <w:docGrid w:linePitch="360"/>
        </w:sectPr>
      </w:pPr>
      <w:r w:rsidRPr="00341B41">
        <w:rPr>
          <w:b/>
          <w:i/>
          <w:color w:val="000000" w:themeColor="text1"/>
          <w:kern w:val="24"/>
        </w:rPr>
        <w:t>A</w:t>
      </w:r>
      <w:r w:rsidRPr="00341B41">
        <w:rPr>
          <w:i/>
          <w:color w:val="000000" w:themeColor="text1"/>
          <w:kern w:val="24"/>
        </w:rPr>
        <w:t xml:space="preserve"> – </w:t>
      </w:r>
      <w:r w:rsidRPr="00341B41">
        <w:rPr>
          <w:i/>
        </w:rPr>
        <w:t xml:space="preserve">Cluster scalp map. </w:t>
      </w:r>
      <w:r w:rsidRPr="00341B41">
        <w:rPr>
          <w:b/>
          <w:i/>
        </w:rPr>
        <w:t>B</w:t>
      </w:r>
      <w:r w:rsidRPr="00341B41">
        <w:rPr>
          <w:i/>
        </w:rPr>
        <w:t xml:space="preserve"> – Dipole locations for each participant contributing to the cluster, with the centroid location displayed in red. </w:t>
      </w:r>
      <w:r w:rsidRPr="00341B41">
        <w:rPr>
          <w:b/>
          <w:i/>
        </w:rPr>
        <w:t>C</w:t>
      </w:r>
      <w:r w:rsidRPr="00341B41">
        <w:rPr>
          <w:i/>
        </w:rPr>
        <w:t xml:space="preserve"> </w:t>
      </w:r>
      <w:r w:rsidR="00F64EB7" w:rsidRPr="00341B41">
        <w:rPr>
          <w:i/>
        </w:rPr>
        <w:t xml:space="preserve">– </w:t>
      </w:r>
      <w:r w:rsidRPr="00341B41">
        <w:rPr>
          <w:i/>
        </w:rPr>
        <w:t xml:space="preserve">Component cluster power spectrum (4-50Hz). </w:t>
      </w:r>
      <w:r w:rsidRPr="00341B41">
        <w:rPr>
          <w:b/>
          <w:i/>
        </w:rPr>
        <w:t>D-E</w:t>
      </w:r>
      <w:r w:rsidRPr="00341B41">
        <w:rPr>
          <w:i/>
        </w:rPr>
        <w:t xml:space="preserve"> – ERSP time/frequency plots for experienced (</w:t>
      </w:r>
      <w:r w:rsidRPr="00341B41">
        <w:rPr>
          <w:b/>
          <w:i/>
        </w:rPr>
        <w:t>D</w:t>
      </w:r>
      <w:r w:rsidRPr="00341B41">
        <w:rPr>
          <w:i/>
        </w:rPr>
        <w:t>) and less experienced (</w:t>
      </w:r>
      <w:r w:rsidRPr="00341B41">
        <w:rPr>
          <w:b/>
          <w:i/>
        </w:rPr>
        <w:t>E</w:t>
      </w:r>
      <w:r w:rsidRPr="00341B41">
        <w:rPr>
          <w:i/>
        </w:rPr>
        <w:t xml:space="preserve">) groups. </w:t>
      </w:r>
      <w:r w:rsidRPr="00341B41">
        <w:rPr>
          <w:b/>
          <w:i/>
        </w:rPr>
        <w:t>F</w:t>
      </w:r>
      <w:r w:rsidRPr="00341B41">
        <w:rPr>
          <w:i/>
        </w:rPr>
        <w:t xml:space="preserve"> – Significant differences between experienced and less experienced group time/frequency plots at the p &lt; .01 level, based on bootstrapped statistics with multiple comparisons controlled for with the false discovery rate (FDR). </w:t>
      </w:r>
      <w:r w:rsidRPr="00341B41">
        <w:rPr>
          <w:rFonts w:cs="Times New Roman"/>
          <w:bCs/>
          <w:i/>
          <w:color w:val="1C1C1C"/>
        </w:rPr>
        <w:t xml:space="preserve">μ = mu, </w:t>
      </w:r>
      <w:r w:rsidRPr="00341B41">
        <w:rPr>
          <w:rFonts w:cs="Times New Roman"/>
          <w:i/>
          <w:color w:val="1A1A1A"/>
        </w:rPr>
        <w:t>β = beta</w:t>
      </w:r>
      <w:r w:rsidR="00F64EB7" w:rsidRPr="00341B41">
        <w:rPr>
          <w:rFonts w:cs="Times New Roman"/>
          <w:i/>
          <w:color w:val="1A1A1A"/>
        </w:rPr>
        <w:t>.</w:t>
      </w:r>
      <w:r w:rsidRPr="00341B41">
        <w:rPr>
          <w:i/>
        </w:rPr>
        <w:t xml:space="preserve"> </w:t>
      </w:r>
    </w:p>
    <w:p w14:paraId="367632E2" w14:textId="4AC2441A" w:rsidR="008832BC" w:rsidRPr="00341B41" w:rsidRDefault="00B37F7C" w:rsidP="008832BC">
      <w:pPr>
        <w:pStyle w:val="NoSpacing"/>
        <w:rPr>
          <w:i/>
        </w:rPr>
      </w:pPr>
      <w:r w:rsidRPr="00341B41">
        <w:rPr>
          <w:rFonts w:cs="Times New Roman"/>
          <w:noProof/>
          <w:lang w:val="en-US"/>
        </w:rPr>
        <w:lastRenderedPageBreak/>
        <w:drawing>
          <wp:inline distT="0" distB="0" distL="0" distR="0" wp14:anchorId="19BB75C2" wp14:editId="47A164EC">
            <wp:extent cx="5400040" cy="4035063"/>
            <wp:effectExtent l="0" t="0" r="10160" b="3810"/>
            <wp:docPr id="14" name="Picture 14" descr="../../Desktop/ICA%20analysis%20figures/Right%20mu%20compon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CA%20analysis%20figures/Right%20mu%20component.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4035063"/>
                    </a:xfrm>
                    <a:prstGeom prst="rect">
                      <a:avLst/>
                    </a:prstGeom>
                    <a:noFill/>
                    <a:ln>
                      <a:noFill/>
                    </a:ln>
                  </pic:spPr>
                </pic:pic>
              </a:graphicData>
            </a:graphic>
          </wp:inline>
        </w:drawing>
      </w:r>
    </w:p>
    <w:p w14:paraId="30697D74" w14:textId="77777777" w:rsidR="00B37F7C" w:rsidRPr="00341B41" w:rsidRDefault="00B37F7C" w:rsidP="00B37F7C">
      <w:pPr>
        <w:pStyle w:val="Caption"/>
      </w:pPr>
    </w:p>
    <w:p w14:paraId="15A99C96" w14:textId="5CB89643" w:rsidR="00B37F7C" w:rsidRPr="00341B41" w:rsidRDefault="00B37F7C" w:rsidP="00B37F7C">
      <w:pPr>
        <w:pStyle w:val="Caption"/>
      </w:pPr>
      <w:bookmarkStart w:id="94" w:name="_Toc488400761"/>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12</w:t>
      </w:r>
      <w:r w:rsidRPr="00341B41">
        <w:fldChar w:fldCharType="end"/>
      </w:r>
      <w:r w:rsidRPr="00341B41">
        <w:t>. Group differences in the right sensorimotor component cluster</w:t>
      </w:r>
      <w:bookmarkEnd w:id="94"/>
    </w:p>
    <w:p w14:paraId="314A36F6" w14:textId="5757E475" w:rsidR="00B37F7C" w:rsidRPr="00341B41" w:rsidRDefault="00B37F7C" w:rsidP="00B37F7C">
      <w:pPr>
        <w:pStyle w:val="NoSpacing"/>
        <w:rPr>
          <w:i/>
        </w:rPr>
      </w:pPr>
      <w:r w:rsidRPr="00341B41">
        <w:rPr>
          <w:b/>
          <w:i/>
          <w:color w:val="000000" w:themeColor="text1"/>
          <w:kern w:val="24"/>
        </w:rPr>
        <w:t>A</w:t>
      </w:r>
      <w:r w:rsidRPr="00341B41">
        <w:rPr>
          <w:i/>
          <w:color w:val="000000" w:themeColor="text1"/>
          <w:kern w:val="24"/>
        </w:rPr>
        <w:t xml:space="preserve"> – </w:t>
      </w:r>
      <w:r w:rsidRPr="00341B41">
        <w:rPr>
          <w:i/>
        </w:rPr>
        <w:t xml:space="preserve">Cluster scalp map. </w:t>
      </w:r>
      <w:r w:rsidRPr="00341B41">
        <w:rPr>
          <w:b/>
          <w:i/>
        </w:rPr>
        <w:t>B</w:t>
      </w:r>
      <w:r w:rsidRPr="00341B41">
        <w:rPr>
          <w:i/>
        </w:rPr>
        <w:t xml:space="preserve"> – Dipole locations for each participant contributing to the cluster, with the centroid location displayed in red. </w:t>
      </w:r>
      <w:r w:rsidRPr="00341B41">
        <w:rPr>
          <w:b/>
          <w:i/>
        </w:rPr>
        <w:t>C</w:t>
      </w:r>
      <w:r w:rsidR="00F64EB7" w:rsidRPr="00341B41">
        <w:rPr>
          <w:i/>
        </w:rPr>
        <w:t xml:space="preserve"> – </w:t>
      </w:r>
      <w:r w:rsidRPr="00341B41">
        <w:rPr>
          <w:i/>
        </w:rPr>
        <w:t xml:space="preserve">Component cluster power spectrum (4-50Hz). </w:t>
      </w:r>
      <w:r w:rsidRPr="00341B41">
        <w:rPr>
          <w:b/>
          <w:i/>
        </w:rPr>
        <w:t>D-E</w:t>
      </w:r>
      <w:r w:rsidRPr="00341B41">
        <w:rPr>
          <w:i/>
        </w:rPr>
        <w:t xml:space="preserve"> – ERSP time/frequency plots for experienced (</w:t>
      </w:r>
      <w:r w:rsidRPr="00341B41">
        <w:rPr>
          <w:b/>
          <w:i/>
        </w:rPr>
        <w:t>D</w:t>
      </w:r>
      <w:r w:rsidRPr="00341B41">
        <w:rPr>
          <w:i/>
        </w:rPr>
        <w:t>) and less experienced (</w:t>
      </w:r>
      <w:r w:rsidRPr="00341B41">
        <w:rPr>
          <w:b/>
          <w:i/>
        </w:rPr>
        <w:t>E</w:t>
      </w:r>
      <w:r w:rsidRPr="00341B41">
        <w:rPr>
          <w:i/>
        </w:rPr>
        <w:t xml:space="preserve">) groups. </w:t>
      </w:r>
      <w:r w:rsidRPr="00341B41">
        <w:rPr>
          <w:b/>
          <w:i/>
        </w:rPr>
        <w:t>F</w:t>
      </w:r>
      <w:r w:rsidRPr="00341B41">
        <w:rPr>
          <w:i/>
        </w:rPr>
        <w:t xml:space="preserve"> – Significant differences between experienced and less experienced group time/frequency plots at the p &lt; .01 level, based on bootstrapped statistics with multiple comparisons controlled for with the false discovery rate (FDR). </w:t>
      </w:r>
      <w:r w:rsidRPr="00341B41">
        <w:rPr>
          <w:rFonts w:cs="Times New Roman"/>
          <w:bCs/>
          <w:i/>
          <w:color w:val="1C1C1C"/>
        </w:rPr>
        <w:t xml:space="preserve">μ = mu, </w:t>
      </w:r>
      <w:r w:rsidRPr="00341B41">
        <w:rPr>
          <w:rFonts w:cs="Times New Roman"/>
          <w:i/>
          <w:color w:val="1A1A1A"/>
        </w:rPr>
        <w:t>β = beta</w:t>
      </w:r>
      <w:r w:rsidR="00F64EB7" w:rsidRPr="00341B41">
        <w:rPr>
          <w:rFonts w:cs="Times New Roman"/>
          <w:i/>
          <w:color w:val="1A1A1A"/>
        </w:rPr>
        <w:t>.</w:t>
      </w:r>
    </w:p>
    <w:p w14:paraId="11809F8A" w14:textId="77777777" w:rsidR="008832BC" w:rsidRPr="00341B41" w:rsidRDefault="008832BC" w:rsidP="008832BC"/>
    <w:p w14:paraId="4928F91F" w14:textId="5729EDC0" w:rsidR="005C0530" w:rsidRPr="00341B41" w:rsidRDefault="00610538" w:rsidP="005C0530">
      <w:pPr>
        <w:pStyle w:val="Heading4"/>
      </w:pPr>
      <w:r w:rsidRPr="00341B41">
        <w:t xml:space="preserve">4.3.2.2.    </w:t>
      </w:r>
      <w:r w:rsidR="005C0530" w:rsidRPr="00341B41">
        <w:t xml:space="preserve">Differential activity in low and high mu frequency bands for the left and right sensorimotor component cluster  </w:t>
      </w:r>
    </w:p>
    <w:p w14:paraId="2B0C27A0" w14:textId="6CEA380B" w:rsidR="00367A86" w:rsidRPr="00341B41" w:rsidRDefault="00367A86" w:rsidP="00367A86">
      <w:r w:rsidRPr="00341B41">
        <w:t>Expertise-related differences in ERD of low and high mu activity were hypothesised. Visual inspection of the ERSP time/frequency plots (</w:t>
      </w:r>
      <w:r w:rsidRPr="00341B41">
        <w:rPr>
          <w:b/>
        </w:rPr>
        <w:t xml:space="preserve">Figure 11D-E </w:t>
      </w:r>
      <w:r w:rsidRPr="00341B41">
        <w:t xml:space="preserve">and </w:t>
      </w:r>
      <w:r w:rsidRPr="00341B41">
        <w:rPr>
          <w:b/>
        </w:rPr>
        <w:t>Figure 12D-E</w:t>
      </w:r>
      <w:r w:rsidRPr="00341B41">
        <w:t xml:space="preserve">) suggested there to be differences in activity in the low (8-10Hz) and high (11-13Hz) mu </w:t>
      </w:r>
      <w:r w:rsidRPr="00341B41">
        <w:lastRenderedPageBreak/>
        <w:t xml:space="preserve">frequency range. These differences are shown in </w:t>
      </w:r>
      <w:r w:rsidRPr="00341B41">
        <w:rPr>
          <w:b/>
        </w:rPr>
        <w:t xml:space="preserve">Figure 13 </w:t>
      </w:r>
      <w:r w:rsidRPr="00341B41">
        <w:t xml:space="preserve">(left sensorimotor cluster) and </w:t>
      </w:r>
      <w:r w:rsidRPr="00341B41">
        <w:rPr>
          <w:b/>
        </w:rPr>
        <w:t xml:space="preserve">Figure 14 </w:t>
      </w:r>
      <w:r w:rsidRPr="00341B41">
        <w:t>(right sensorimotor cluster).</w:t>
      </w:r>
    </w:p>
    <w:p w14:paraId="61EFB930" w14:textId="51922B4B" w:rsidR="000E5280" w:rsidRPr="00341B41" w:rsidRDefault="00367A86" w:rsidP="000E5280">
      <w:pPr>
        <w:rPr>
          <w:rFonts w:cs="Times New Roman"/>
        </w:rPr>
      </w:pPr>
      <w:r w:rsidRPr="00341B41">
        <w:t xml:space="preserve">In the low mu band, </w:t>
      </w:r>
      <w:r w:rsidR="000E5280" w:rsidRPr="00341B41">
        <w:t>the magnitude</w:t>
      </w:r>
      <w:r w:rsidRPr="00341B41">
        <w:t xml:space="preserve"> </w:t>
      </w:r>
      <w:r w:rsidR="000E5280" w:rsidRPr="00341B41">
        <w:t>of ERD</w:t>
      </w:r>
      <w:r w:rsidRPr="00341B41">
        <w:t xml:space="preserve"> was greater in the experienced group. A two-way mixed ANOVA showed a significant main effect of group on low mu ERD across the whole epoch; </w:t>
      </w:r>
      <w:r w:rsidRPr="00341B41">
        <w:rPr>
          <w:i/>
        </w:rPr>
        <w:t xml:space="preserve">F </w:t>
      </w:r>
      <w:r w:rsidRPr="00341B41">
        <w:t xml:space="preserve">(1, 30) = 17.82, </w:t>
      </w:r>
      <w:r w:rsidRPr="00341B41">
        <w:rPr>
          <w:i/>
        </w:rPr>
        <w:t xml:space="preserve">p </w:t>
      </w:r>
      <w:r w:rsidRPr="00341B41">
        <w:t xml:space="preserve">&lt; .001, </w:t>
      </w:r>
      <w:r w:rsidRPr="00341B41">
        <w:rPr>
          <w:i/>
        </w:rPr>
        <w:t>np</w:t>
      </w:r>
      <w:r w:rsidRPr="00341B41">
        <w:rPr>
          <w:i/>
          <w:vertAlign w:val="superscript"/>
        </w:rPr>
        <w:t>2</w:t>
      </w:r>
      <w:r w:rsidRPr="00341B41">
        <w:rPr>
          <w:i/>
        </w:rPr>
        <w:t xml:space="preserve"> </w:t>
      </w:r>
      <w:r w:rsidRPr="00341B41">
        <w:t xml:space="preserve">= .37, with greater ERD in the </w:t>
      </w:r>
      <w:r w:rsidR="00F64EB7" w:rsidRPr="00341B41">
        <w:t>experienced</w:t>
      </w:r>
      <w:r w:rsidRPr="00341B41">
        <w:t xml:space="preserve"> group (Left hemisphere; M = -3.57 dB, 95% CI = -4.49 dB – -2.65 dB; right </w:t>
      </w:r>
      <w:bookmarkStart w:id="95" w:name="OLE_LINK3"/>
      <w:bookmarkStart w:id="96" w:name="OLE_LINK2"/>
      <w:r w:rsidRPr="00341B41">
        <w:t>hemisphere</w:t>
      </w:r>
      <w:bookmarkEnd w:id="95"/>
      <w:bookmarkEnd w:id="96"/>
      <w:r w:rsidRPr="00341B41">
        <w:t xml:space="preserve">; M = -1.70 dB, 95%CI = -2.35 dB – -1.05 dB), </w:t>
      </w:r>
      <w:r w:rsidRPr="00341B41">
        <w:rPr>
          <w:rFonts w:cs="Times New Roman"/>
        </w:rPr>
        <w:t xml:space="preserve">compared to the </w:t>
      </w:r>
      <w:r w:rsidR="00F64EB7" w:rsidRPr="00341B41">
        <w:rPr>
          <w:rFonts w:cs="Times New Roman"/>
        </w:rPr>
        <w:t>less experienced</w:t>
      </w:r>
      <w:r w:rsidRPr="00341B41">
        <w:rPr>
          <w:rFonts w:cs="Times New Roman"/>
        </w:rPr>
        <w:t xml:space="preserve"> group (Left hemisphere; M = -1.03 dB, 95%CI = 2.03 dB – -0.03 dB; right hemisphere; M = -0.04 dB, 95%CI = -0.44 dB – 0.36 dB). There was also a significant main effect of hemisphere; </w:t>
      </w:r>
      <w:r w:rsidRPr="00341B41">
        <w:rPr>
          <w:rFonts w:cs="Times New Roman"/>
          <w:i/>
        </w:rPr>
        <w:t xml:space="preserve">F </w:t>
      </w:r>
      <w:r w:rsidRPr="00341B41">
        <w:rPr>
          <w:rFonts w:cs="Times New Roman"/>
        </w:rPr>
        <w:t xml:space="preserve">(1, 30) = 10.29, </w:t>
      </w:r>
      <w:r w:rsidRPr="00341B41">
        <w:rPr>
          <w:rFonts w:cs="Times New Roman"/>
          <w:i/>
        </w:rPr>
        <w:t xml:space="preserve">p </w:t>
      </w:r>
      <w:r w:rsidRPr="00341B41">
        <w:rPr>
          <w:rFonts w:cs="Times New Roman"/>
        </w:rPr>
        <w:t xml:space="preserve">&lt; .01, </w:t>
      </w:r>
      <w:r w:rsidRPr="00341B41">
        <w:rPr>
          <w:rFonts w:cs="Times New Roman"/>
          <w:i/>
        </w:rPr>
        <w:t>np</w:t>
      </w:r>
      <w:r w:rsidRPr="00341B41">
        <w:rPr>
          <w:rFonts w:cs="Times New Roman"/>
          <w:i/>
          <w:vertAlign w:val="superscript"/>
        </w:rPr>
        <w:t>2</w:t>
      </w:r>
      <w:r w:rsidRPr="00341B41">
        <w:rPr>
          <w:rFonts w:cs="Times New Roman"/>
          <w:i/>
        </w:rPr>
        <w:t xml:space="preserve"> </w:t>
      </w:r>
      <w:r w:rsidRPr="00341B41">
        <w:rPr>
          <w:rFonts w:cs="Times New Roman"/>
        </w:rPr>
        <w:t xml:space="preserve">= .26, with greater ERD found in the left (M = -2.46 dB, 95%CI = -3.37 dB – -1.54 dB) compared to the right hemisphere (M = -0.92 dB, 95%CI = -1.38 dB – -0.45 dB). The group x hemisphere interaction was not significant; </w:t>
      </w:r>
      <w:r w:rsidRPr="00341B41">
        <w:rPr>
          <w:rFonts w:cs="Times New Roman"/>
          <w:i/>
        </w:rPr>
        <w:t xml:space="preserve">F </w:t>
      </w:r>
      <w:r w:rsidRPr="00341B41">
        <w:rPr>
          <w:rFonts w:cs="Times New Roman"/>
        </w:rPr>
        <w:t xml:space="preserve">(1, 30) = 1.81, </w:t>
      </w:r>
      <w:r w:rsidRPr="00341B41">
        <w:rPr>
          <w:rFonts w:cs="Times New Roman"/>
          <w:i/>
        </w:rPr>
        <w:t xml:space="preserve">p </w:t>
      </w:r>
      <w:r w:rsidRPr="00341B41">
        <w:rPr>
          <w:rFonts w:cs="Times New Roman"/>
        </w:rPr>
        <w:t xml:space="preserve">= .19, </w:t>
      </w:r>
      <w:r w:rsidRPr="00341B41">
        <w:rPr>
          <w:rFonts w:cs="Times New Roman"/>
          <w:i/>
        </w:rPr>
        <w:t>np</w:t>
      </w:r>
      <w:r w:rsidRPr="00341B41">
        <w:rPr>
          <w:rFonts w:cs="Times New Roman"/>
          <w:i/>
          <w:vertAlign w:val="superscript"/>
        </w:rPr>
        <w:t>2</w:t>
      </w:r>
      <w:r w:rsidRPr="00341B41">
        <w:rPr>
          <w:rFonts w:cs="Times New Roman"/>
        </w:rPr>
        <w:t xml:space="preserve"> = .06. </w:t>
      </w:r>
      <w:r w:rsidR="003E480F" w:rsidRPr="00341B41">
        <w:rPr>
          <w:rFonts w:cs="Times New Roman"/>
        </w:rPr>
        <w:t>The</w:t>
      </w:r>
      <w:r w:rsidRPr="00341B41">
        <w:rPr>
          <w:rFonts w:cs="Times New Roman"/>
        </w:rPr>
        <w:t xml:space="preserve"> experienced group showed a significant power reduction during action observation compared to baseline</w:t>
      </w:r>
      <w:r w:rsidR="003E480F" w:rsidRPr="00341B41">
        <w:rPr>
          <w:rFonts w:cs="Times New Roman"/>
        </w:rPr>
        <w:t xml:space="preserve"> in both the left hemisphere; </w:t>
      </w:r>
      <w:r w:rsidR="003E480F" w:rsidRPr="00341B41">
        <w:rPr>
          <w:rFonts w:cs="Times New Roman"/>
          <w:i/>
        </w:rPr>
        <w:t xml:space="preserve">t </w:t>
      </w:r>
      <w:r w:rsidR="003E480F" w:rsidRPr="00341B41">
        <w:rPr>
          <w:rFonts w:cs="Times New Roman"/>
        </w:rPr>
        <w:t xml:space="preserve">(16) = 5.05, </w:t>
      </w:r>
      <w:r w:rsidR="003E480F" w:rsidRPr="00341B41">
        <w:rPr>
          <w:rFonts w:cs="Times New Roman"/>
          <w:i/>
        </w:rPr>
        <w:t xml:space="preserve">p </w:t>
      </w:r>
      <w:r w:rsidR="003E480F" w:rsidRPr="00341B41">
        <w:rPr>
          <w:rFonts w:cs="Times New Roman"/>
        </w:rPr>
        <w:t xml:space="preserve">&lt; .001, and the right hemisphere; </w:t>
      </w:r>
      <w:r w:rsidR="003E480F" w:rsidRPr="00341B41">
        <w:rPr>
          <w:rFonts w:cs="Times New Roman"/>
          <w:i/>
        </w:rPr>
        <w:t xml:space="preserve">t </w:t>
      </w:r>
      <w:r w:rsidR="003E480F" w:rsidRPr="00341B41">
        <w:rPr>
          <w:rFonts w:cs="Times New Roman"/>
        </w:rPr>
        <w:t xml:space="preserve">(16) = 4.39, </w:t>
      </w:r>
      <w:r w:rsidR="003E480F" w:rsidRPr="00341B41">
        <w:rPr>
          <w:rFonts w:cs="Times New Roman"/>
          <w:i/>
        </w:rPr>
        <w:t xml:space="preserve">p </w:t>
      </w:r>
      <w:r w:rsidR="003E480F" w:rsidRPr="00341B41">
        <w:rPr>
          <w:rFonts w:cs="Times New Roman"/>
        </w:rPr>
        <w:t>= .001</w:t>
      </w:r>
      <w:r w:rsidRPr="00341B41">
        <w:rPr>
          <w:rFonts w:cs="Times New Roman"/>
        </w:rPr>
        <w:t xml:space="preserve"> This was </w:t>
      </w:r>
      <w:r w:rsidR="003E480F" w:rsidRPr="00341B41">
        <w:rPr>
          <w:rFonts w:cs="Times New Roman"/>
        </w:rPr>
        <w:t xml:space="preserve">only seen in the left hemisphere of the less experienced group; </w:t>
      </w:r>
      <w:r w:rsidR="003E480F" w:rsidRPr="00341B41">
        <w:rPr>
          <w:rFonts w:cs="Times New Roman"/>
          <w:i/>
        </w:rPr>
        <w:t xml:space="preserve">t </w:t>
      </w:r>
      <w:r w:rsidR="003E480F" w:rsidRPr="00341B41">
        <w:rPr>
          <w:rFonts w:cs="Times New Roman"/>
        </w:rPr>
        <w:t xml:space="preserve">(16) = 2.32, </w:t>
      </w:r>
      <w:r w:rsidR="003E480F" w:rsidRPr="00341B41">
        <w:rPr>
          <w:rFonts w:cs="Times New Roman"/>
          <w:i/>
        </w:rPr>
        <w:t xml:space="preserve">p </w:t>
      </w:r>
      <w:r w:rsidR="003E480F" w:rsidRPr="00341B41">
        <w:rPr>
          <w:rFonts w:cs="Times New Roman"/>
        </w:rPr>
        <w:t xml:space="preserve">= .03 (right hemisphere; </w:t>
      </w:r>
      <w:r w:rsidR="003E480F" w:rsidRPr="00341B41">
        <w:rPr>
          <w:rFonts w:cs="Times New Roman"/>
          <w:i/>
        </w:rPr>
        <w:t xml:space="preserve">t </w:t>
      </w:r>
      <w:r w:rsidR="008575F3" w:rsidRPr="00341B41">
        <w:rPr>
          <w:rFonts w:cs="Times New Roman"/>
        </w:rPr>
        <w:t xml:space="preserve">(15) = </w:t>
      </w:r>
      <w:r w:rsidR="003E480F" w:rsidRPr="00341B41">
        <w:rPr>
          <w:rFonts w:cs="Times New Roman"/>
        </w:rPr>
        <w:t xml:space="preserve">0.87, </w:t>
      </w:r>
      <w:r w:rsidR="003E480F" w:rsidRPr="00341B41">
        <w:rPr>
          <w:rFonts w:cs="Times New Roman"/>
          <w:i/>
        </w:rPr>
        <w:t xml:space="preserve">p </w:t>
      </w:r>
      <w:r w:rsidR="003E480F" w:rsidRPr="00341B41">
        <w:rPr>
          <w:rFonts w:cs="Times New Roman"/>
        </w:rPr>
        <w:t>= .40).</w:t>
      </w:r>
      <w:r w:rsidR="000E5280" w:rsidRPr="00341B41">
        <w:rPr>
          <w:rFonts w:cs="Times New Roman"/>
        </w:rPr>
        <w:t xml:space="preserve"> </w:t>
      </w:r>
    </w:p>
    <w:p w14:paraId="75285034" w14:textId="05C4119C" w:rsidR="004C4003" w:rsidRPr="00341B41" w:rsidRDefault="00F64EB7" w:rsidP="000E5280">
      <w:pPr>
        <w:ind w:firstLine="720"/>
        <w:sectPr w:rsidR="004C4003" w:rsidRPr="00341B41" w:rsidSect="00805FAB">
          <w:pgSz w:w="12240" w:h="15840"/>
          <w:pgMar w:top="1440" w:right="1138" w:bottom="1440" w:left="2275" w:header="720" w:footer="720" w:gutter="0"/>
          <w:cols w:space="720"/>
          <w:titlePg/>
          <w:docGrid w:linePitch="360"/>
        </w:sectPr>
      </w:pPr>
      <w:r w:rsidRPr="00341B41">
        <w:t>In the high mu (11-1</w:t>
      </w:r>
      <w:r w:rsidR="003E480F" w:rsidRPr="00341B41">
        <w:t>3Hz) band</w:t>
      </w:r>
      <w:r w:rsidR="00670FDA" w:rsidRPr="00341B41">
        <w:t>, a</w:t>
      </w:r>
      <w:r w:rsidR="000E5280" w:rsidRPr="00341B41">
        <w:t xml:space="preserve"> two-way mixed ANOVA showed there was a significant main effect of group; </w:t>
      </w:r>
      <w:r w:rsidR="000E5280" w:rsidRPr="00341B41">
        <w:rPr>
          <w:i/>
        </w:rPr>
        <w:t xml:space="preserve">F </w:t>
      </w:r>
      <w:r w:rsidR="000E5280" w:rsidRPr="00341B41">
        <w:t xml:space="preserve">(1, 30) = 9.98, </w:t>
      </w:r>
      <w:r w:rsidR="000E5280" w:rsidRPr="00341B41">
        <w:rPr>
          <w:i/>
        </w:rPr>
        <w:t xml:space="preserve">p </w:t>
      </w:r>
      <w:r w:rsidR="000E5280" w:rsidRPr="00341B41">
        <w:t xml:space="preserve">&lt; .01, </w:t>
      </w:r>
      <w:r w:rsidR="000E5280" w:rsidRPr="00341B41">
        <w:rPr>
          <w:i/>
        </w:rPr>
        <w:t>np</w:t>
      </w:r>
      <w:r w:rsidR="000E5280" w:rsidRPr="00341B41">
        <w:rPr>
          <w:i/>
          <w:vertAlign w:val="superscript"/>
        </w:rPr>
        <w:t>2</w:t>
      </w:r>
      <w:r w:rsidR="000E5280" w:rsidRPr="00341B41">
        <w:rPr>
          <w:i/>
        </w:rPr>
        <w:t xml:space="preserve"> </w:t>
      </w:r>
      <w:r w:rsidR="000E5280" w:rsidRPr="00341B41">
        <w:t xml:space="preserve">= .25, with greater ERD in the experienced group (Left hemisphere; M = -1.17 dB, 95%CI = -1.52 dB – -0.82 dB; right hemisphere; M = -0.43 dB, 95%CI = -0.69 dB – -0.17 dB), compared to the </w:t>
      </w:r>
      <w:r w:rsidR="002A34FC" w:rsidRPr="00341B41">
        <w:t>less experienced</w:t>
      </w:r>
      <w:r w:rsidR="000E5280" w:rsidRPr="00341B41">
        <w:t xml:space="preserve"> group who showed no evidence of ERD occurring (Left hemisphere; M = -0.27 dB, 95%CI =-1.00 dB – 0.46 dB; right hemisphere; M = 0.50 dB, 95%CI = 0.18 dB – 0.82 dB). The main effect of hemisphere was significant; </w:t>
      </w:r>
      <w:r w:rsidR="000E5280" w:rsidRPr="00341B41">
        <w:rPr>
          <w:i/>
        </w:rPr>
        <w:t xml:space="preserve">F </w:t>
      </w:r>
      <w:r w:rsidR="000E5280" w:rsidRPr="00341B41">
        <w:t xml:space="preserve">(1, 30) = 4.90, </w:t>
      </w:r>
      <w:r w:rsidR="000E5280" w:rsidRPr="00341B41">
        <w:rPr>
          <w:i/>
        </w:rPr>
        <w:t xml:space="preserve">p </w:t>
      </w:r>
      <w:r w:rsidR="000E5280" w:rsidRPr="00341B41">
        <w:t xml:space="preserve">&lt; .05, </w:t>
      </w:r>
      <w:r w:rsidR="000E5280" w:rsidRPr="00341B41">
        <w:rPr>
          <w:i/>
        </w:rPr>
        <w:t>np</w:t>
      </w:r>
      <w:r w:rsidR="000E5280" w:rsidRPr="00341B41">
        <w:rPr>
          <w:i/>
          <w:vertAlign w:val="superscript"/>
        </w:rPr>
        <w:t>2</w:t>
      </w:r>
      <w:r w:rsidR="000E5280" w:rsidRPr="00341B41">
        <w:rPr>
          <w:i/>
        </w:rPr>
        <w:t xml:space="preserve"> </w:t>
      </w:r>
      <w:r w:rsidR="000E5280" w:rsidRPr="00341B41">
        <w:t xml:space="preserve">= </w:t>
      </w:r>
      <w:r w:rsidR="000E5280" w:rsidRPr="00341B41">
        <w:lastRenderedPageBreak/>
        <w:t xml:space="preserve">.14, with greater ERD in the left hemisphere (M = -0.74 dB, 95%CI = -1.32 dB – -0.16 dB) compared to the right (M = 0.01 dB, 95%CI = -0.27 dB – 0.28 dB). There was no significant interaction effect; </w:t>
      </w:r>
      <w:r w:rsidR="000E5280" w:rsidRPr="00341B41">
        <w:rPr>
          <w:i/>
        </w:rPr>
        <w:t xml:space="preserve">F </w:t>
      </w:r>
      <w:r w:rsidR="000E5280" w:rsidRPr="00341B41">
        <w:t xml:space="preserve">(1, 30) = 0.02, </w:t>
      </w:r>
      <w:r w:rsidR="000E5280" w:rsidRPr="00341B41">
        <w:rPr>
          <w:i/>
        </w:rPr>
        <w:t xml:space="preserve">p </w:t>
      </w:r>
      <w:r w:rsidR="000E5280" w:rsidRPr="00341B41">
        <w:t xml:space="preserve">= .90, </w:t>
      </w:r>
      <w:r w:rsidR="000E5280" w:rsidRPr="00341B41">
        <w:rPr>
          <w:i/>
        </w:rPr>
        <w:t>np</w:t>
      </w:r>
      <w:r w:rsidR="000E5280" w:rsidRPr="00341B41">
        <w:rPr>
          <w:i/>
          <w:vertAlign w:val="superscript"/>
        </w:rPr>
        <w:t>2</w:t>
      </w:r>
      <w:r w:rsidR="000E5280" w:rsidRPr="00341B41">
        <w:rPr>
          <w:i/>
        </w:rPr>
        <w:t xml:space="preserve"> </w:t>
      </w:r>
      <w:r w:rsidR="000E5280" w:rsidRPr="00341B41">
        <w:t>&lt; .01.</w:t>
      </w:r>
      <w:r w:rsidR="00670FDA" w:rsidRPr="00341B41">
        <w:t xml:space="preserve"> The experienced group showed significant power reduction in the 11-13Hz range in the observation period compared to baseline in both hemispheres (left; </w:t>
      </w:r>
      <w:r w:rsidR="00670FDA" w:rsidRPr="00341B41">
        <w:rPr>
          <w:i/>
        </w:rPr>
        <w:t xml:space="preserve">t </w:t>
      </w:r>
      <w:r w:rsidR="00670FDA" w:rsidRPr="00341B41">
        <w:t xml:space="preserve">(16) = 3.91, </w:t>
      </w:r>
      <w:r w:rsidR="00670FDA" w:rsidRPr="00341B41">
        <w:rPr>
          <w:i/>
        </w:rPr>
        <w:t xml:space="preserve">p </w:t>
      </w:r>
      <w:r w:rsidR="00670FDA" w:rsidRPr="00341B41">
        <w:t xml:space="preserve">= .001, right; </w:t>
      </w:r>
      <w:r w:rsidR="00670FDA" w:rsidRPr="00341B41">
        <w:rPr>
          <w:i/>
        </w:rPr>
        <w:t xml:space="preserve">t </w:t>
      </w:r>
      <w:r w:rsidR="00670FDA" w:rsidRPr="00341B41">
        <w:t xml:space="preserve">(16) = 3.07, </w:t>
      </w:r>
      <w:r w:rsidR="00670FDA" w:rsidRPr="00341B41">
        <w:rPr>
          <w:i/>
        </w:rPr>
        <w:t xml:space="preserve">p </w:t>
      </w:r>
      <w:r w:rsidR="00670FDA" w:rsidRPr="00341B41">
        <w:t xml:space="preserve">= .008). In the less experienced group, there was a significant change in power during action observation compared to baseline in the right hemisphere; </w:t>
      </w:r>
      <w:r w:rsidR="00670FDA" w:rsidRPr="00341B41">
        <w:rPr>
          <w:i/>
        </w:rPr>
        <w:t xml:space="preserve">t </w:t>
      </w:r>
      <w:r w:rsidR="008575F3" w:rsidRPr="00341B41">
        <w:t xml:space="preserve">(15) = </w:t>
      </w:r>
      <w:r w:rsidR="00670FDA" w:rsidRPr="00341B41">
        <w:t xml:space="preserve">2.67, </w:t>
      </w:r>
      <w:r w:rsidR="00670FDA" w:rsidRPr="00341B41">
        <w:rPr>
          <w:i/>
        </w:rPr>
        <w:t xml:space="preserve">p </w:t>
      </w:r>
      <w:r w:rsidR="00670FDA" w:rsidRPr="00341B41">
        <w:t xml:space="preserve">= .02 (left hemisphere; </w:t>
      </w:r>
      <w:r w:rsidR="00670FDA" w:rsidRPr="00341B41">
        <w:rPr>
          <w:i/>
        </w:rPr>
        <w:t xml:space="preserve">t </w:t>
      </w:r>
      <w:r w:rsidR="00670FDA" w:rsidRPr="00341B41">
        <w:t xml:space="preserve">(16) = 1.38, </w:t>
      </w:r>
      <w:r w:rsidR="00670FDA" w:rsidRPr="00341B41">
        <w:rPr>
          <w:i/>
        </w:rPr>
        <w:t xml:space="preserve">p </w:t>
      </w:r>
      <w:r w:rsidR="00670FDA" w:rsidRPr="00341B41">
        <w:t>= .19).</w:t>
      </w:r>
    </w:p>
    <w:p w14:paraId="6E7E3EEF" w14:textId="777E3167" w:rsidR="000E5280" w:rsidRPr="00341B41" w:rsidRDefault="004C4003" w:rsidP="000E5280">
      <w:pPr>
        <w:ind w:firstLine="720"/>
      </w:pPr>
      <w:r w:rsidRPr="00341B41">
        <w:rPr>
          <w:rFonts w:cs="Times New Roman"/>
          <w:noProof/>
          <w:lang w:val="en-US"/>
        </w:rPr>
        <w:lastRenderedPageBreak/>
        <w:drawing>
          <wp:anchor distT="0" distB="0" distL="114300" distR="114300" simplePos="0" relativeHeight="251674624" behindDoc="0" locked="0" layoutInCell="1" allowOverlap="1" wp14:anchorId="01CC74E1" wp14:editId="0A0EAFEF">
            <wp:simplePos x="0" y="0"/>
            <wp:positionH relativeFrom="margin">
              <wp:align>center</wp:align>
            </wp:positionH>
            <wp:positionV relativeFrom="margin">
              <wp:align>top</wp:align>
            </wp:positionV>
            <wp:extent cx="5388388" cy="6827883"/>
            <wp:effectExtent l="0" t="0" r="0" b="5080"/>
            <wp:wrapSquare wrapText="bothSides"/>
            <wp:docPr id="15" name="Picture 15" descr="../Desktop/ICA%20analysis%20figures/Left%20mu%20averaged%20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CA%20analysis%20figures/Left%20mu%20averaged%20plot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8388" cy="6827883"/>
                    </a:xfrm>
                    <a:prstGeom prst="rect">
                      <a:avLst/>
                    </a:prstGeom>
                    <a:noFill/>
                    <a:ln>
                      <a:noFill/>
                    </a:ln>
                  </pic:spPr>
                </pic:pic>
              </a:graphicData>
            </a:graphic>
          </wp:anchor>
        </w:drawing>
      </w:r>
    </w:p>
    <w:p w14:paraId="7D1CA1F9" w14:textId="00AFBA1C" w:rsidR="004C4003" w:rsidRPr="00341B41" w:rsidRDefault="004C4003" w:rsidP="004C4003">
      <w:pPr>
        <w:pStyle w:val="Caption"/>
      </w:pPr>
      <w:bookmarkStart w:id="97" w:name="_Toc488400762"/>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13</w:t>
      </w:r>
      <w:r w:rsidRPr="00341B41">
        <w:fldChar w:fldCharType="end"/>
      </w:r>
      <w:r w:rsidRPr="00341B41">
        <w:t>. Relative power changes in mu and beta bands in the left sensorimotor component cluster</w:t>
      </w:r>
      <w:bookmarkEnd w:id="97"/>
    </w:p>
    <w:p w14:paraId="7B24BE37" w14:textId="109963F5" w:rsidR="00DD406F" w:rsidRPr="00341B41" w:rsidRDefault="004C4003" w:rsidP="004C4003">
      <w:pPr>
        <w:pStyle w:val="NoSpacing"/>
        <w:rPr>
          <w:i/>
        </w:rPr>
        <w:sectPr w:rsidR="00DD406F" w:rsidRPr="00341B41" w:rsidSect="00805FAB">
          <w:pgSz w:w="12240" w:h="15840"/>
          <w:pgMar w:top="1440" w:right="1138" w:bottom="1440" w:left="2275" w:header="720" w:footer="720" w:gutter="0"/>
          <w:cols w:space="720"/>
          <w:titlePg/>
          <w:docGrid w:linePitch="360"/>
        </w:sectPr>
      </w:pPr>
      <w:r w:rsidRPr="00341B41">
        <w:rPr>
          <w:b/>
          <w:i/>
        </w:rPr>
        <w:t>A-B</w:t>
      </w:r>
      <w:r w:rsidR="008F00CF" w:rsidRPr="00341B41">
        <w:rPr>
          <w:i/>
        </w:rPr>
        <w:t xml:space="preserve"> – </w:t>
      </w:r>
      <w:r w:rsidRPr="00341B41">
        <w:rPr>
          <w:i/>
        </w:rPr>
        <w:t>Relative power changes in the mu (8-13Hz) (</w:t>
      </w:r>
      <w:r w:rsidRPr="00341B41">
        <w:rPr>
          <w:b/>
          <w:i/>
        </w:rPr>
        <w:t>A</w:t>
      </w:r>
      <w:r w:rsidRPr="00341B41">
        <w:rPr>
          <w:i/>
        </w:rPr>
        <w:t>) and beta (15-25Hz) (</w:t>
      </w:r>
      <w:r w:rsidRPr="00341B41">
        <w:rPr>
          <w:b/>
          <w:i/>
        </w:rPr>
        <w:t>B</w:t>
      </w:r>
      <w:r w:rsidRPr="00341B41">
        <w:rPr>
          <w:i/>
        </w:rPr>
        <w:t xml:space="preserve">) frequency bands. Shaded areas represent 95% confidence intervals. </w:t>
      </w:r>
      <w:r w:rsidRPr="00341B41">
        <w:rPr>
          <w:b/>
          <w:i/>
        </w:rPr>
        <w:t>C-D</w:t>
      </w:r>
      <w:r w:rsidRPr="00341B41">
        <w:rPr>
          <w:i/>
        </w:rPr>
        <w:t xml:space="preserve"> Relative power changes </w:t>
      </w:r>
      <w:r w:rsidRPr="00341B41">
        <w:rPr>
          <w:i/>
        </w:rPr>
        <w:lastRenderedPageBreak/>
        <w:t>over the whole event period relative to baseline in the mu (8-13Hz) (</w:t>
      </w:r>
      <w:r w:rsidRPr="00341B41">
        <w:rPr>
          <w:b/>
          <w:i/>
        </w:rPr>
        <w:t>C</w:t>
      </w:r>
      <w:r w:rsidRPr="00341B41">
        <w:rPr>
          <w:i/>
        </w:rPr>
        <w:t>) and beta (15-25Hz) (</w:t>
      </w:r>
      <w:r w:rsidRPr="00341B41">
        <w:rPr>
          <w:b/>
          <w:i/>
        </w:rPr>
        <w:t>D</w:t>
      </w:r>
      <w:r w:rsidRPr="00341B41">
        <w:rPr>
          <w:i/>
        </w:rPr>
        <w:t xml:space="preserve">) frequency bands. Error bars represent 95% confidence intervals. </w:t>
      </w:r>
      <w:r w:rsidRPr="00341B41">
        <w:rPr>
          <w:b/>
          <w:i/>
        </w:rPr>
        <w:t>E-F</w:t>
      </w:r>
      <w:r w:rsidR="008F00CF" w:rsidRPr="00341B41">
        <w:rPr>
          <w:i/>
        </w:rPr>
        <w:t xml:space="preserve"> – </w:t>
      </w:r>
      <w:r w:rsidRPr="00341B41">
        <w:rPr>
          <w:i/>
        </w:rPr>
        <w:t>Relative power changes in the low mu (8-10Hz) (</w:t>
      </w:r>
      <w:r w:rsidRPr="00341B41">
        <w:rPr>
          <w:b/>
          <w:i/>
        </w:rPr>
        <w:t>E</w:t>
      </w:r>
      <w:r w:rsidRPr="00341B41">
        <w:rPr>
          <w:i/>
        </w:rPr>
        <w:t>) and high mu (11-13Hz) (</w:t>
      </w:r>
      <w:r w:rsidRPr="00341B41">
        <w:rPr>
          <w:b/>
          <w:i/>
        </w:rPr>
        <w:t>F</w:t>
      </w:r>
      <w:r w:rsidRPr="00341B41">
        <w:rPr>
          <w:i/>
        </w:rPr>
        <w:t xml:space="preserve">) frequency bands. Shaded areas represent 95% confidence intervals. </w:t>
      </w:r>
      <w:r w:rsidRPr="00341B41">
        <w:rPr>
          <w:b/>
          <w:i/>
        </w:rPr>
        <w:t>G-H</w:t>
      </w:r>
      <w:r w:rsidRPr="00341B41">
        <w:rPr>
          <w:i/>
        </w:rPr>
        <w:t xml:space="preserve"> </w:t>
      </w:r>
      <w:r w:rsidR="008F00CF" w:rsidRPr="00341B41">
        <w:rPr>
          <w:i/>
        </w:rPr>
        <w:t xml:space="preserve">– </w:t>
      </w:r>
      <w:r w:rsidRPr="00341B41">
        <w:rPr>
          <w:i/>
        </w:rPr>
        <w:t>Relative power changes over the whole event period relative to baseline in the low mu (8-10Hz) (</w:t>
      </w:r>
      <w:r w:rsidRPr="00341B41">
        <w:rPr>
          <w:b/>
          <w:i/>
        </w:rPr>
        <w:t>G</w:t>
      </w:r>
      <w:r w:rsidRPr="00341B41">
        <w:rPr>
          <w:i/>
        </w:rPr>
        <w:t>) and high mu (11-13Hz) (</w:t>
      </w:r>
      <w:r w:rsidRPr="00341B41">
        <w:rPr>
          <w:b/>
          <w:i/>
        </w:rPr>
        <w:t>H</w:t>
      </w:r>
      <w:r w:rsidRPr="00341B41">
        <w:rPr>
          <w:i/>
        </w:rPr>
        <w:t>) frequency bands. Error bars represent 95% confidence intervals. ** = p&lt;.01, * = p&lt;.05.</w:t>
      </w:r>
    </w:p>
    <w:p w14:paraId="7F37654C" w14:textId="56A72DCF" w:rsidR="004C4003" w:rsidRPr="00341B41" w:rsidRDefault="00DD406F" w:rsidP="004C4003">
      <w:pPr>
        <w:pStyle w:val="NoSpacing"/>
        <w:rPr>
          <w:i/>
        </w:rPr>
      </w:pPr>
      <w:r w:rsidRPr="00341B41">
        <w:rPr>
          <w:rFonts w:cs="Times New Roman"/>
          <w:noProof/>
          <w:lang w:val="en-US"/>
        </w:rPr>
        <w:lastRenderedPageBreak/>
        <w:drawing>
          <wp:inline distT="0" distB="0" distL="0" distR="0" wp14:anchorId="669537D0" wp14:editId="058B09B2">
            <wp:extent cx="5400040" cy="6830661"/>
            <wp:effectExtent l="0" t="0" r="10160" b="2540"/>
            <wp:docPr id="16" name="Picture 16" descr="../Desktop/ICA%20analysis%20figures/Right%20mu%20averaged%20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CA%20analysis%20figures/Right%20mu%20averaged%20plots.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6830661"/>
                    </a:xfrm>
                    <a:prstGeom prst="rect">
                      <a:avLst/>
                    </a:prstGeom>
                    <a:noFill/>
                    <a:ln>
                      <a:noFill/>
                    </a:ln>
                  </pic:spPr>
                </pic:pic>
              </a:graphicData>
            </a:graphic>
          </wp:inline>
        </w:drawing>
      </w:r>
    </w:p>
    <w:p w14:paraId="41FFB10E" w14:textId="77777777" w:rsidR="00DD406F" w:rsidRPr="00341B41" w:rsidRDefault="00DD406F" w:rsidP="004C4003">
      <w:pPr>
        <w:pStyle w:val="NoSpacing"/>
        <w:rPr>
          <w:i/>
        </w:rPr>
      </w:pPr>
    </w:p>
    <w:p w14:paraId="45B0FE96" w14:textId="1C1C1C68" w:rsidR="00733D38" w:rsidRPr="00341B41" w:rsidRDefault="00733D38" w:rsidP="00733D38">
      <w:pPr>
        <w:pStyle w:val="Caption"/>
      </w:pPr>
      <w:bookmarkStart w:id="98" w:name="_Toc488400763"/>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14</w:t>
      </w:r>
      <w:r w:rsidRPr="00341B41">
        <w:fldChar w:fldCharType="end"/>
      </w:r>
      <w:r w:rsidRPr="00341B41">
        <w:t>. Relative power changes in mu and beta bands in the right sensorimotor component cluster</w:t>
      </w:r>
      <w:bookmarkEnd w:id="98"/>
    </w:p>
    <w:p w14:paraId="56DD67FD" w14:textId="6F37A0E0" w:rsidR="00733D38" w:rsidRPr="00341B41" w:rsidRDefault="00733D38" w:rsidP="003F477B">
      <w:pPr>
        <w:pStyle w:val="NoSpacing"/>
        <w:rPr>
          <w:i/>
        </w:rPr>
      </w:pPr>
      <w:r w:rsidRPr="00341B41">
        <w:rPr>
          <w:b/>
          <w:i/>
        </w:rPr>
        <w:t>A-B</w:t>
      </w:r>
      <w:r w:rsidR="008F00CF" w:rsidRPr="00341B41">
        <w:rPr>
          <w:i/>
        </w:rPr>
        <w:t xml:space="preserve"> – </w:t>
      </w:r>
      <w:r w:rsidRPr="00341B41">
        <w:rPr>
          <w:i/>
        </w:rPr>
        <w:t>Relative power changes in the mu (8-13Hz) (</w:t>
      </w:r>
      <w:r w:rsidRPr="00341B41">
        <w:rPr>
          <w:b/>
          <w:i/>
        </w:rPr>
        <w:t>A</w:t>
      </w:r>
      <w:r w:rsidRPr="00341B41">
        <w:rPr>
          <w:i/>
        </w:rPr>
        <w:t>) and beta (15-25Hz) (</w:t>
      </w:r>
      <w:r w:rsidRPr="00341B41">
        <w:rPr>
          <w:b/>
          <w:i/>
        </w:rPr>
        <w:t>B</w:t>
      </w:r>
      <w:r w:rsidRPr="00341B41">
        <w:rPr>
          <w:i/>
        </w:rPr>
        <w:t xml:space="preserve">) frequency bands. Shaded areas represent 95% confidence intervals. </w:t>
      </w:r>
      <w:r w:rsidRPr="00341B41">
        <w:rPr>
          <w:b/>
          <w:i/>
        </w:rPr>
        <w:t>C-D</w:t>
      </w:r>
      <w:r w:rsidRPr="00341B41">
        <w:rPr>
          <w:i/>
        </w:rPr>
        <w:t xml:space="preserve"> </w:t>
      </w:r>
      <w:r w:rsidR="008F00CF" w:rsidRPr="00341B41">
        <w:rPr>
          <w:i/>
        </w:rPr>
        <w:t xml:space="preserve">– </w:t>
      </w:r>
      <w:r w:rsidRPr="00341B41">
        <w:rPr>
          <w:i/>
        </w:rPr>
        <w:t>Relative power changes over the whole event period relative to baseline in the mu (8-13Hz) (</w:t>
      </w:r>
      <w:r w:rsidRPr="00341B41">
        <w:rPr>
          <w:b/>
          <w:i/>
        </w:rPr>
        <w:t>C</w:t>
      </w:r>
      <w:r w:rsidRPr="00341B41">
        <w:rPr>
          <w:i/>
        </w:rPr>
        <w:t>) and beta (15-25Hz) (</w:t>
      </w:r>
      <w:r w:rsidRPr="00341B41">
        <w:rPr>
          <w:b/>
          <w:i/>
        </w:rPr>
        <w:t>D</w:t>
      </w:r>
      <w:r w:rsidRPr="00341B41">
        <w:rPr>
          <w:i/>
        </w:rPr>
        <w:t xml:space="preserve">) frequency bands. Error bars represent 95% confidence intervals. </w:t>
      </w:r>
      <w:r w:rsidRPr="00341B41">
        <w:rPr>
          <w:b/>
          <w:i/>
        </w:rPr>
        <w:t>E-F</w:t>
      </w:r>
      <w:r w:rsidR="008F00CF" w:rsidRPr="00341B41">
        <w:rPr>
          <w:i/>
        </w:rPr>
        <w:t xml:space="preserve"> – </w:t>
      </w:r>
      <w:r w:rsidRPr="00341B41">
        <w:rPr>
          <w:i/>
        </w:rPr>
        <w:t xml:space="preserve">Relative power </w:t>
      </w:r>
      <w:r w:rsidRPr="00341B41">
        <w:rPr>
          <w:i/>
        </w:rPr>
        <w:lastRenderedPageBreak/>
        <w:t>changes in the low mu (8-10Hz) (</w:t>
      </w:r>
      <w:r w:rsidRPr="00341B41">
        <w:rPr>
          <w:b/>
          <w:i/>
        </w:rPr>
        <w:t>E</w:t>
      </w:r>
      <w:r w:rsidRPr="00341B41">
        <w:rPr>
          <w:i/>
        </w:rPr>
        <w:t>) and high mu (11-13Hz) (</w:t>
      </w:r>
      <w:r w:rsidRPr="00341B41">
        <w:rPr>
          <w:b/>
          <w:i/>
        </w:rPr>
        <w:t>F</w:t>
      </w:r>
      <w:r w:rsidRPr="00341B41">
        <w:rPr>
          <w:i/>
        </w:rPr>
        <w:t xml:space="preserve">) frequency bands. Shaded areas represent 95% confidence intervals. </w:t>
      </w:r>
      <w:r w:rsidRPr="00341B41">
        <w:rPr>
          <w:b/>
          <w:i/>
        </w:rPr>
        <w:t>G-H</w:t>
      </w:r>
      <w:r w:rsidRPr="00341B41">
        <w:rPr>
          <w:i/>
        </w:rPr>
        <w:t xml:space="preserve"> </w:t>
      </w:r>
      <w:r w:rsidR="008F00CF" w:rsidRPr="00341B41">
        <w:rPr>
          <w:i/>
        </w:rPr>
        <w:t xml:space="preserve">– </w:t>
      </w:r>
      <w:r w:rsidRPr="00341B41">
        <w:rPr>
          <w:i/>
        </w:rPr>
        <w:t>Relative power changes over the whole event period relative to baseline in the low mu (8-10Hz) (</w:t>
      </w:r>
      <w:r w:rsidRPr="00341B41">
        <w:rPr>
          <w:b/>
          <w:i/>
        </w:rPr>
        <w:t>G</w:t>
      </w:r>
      <w:r w:rsidRPr="00341B41">
        <w:rPr>
          <w:i/>
        </w:rPr>
        <w:t>) and high mu (11-13Hz) (</w:t>
      </w:r>
      <w:r w:rsidRPr="00341B41">
        <w:rPr>
          <w:b/>
          <w:i/>
        </w:rPr>
        <w:t>H</w:t>
      </w:r>
      <w:r w:rsidRPr="00341B41">
        <w:rPr>
          <w:i/>
        </w:rPr>
        <w:t xml:space="preserve">) frequency bands. Error bars represent 95% confidence </w:t>
      </w:r>
      <w:proofErr w:type="gramStart"/>
      <w:r w:rsidRPr="00341B41">
        <w:rPr>
          <w:i/>
        </w:rPr>
        <w:t>intervals.*</w:t>
      </w:r>
      <w:proofErr w:type="gramEnd"/>
      <w:r w:rsidRPr="00341B41">
        <w:rPr>
          <w:i/>
        </w:rPr>
        <w:t>** = p&lt;.001, ** = p&lt;.01.</w:t>
      </w:r>
    </w:p>
    <w:p w14:paraId="0FF3D9D3" w14:textId="77777777" w:rsidR="003F477B" w:rsidRPr="00341B41" w:rsidRDefault="003F477B" w:rsidP="000E5280">
      <w:pPr>
        <w:pStyle w:val="Heading4"/>
        <w:rPr>
          <w:rFonts w:eastAsiaTheme="minorHAnsi" w:cstheme="minorBidi"/>
          <w:i w:val="0"/>
          <w:iCs w:val="0"/>
          <w:color w:val="auto"/>
        </w:rPr>
      </w:pPr>
    </w:p>
    <w:p w14:paraId="77941276" w14:textId="5845D59D" w:rsidR="005C0530" w:rsidRPr="00341B41" w:rsidRDefault="000E5280" w:rsidP="005C0530">
      <w:pPr>
        <w:pStyle w:val="Heading4"/>
      </w:pPr>
      <w:r w:rsidRPr="00341B41">
        <w:t>4.3.2.3.    Group differences in other component clusters</w:t>
      </w:r>
    </w:p>
    <w:p w14:paraId="4CCE313A" w14:textId="719AA7DE" w:rsidR="00133625" w:rsidRPr="00341B41" w:rsidRDefault="000E5280">
      <w:r w:rsidRPr="00341B41">
        <w:t xml:space="preserve">ERSP plots for both the experienced and unexperienced groups in other component clusters are displayed in </w:t>
      </w:r>
      <w:r w:rsidRPr="00341B41">
        <w:rPr>
          <w:b/>
        </w:rPr>
        <w:t>Figure 15</w:t>
      </w:r>
      <w:r w:rsidRPr="00341B41">
        <w:t xml:space="preserve">. Bootstrapped significance testing did not reveal any significant group differences in ERSP between 4-50Hz in any of the component clusters (all not significant at </w:t>
      </w:r>
      <w:r w:rsidRPr="00341B41">
        <w:rPr>
          <w:i/>
        </w:rPr>
        <w:t xml:space="preserve">p </w:t>
      </w:r>
      <w:r w:rsidRPr="00341B41">
        <w:t>&gt; .05).</w:t>
      </w:r>
    </w:p>
    <w:p w14:paraId="03246D1D" w14:textId="77777777" w:rsidR="003F477B" w:rsidRPr="00341B41" w:rsidRDefault="003F477B">
      <w:pPr>
        <w:sectPr w:rsidR="003F477B" w:rsidRPr="00341B41" w:rsidSect="00805FAB">
          <w:pgSz w:w="12240" w:h="15840"/>
          <w:pgMar w:top="1440" w:right="1138" w:bottom="1440" w:left="2275" w:header="720" w:footer="720" w:gutter="0"/>
          <w:cols w:space="720"/>
          <w:titlePg/>
          <w:docGrid w:linePitch="360"/>
        </w:sectPr>
      </w:pPr>
    </w:p>
    <w:p w14:paraId="33D54409" w14:textId="31CCF253" w:rsidR="003F477B" w:rsidRPr="00341B41" w:rsidRDefault="003F477B">
      <w:r w:rsidRPr="00341B41">
        <w:rPr>
          <w:rFonts w:cs="Times New Roman"/>
          <w:noProof/>
          <w:lang w:val="en-US"/>
        </w:rPr>
        <w:lastRenderedPageBreak/>
        <w:drawing>
          <wp:inline distT="0" distB="0" distL="0" distR="0" wp14:anchorId="5F68A8C1" wp14:editId="4D1EDB70">
            <wp:extent cx="5400040" cy="5979600"/>
            <wp:effectExtent l="0" t="0" r="10160" b="0"/>
            <wp:docPr id="17" name="Picture 17" descr="../Desktop/ICA%20analysis%20figures/Cluster%20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CA%20analysis%20figures/Cluster%20summar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5979600"/>
                    </a:xfrm>
                    <a:prstGeom prst="rect">
                      <a:avLst/>
                    </a:prstGeom>
                    <a:noFill/>
                    <a:ln>
                      <a:noFill/>
                    </a:ln>
                  </pic:spPr>
                </pic:pic>
              </a:graphicData>
            </a:graphic>
          </wp:inline>
        </w:drawing>
      </w:r>
    </w:p>
    <w:p w14:paraId="3117CEDB" w14:textId="799C238D" w:rsidR="003F477B" w:rsidRPr="00341B41" w:rsidRDefault="003F477B" w:rsidP="003F477B">
      <w:pPr>
        <w:pStyle w:val="Caption"/>
      </w:pPr>
      <w:bookmarkStart w:id="99" w:name="_Toc488400764"/>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15</w:t>
      </w:r>
      <w:r w:rsidRPr="00341B41">
        <w:fldChar w:fldCharType="end"/>
      </w:r>
      <w:r w:rsidRPr="00341B41">
        <w:t>. Group differences in frontal, posterior, and occipital clusters</w:t>
      </w:r>
      <w:bookmarkEnd w:id="99"/>
    </w:p>
    <w:p w14:paraId="3705EE85" w14:textId="329C2AF8" w:rsidR="003F477B" w:rsidRPr="00341B41" w:rsidRDefault="003F477B" w:rsidP="003F477B">
      <w:pPr>
        <w:pStyle w:val="NoSpacing"/>
        <w:rPr>
          <w:i/>
        </w:rPr>
      </w:pPr>
      <w:r w:rsidRPr="00341B41">
        <w:rPr>
          <w:i/>
        </w:rPr>
        <w:t xml:space="preserve">Scalp map, dipole location, power spectrum, and ERSP for experienced and less experienced group for </w:t>
      </w:r>
      <w:r w:rsidRPr="00341B41">
        <w:rPr>
          <w:b/>
          <w:i/>
        </w:rPr>
        <w:t xml:space="preserve">A </w:t>
      </w:r>
      <w:r w:rsidR="00323C53" w:rsidRPr="00341B41">
        <w:rPr>
          <w:i/>
        </w:rPr>
        <w:t xml:space="preserve">– </w:t>
      </w:r>
      <w:r w:rsidRPr="00341B41">
        <w:rPr>
          <w:i/>
        </w:rPr>
        <w:t xml:space="preserve">frontal IC, </w:t>
      </w:r>
      <w:r w:rsidRPr="00341B41">
        <w:rPr>
          <w:b/>
          <w:i/>
        </w:rPr>
        <w:t>B</w:t>
      </w:r>
      <w:r w:rsidRPr="00341B41">
        <w:rPr>
          <w:i/>
        </w:rPr>
        <w:t xml:space="preserve"> </w:t>
      </w:r>
      <w:r w:rsidR="00323C53" w:rsidRPr="00341B41">
        <w:rPr>
          <w:i/>
        </w:rPr>
        <w:t xml:space="preserve">– </w:t>
      </w:r>
      <w:r w:rsidRPr="00341B41">
        <w:rPr>
          <w:i/>
        </w:rPr>
        <w:t xml:space="preserve">posterior alpha IC, </w:t>
      </w:r>
      <w:r w:rsidRPr="00341B41">
        <w:rPr>
          <w:b/>
          <w:i/>
        </w:rPr>
        <w:t>C</w:t>
      </w:r>
      <w:r w:rsidR="00323C53" w:rsidRPr="00341B41">
        <w:rPr>
          <w:i/>
        </w:rPr>
        <w:t xml:space="preserve"> – </w:t>
      </w:r>
      <w:r w:rsidRPr="00341B41">
        <w:rPr>
          <w:i/>
        </w:rPr>
        <w:t xml:space="preserve">left occipital alpha IC, and </w:t>
      </w:r>
      <w:r w:rsidRPr="00341B41">
        <w:rPr>
          <w:b/>
          <w:i/>
        </w:rPr>
        <w:t>D</w:t>
      </w:r>
      <w:r w:rsidRPr="00341B41">
        <w:rPr>
          <w:i/>
        </w:rPr>
        <w:t xml:space="preserve"> </w:t>
      </w:r>
      <w:r w:rsidR="00323C53" w:rsidRPr="00341B41">
        <w:rPr>
          <w:i/>
        </w:rPr>
        <w:t xml:space="preserve">– </w:t>
      </w:r>
      <w:r w:rsidRPr="00341B41">
        <w:rPr>
          <w:i/>
        </w:rPr>
        <w:t xml:space="preserve">right occipital alpha IC. </w:t>
      </w:r>
    </w:p>
    <w:p w14:paraId="19733108" w14:textId="77777777" w:rsidR="003F477B" w:rsidRPr="00341B41" w:rsidRDefault="003F477B" w:rsidP="003F477B">
      <w:pPr>
        <w:sectPr w:rsidR="003F477B" w:rsidRPr="00341B41" w:rsidSect="00805FAB">
          <w:pgSz w:w="12240" w:h="15840"/>
          <w:pgMar w:top="1440" w:right="1138" w:bottom="1440" w:left="2275" w:header="720" w:footer="720" w:gutter="0"/>
          <w:cols w:space="720"/>
          <w:titlePg/>
          <w:docGrid w:linePitch="360"/>
        </w:sectPr>
      </w:pPr>
    </w:p>
    <w:p w14:paraId="5526E835" w14:textId="0715563E" w:rsidR="000E5280" w:rsidRPr="00341B41" w:rsidRDefault="000E5280" w:rsidP="000E5280">
      <w:pPr>
        <w:pStyle w:val="Heading2"/>
      </w:pPr>
      <w:bookmarkStart w:id="100" w:name="_Toc486260887"/>
      <w:r w:rsidRPr="00341B41">
        <w:lastRenderedPageBreak/>
        <w:t>4.4.</w:t>
      </w:r>
      <w:r w:rsidRPr="00341B41">
        <w:tab/>
        <w:t>Discussion</w:t>
      </w:r>
      <w:bookmarkEnd w:id="100"/>
    </w:p>
    <w:p w14:paraId="7365B533" w14:textId="5339B784" w:rsidR="000E5280" w:rsidRPr="00341B41" w:rsidRDefault="000E5280" w:rsidP="000E5280">
      <w:r w:rsidRPr="00341B41">
        <w:t xml:space="preserve">Chapter 3 showed that mu and beta ERD recorded from central electrode sites were greater in </w:t>
      </w:r>
      <w:r w:rsidR="001C123D" w:rsidRPr="00341B41">
        <w:t>experienced</w:t>
      </w:r>
      <w:r w:rsidRPr="00341B41">
        <w:t xml:space="preserve"> tennis players compared to less </w:t>
      </w:r>
      <w:r w:rsidR="00DD60E8" w:rsidRPr="00341B41">
        <w:t xml:space="preserve">experienced </w:t>
      </w:r>
      <w:r w:rsidRPr="00341B41">
        <w:t xml:space="preserve">novices. In this Chapter, ICA was used has a data analysis method to separate brain processes arising from sensorimotor sources from other regions, particularly non-mu posterior alpha sources (believed to reflect attentional processes). It was hypothesised that athletes would show greater sensorimotor activation when observing an action prior to action anticipation. As such, group differences were expected to arise only in ICs reflecting sensorimotor processes.  </w:t>
      </w:r>
    </w:p>
    <w:p w14:paraId="40D3AD09" w14:textId="20791C7B" w:rsidR="000E5280" w:rsidRPr="00341B41" w:rsidRDefault="000E5280" w:rsidP="000E5280">
      <w:pPr>
        <w:ind w:firstLine="720"/>
      </w:pPr>
      <w:r w:rsidRPr="00341B41">
        <w:t xml:space="preserve">Group differences were observed only in sensorimotor component clusters, and not in clusters that reflected parietal alpha or visual activity in the occipital cortex. This finding suggests that expertise related differences in neural activity during this task were unique to sensorimotor areas. This also suggests that the results are not solely due to differences in attention between the two groups. If this were the case, it would be expected that significant group differences would occur in other clusters showing a clear alpha component, as posterior alpha is modulated by attentional demand </w:t>
      </w:r>
      <w:r w:rsidRPr="00341B41">
        <w:fldChar w:fldCharType="begin" w:fldLock="1"/>
      </w:r>
      <w:r w:rsidRPr="00341B41">
        <w:instrText>ADDIN CSL_CITATION { "citationItems" : [ { "id" : "ITEM-1", "itemData" : { "PMID" : "10209231", "abstract" : "Evidence is presented that EEG oscillations in the alpha and theta band reflect cognitive and memory performance in particular. Good performance is related to two types of EEG phenomena (i) a tonic increase in alpha but a decrease in theta power, and (ii) a large phasic (event-related) decrease in alpha but increase in theta, depending on the type of memory demands. Because alpha frequency shows large interindividual differences which are related to age and memory performance, this double dissociation between alpha vs. theta and tonic vs. phasic changes can be observed only if fixed frequency bands are abandoned. It is suggested to adjust the frequency windows of alpha and theta for each subject by using individual alpha frequency as an anchor point. Based on this procedure, a consistent interpretation of a variety of findings is made possible. As an example, in a similar way as brain volume does, upper alpha power increases (but theta power decreases) from early childhood to adulthood, whereas the opposite holds true for the late part of the lifespan. Alpha power is lowered and theta power enhanced in subjects with a variety of different neurological disorders. Furthermore, after sustained wakefulness and during the transition from waking to sleeping when the ability to respond to external stimuli ceases, upper alpha power decreases, whereas theta increases. Event-related changes indicate that the extent of upper alpha desynchronization is positively correlated with (semantic) long-term memory performance, whereas theta synchronization is positively correlated with the ability to encode new information. The reviewed findings are interpreted on the basis of brain oscillations. It is suggested that the encoding of new information is reflected by theta oscillations in hippocampo-cortical feedback loops, whereas search and retrieval processes in (semantic) long-term memory are reflected by upper alpha oscillations in thalamo-cortical feedback loops.", "author" : [ { "dropping-particle" : "", "family" : "Klimesch", "given" : "W", "non-dropping-particle" : "", "parse-names" : false, "suffix" : "" } ], "container-title" : "Brain Research Reviews", "id" : "ITEM-1", "issue" : "2-3", "issued" : { "date-parts" : [ [ "1999", "4" ] ] }, "page" : "169-95", "title" : "EEG alpha and theta oscillations reflect cognitive and memory performance: a review and analysis.", "type" : "article-journal", "volume" : "29" }, "uris" : [ "http://www.mendeley.com/documents/?uuid=e4ac793d-8133-4183-a149-a1982d75781f" ] }, { "id" : "ITEM-2", "itemData" : { "DOI" : "10.1016/j.neubiorev.2008.03.014", "ISBN" : "0149-7634 (Print)\\r0149-7634 (Linking)", "ISSN" : "01497634", "PMID" : "18499256", "abstract" : "The electroencephalogram (EEG) bears the possibility to investigate oscillatory processes in the human brain. In the animal brain it has been shown that the phase of cortical oscillations is related to the exact timing of neural activity. The potential role of oscillatory phase and phase synchronization for the explanation of cortical information processing has been largely underestimated in the human EEG until now. Here it is argued that EEG phase (synchronization) reflects the exact timing of communication between distant but functionally related neural populations, the exchange of information between global and local neuronal networks, and the sequential temporal activity of neural processes in response to incoming sensory stimuli. Three different kinds of phase synchronization are discussed: (i) phase coupling between brain sites, (ii) phase synchronization across frequencies, and (iii) phase-locking to external events. In this review recent work is presented demonstrating that EEG phase synchronization provides valuable information about the neural correlates of various cognitive processes, and that it leads to a better understanding of how memory and attention processes are interrelated. ?? 2008 Elsevier Ltd. All rights reserved.", "author" : [ { "dropping-particle" : "", "family" : "Sauseng", "given" : "Paul", "non-dropping-particle" : "", "parse-names" : false, "suffix" : "" }, { "dropping-particle" : "", "family" : "Klimesch", "given" : "Wolfgang", "non-dropping-particle" : "", "parse-names" : false, "suffix" : "" } ], "container-title" : "Neuroscience and Biobehavioral Reviews", "id" : "ITEM-2", "issue" : "5", "issued" : { "date-parts" : [ [ "2008" ] ] }, "page" : "1001-1013", "title" : "What does phase information of oscillatory brain activity tell us about cognitive processes?", "type" : "article-journal", "volume" : "32" }, "uris" : [ "http://www.mendeley.com/documents/?uuid=5752c0ea-b4ac-40e0-bc83-a3bb6a36bfed" ] } ], "mendeley" : { "formattedCitation" : "(Klimesch, 1999; Sauseng &amp; Klimesch, 2008)", "plainTextFormattedCitation" : "(Klimesch, 1999; Sauseng &amp; Klimesch, 2008)", "previouslyFormattedCitation" : "(Klimesch, 1999; Sauseng &amp; Klimesch, 2008)" }, "properties" : { "noteIndex" : 0 }, "schema" : "https://github.com/citation-style-language/schema/raw/master/csl-citation.json" }</w:instrText>
      </w:r>
      <w:r w:rsidRPr="00341B41">
        <w:fldChar w:fldCharType="separate"/>
      </w:r>
      <w:r w:rsidRPr="00341B41">
        <w:rPr>
          <w:noProof/>
        </w:rPr>
        <w:t>(Klimesch, 1999; Sauseng &amp; Klimesch, 2008)</w:t>
      </w:r>
      <w:r w:rsidRPr="00341B41">
        <w:fldChar w:fldCharType="end"/>
      </w:r>
      <w:r w:rsidRPr="00341B41">
        <w:t xml:space="preserve">. Therefore, results show that mu and beta activity from sensorimotor locations are key in distinguishing </w:t>
      </w:r>
      <w:r w:rsidR="00B65007" w:rsidRPr="00341B41">
        <w:t>experienced</w:t>
      </w:r>
      <w:r w:rsidRPr="00341B41">
        <w:t xml:space="preserve"> from </w:t>
      </w:r>
      <w:r w:rsidR="00B65007" w:rsidRPr="00341B41">
        <w:t>less experienced</w:t>
      </w:r>
      <w:r w:rsidRPr="00341B41">
        <w:t xml:space="preserve"> participants during action observation. </w:t>
      </w:r>
    </w:p>
    <w:p w14:paraId="4D4A3A3E" w14:textId="18A9226B" w:rsidR="000E5280" w:rsidRPr="00341B41" w:rsidRDefault="000E5280" w:rsidP="000E5280">
      <w:pPr>
        <w:ind w:firstLine="720"/>
      </w:pPr>
      <w:r w:rsidRPr="00341B41">
        <w:t xml:space="preserve">This finding represents an important advance in our knowledge of expertise modulation of the sensorimotor system. This is because other EEG work in this area has used EEG channel methods to record sensorimotor activity (similar to the methods used in Chapter </w:t>
      </w:r>
      <w:r w:rsidR="0028714A" w:rsidRPr="00341B41">
        <w:t>3). As discussed in section 3.4</w:t>
      </w:r>
      <w:r w:rsidRPr="00341B41">
        <w:t xml:space="preserve">, it is possible that these differences attributed to </w:t>
      </w:r>
      <w:r w:rsidRPr="00341B41">
        <w:lastRenderedPageBreak/>
        <w:t xml:space="preserve">sensorimotor activity may have been contaminated by activity from other brain sources making it possible that observed differences in the EEG data were due to differences in attention between the two groups </w:t>
      </w:r>
      <w:r w:rsidRPr="00341B41">
        <w:fldChar w:fldCharType="begin" w:fldLock="1"/>
      </w:r>
      <w:r w:rsidRPr="00341B41">
        <w:instrText>ADDIN CSL_CITATION { "citationItems" : [ { "id" : "ITEM-1", "itemData" : { "DOI" : "10.1111/j.1460-9568.2008.06271.x", "ISBN" : "1460-9568 (Electronic)", "ISSN" : "0953816X", "PMID" : "18598273", "abstract" : "We presented professional dancers and non-dancers with videos of two movement styles, dance movements and everyday movements. Participants were asked to indicate by a button press to which category a movement belonged. We computed event-related desynchronization (ERD) in alpha and beta frequency bands between 7.5 and 25 Hz relative to a visual baseline condition. Power in alpha and lower beta frequency bands was significantly reduced if dancers watched dance movements but not if non-dancers watched dance movements, in particular between 1 and 2 s after movement onset. During observation of everyday movements no such group difference was evident. Thus, ERD in alpha and beta frequency bands was modulated by a participant's expertise with a certain movement style. The results are discussed in light of a human observation-execution matching system similar to the macaque mirror neuron system and strengthen the idea of a functional relationship between such a system and rhythmical activity in the alpha and beta frequency bands.", "author" : [ { "dropping-particle" : "", "family" : "Orgs", "given" : "Guido", "non-dropping-particle" : "", "parse-names" : false, "suffix" : "" }, { "dropping-particle" : "", "family" : "Dombrowski", "given" : "Jan Henryk", "non-dropping-particle" : "", "parse-names" : false, "suffix" : "" }, { "dropping-particle" : "", "family" : "Heil", "given" : "Martin", "non-dropping-particle" : "", "parse-names" : false, "suffix" : "" }, { "dropping-particle" : "", "family" : "Jansen-Osmann", "given" : "Petra", "non-dropping-particle" : "", "parse-names" : false, "suffix" : "" } ], "container-title" : "European Journal of Neuroscience", "id" : "ITEM-1", "issue" : "12", "issued" : { "date-parts" : [ [ "2008" ] ] }, "page" : "3380-3384", "title" : "Expertise in dance modulates alpha/beta event-related desynchronization during action observation", "type" : "article-journal", "volume" : "27" }, "uris" : [ "http://www.mendeley.com/documents/?uuid=c2a43f47-aaef-4a12-80c1-a869c17e8baf" ] }, { "id" : "ITEM-2", "itemData" : { "DOI" : "10.1371/journal.pone.0092002", "ISSN" : "1932-6203", "PMID" : "24663967", "abstract" : "Since the discovery of mirror neurons in premotor and parietal areas of the macaque monkey, the idea that action and perception may share the same neural code has been of central interest in social, developmental, and cognitive neurosciences. A fundamental question concerns how a putative human mirror neuron system may be tuned to the motor experiences of the individual. The current study tested the hypothesis that prior motor experience modulated the sensorimotor mu and beta rhythms. Specifically, we hypothesized that these sensorimotor rhythms would be more desynchronized after active motor experience compared to passive observation experience. To test our hypothesis, we collected EEG from adult participants during the observation of a relatively novel action: an experimenter used a claw-like tool to pick up a toy. Prior to EEG collection, we trained one group of adults to perform this action with the tool (performers). A second group comprised trained video coders, who only had experience observing the action (observers). Both the performers and the observers had no prior motor and visual experience with the action. A third group of novices was also tested. Performers exhibited the greatest mu rhythm desynchronization in the 8-13 Hz band, particularly in the right hemisphere compared to observers and novices. This study is the first to contrast active tool-use experience and observation experience in the mu rhythm and to show modulation with relatively shorter amounts of experience than prior mirror neuron expertise studies. These findings are discussed with respect to its broader implication as a neural signature for a mechanism of early social learning.", "author" : [ { "dropping-particle" : "", "family" : "Cannon", "given" : "Erin N", "non-dropping-particle" : "", "parse-names" : false, "suffix" : "" }, { "dropping-particle" : "", "family" : "Yoo", "given" : "Kathryn H", "non-dropping-particle" : "", "parse-names" : false, "suffix" : "" }, { "dropping-particle" : "", "family" : "Vanderwert", "given" : "Ross E", "non-dropping-particle" : "", "parse-names" : false, "suffix" : "" }, { "dropping-particle" : "", "family" : "Ferrari", "given" : "Pier F", "non-dropping-particle" : "", "parse-names" : false, "suffix" : "" }, { "dropping-particle" : "", "family" : "Woodward", "given" : "Amanda L", "non-dropping-particle" : "", "parse-names" : false, "suffix" : "" }, { "dropping-particle" : "", "family" : "Fox", "given" : "Nathan a", "non-dropping-particle" : "", "parse-names" : false, "suffix" : "" } ], "container-title" : "PLoS ONE", "id" : "ITEM-2", "issue" : "3", "issued" : { "date-parts" : [ [ "2014", "1" ] ] }, "page" : "e92002", "title" : "Action experience, more than observation, influences mu rhythm desynchronization.", "type" : "article-journal", "volume" : "9" }, "uris" : [ "http://www.mendeley.com/documents/?uuid=72fbdcee-2484-4233-ae33-4046a4c774dd" ] }, { "id" : "ITEM-3", "itemData" : { "DOI" : "10.3389/fnbeh.2014.00370", "ISSN" : "1662-5153", "author" : [ { "dropping-particle" : "", "family" : "Wolf", "given" : "Sebastian", "non-dropping-particle" : "", "parse-names" : false, "suffix" : "" }, { "dropping-particle" : "", "family" : "Br\u00f6lz", "given" : "Ellen", "non-dropping-particle" : "", "parse-names" : false, "suffix" : "" }, { "dropping-particle" : "", "family" : "Scholz", "given" : "David", "non-dropping-particle" : "", "parse-names" : false, "suffix" : "" }, { "dropping-particle" : "", "family" : "Ramos-Murguialday", "given" : "Ander", "non-dropping-particle" : "", "parse-names" : false, "suffix" : "" }, { "dropping-particle" : "", "family" : "Keune", "given" : "Philipp M.", "non-dropping-particle" : "", "parse-names" : false, "suffix" : "" }, { "dropping-particle" : "", "family" : "Hautzinger", "given" : "Martin", "non-dropping-particle" : "", "parse-names" : false, "suffix" : "" }, { "dropping-particle" : "", "family" : "Birbaumer", "given" : "Niels", "non-dropping-particle" : "", "parse-names" : false, "suffix" : "" }, { "dropping-particle" : "", "family" : "Strehl", "given" : "Ute", "non-dropping-particle" : "", "parse-names" : false, "suffix" : "" } ], "container-title" : "Frontiers in Behavioral Neuroscience", "id" : "ITEM-3", "issue" : "October", "issued" : { "date-parts" : [ [ "2014" ] ] }, "page" : "1-12", "title" : "Winning the game: brain processes in expert, young elite and amateur table tennis players", "type" : "article-journal", "volume" : "8" }, "uris" : [ "http://www.mendeley.com/documents/?uuid=7f1fad9f-858d-4127-b585-c4f53d6f5bd7" ] } ], "mendeley" : { "formattedCitation" : "(Cannon et al., 2014; Orgs et al., 2008; Wolf et al., 2014)", "plainTextFormattedCitation" : "(Cannon et al., 2014; Orgs et al., 2008; Wolf et al., 2014)", "previouslyFormattedCitation" : "(Cannon et al., 2014; Orgs et al., 2008; Wolf et al., 2014)" }, "properties" : { "noteIndex" : 0 }, "schema" : "https://github.com/citation-style-language/schema/raw/master/csl-citation.json" }</w:instrText>
      </w:r>
      <w:r w:rsidRPr="00341B41">
        <w:fldChar w:fldCharType="separate"/>
      </w:r>
      <w:r w:rsidRPr="00341B41">
        <w:rPr>
          <w:noProof/>
        </w:rPr>
        <w:t>(Cannon et al., 2014; Orgs et al., 2008; Wolf et al., 2014)</w:t>
      </w:r>
      <w:r w:rsidRPr="00341B41">
        <w:fldChar w:fldCharType="end"/>
      </w:r>
      <w:r w:rsidRPr="00341B41">
        <w:t xml:space="preserve">. The results of this Chapter provide stronger evidence that it is the sensorimotor system that is being modulated by expertise during the task, as ICA was able to separate mu and non-mu alpha activity, and show group differences were unique to mu-generating sensorimotor sites. </w:t>
      </w:r>
    </w:p>
    <w:p w14:paraId="2B7642DA" w14:textId="7B2F05EF" w:rsidR="00DF21CC" w:rsidRPr="00341B41" w:rsidRDefault="000E5280" w:rsidP="00DF21CC">
      <w:pPr>
        <w:ind w:firstLine="720"/>
      </w:pPr>
      <w:r w:rsidRPr="00341B41">
        <w:t xml:space="preserve">The results of the ICA analysis are generally consistent with the channel analyses reported in Chapter 3. The ICA results showed that in sensorimotor components, there was significantly greater ERD in the experienced players compared to the </w:t>
      </w:r>
      <w:r w:rsidR="000D2E3D" w:rsidRPr="00341B41">
        <w:t>less experienced</w:t>
      </w:r>
      <w:r w:rsidRPr="00341B41">
        <w:t xml:space="preserve"> novices in both the mu and beta frequency bands. In the ICA analysis, only the experienced group showed overall mu activity during the observation period, compared with the </w:t>
      </w:r>
      <w:r w:rsidR="00E63928" w:rsidRPr="00341B41">
        <w:t>less experienced</w:t>
      </w:r>
      <w:r w:rsidRPr="00341B41">
        <w:t xml:space="preserve"> group</w:t>
      </w:r>
      <w:r w:rsidR="00DF21CC" w:rsidRPr="00341B41">
        <w:t>.</w:t>
      </w:r>
    </w:p>
    <w:p w14:paraId="3C1DE457" w14:textId="426756AD" w:rsidR="00DF21CC" w:rsidRPr="00341B41" w:rsidRDefault="000E5280" w:rsidP="00DF21CC">
      <w:pPr>
        <w:ind w:firstLine="720"/>
      </w:pPr>
      <w:r w:rsidRPr="00341B41">
        <w:rPr>
          <w:rFonts w:cs="Times New Roman"/>
        </w:rPr>
        <w:t xml:space="preserve">Whilst this task did not find any evidence for a role of alpha ERD in action anticipation, it is plausible that group differences could emerge in a more challenging task. For example, increasing task difficulty may lead to greater alpha ERD in </w:t>
      </w:r>
      <w:r w:rsidR="00C70E72" w:rsidRPr="00341B41">
        <w:rPr>
          <w:rFonts w:cs="Times New Roman"/>
        </w:rPr>
        <w:t>less experienced</w:t>
      </w:r>
      <w:r w:rsidRPr="00341B41">
        <w:rPr>
          <w:rFonts w:cs="Times New Roman"/>
        </w:rPr>
        <w:t xml:space="preserve"> participants as they begin to find the task more demanding. On the</w:t>
      </w:r>
      <w:r w:rsidR="00C70E72" w:rsidRPr="00341B41">
        <w:rPr>
          <w:rFonts w:cs="Times New Roman"/>
        </w:rPr>
        <w:t xml:space="preserve"> other hand, experienced player</w:t>
      </w:r>
      <w:r w:rsidRPr="00341B41">
        <w:rPr>
          <w:rFonts w:cs="Times New Roman"/>
        </w:rPr>
        <w:t xml:space="preserve">s would be able to cope with the increased demands, due to their domain specific expertise, and so would show less alpha ERD </w:t>
      </w:r>
      <w:r w:rsidRPr="00341B41">
        <w:rPr>
          <w:rFonts w:cs="Times New Roman"/>
        </w:rPr>
        <w:fldChar w:fldCharType="begin" w:fldLock="1"/>
      </w:r>
      <w:r w:rsidRPr="00341B41">
        <w:rPr>
          <w:rFonts w:cs="Times New Roman"/>
        </w:rPr>
        <w:instrText>ADDIN CSL_CITATION { "citationItems" : [ { "id" : "ITEM-1", "itemData" : { "DOI" : "10.1016/j.brainresbull.2009.02.001", "ISSN" : "1873-2747", "PMID" : "19429191", "abstract" : "\"Neural efficiency\" hypothesis posits that neural activity is reduced in experts. Here we tested the hypothesis that compared with non-athletes, elite athletes are characterized by a reduction of cortical activation during an engaging upright standing. EEG (56 channels; Be-plus Eb-Neuro and stabilogram (RGM) data were simultaneously recorded in 10 elite karate, 10 elite fencing athletes, and 12 non-athletes during a simple bipodalic (standard Romberg) and a more engaging monopodalic upright standing. Balance was indexed by body \"sway area\". The EEG data were spatially enhanced by surface Laplacian estimation. Cortical activity was indexed by task-related power decrease (TRPD) of EEG alpha power (8-12Hz) during monopodalic referenced to bipodalic condition. The body \"sway area\" was larger during the monopodalic than bipodalic upright standing in all groups. Low-frequency alpha TRPD (about 8-10Hz) was lower in amplitude in the karate and fencing athletes than in the non-athletes at left central, right central, middle parietal, and right parietal areas (p&lt;0.01). Similarly, the amplitude of high-frequency alpha TRPD (10-12Hz) was lower in the karate and fencing athletes than in the non-athletes at right frontal, left central, right central, and middle parietal areas (p&lt;0.03). These results suggest that during monopodalic referenced to less engaging bipodalic condition, the power decrease (i.e. the desynchronization) of cortical activity at alpha rhythms is largely reduced in elite athletes than in non-athletes, in line with the \"neural efficiency\" hypothesis. The present study extends our understanding of the physiological mechanisms at the basis of the \"neural efficiency\" for engaging upright standing in elite athletes.", "author" : [ { "dropping-particle" : "", "family" : "Percio", "given" : "Claudio", "non-dropping-particle" : "Del", "parse-names" : false, "suffix" : "" }, { "dropping-particle" : "", "family" : "Babiloni", "given" : "Claudio", "non-dropping-particle" : "", "parse-names" : false, "suffix" : "" }, { "dropping-particle" : "", "family" : "Marzano", "given" : "Nicola", "non-dropping-particle" : "", "parse-names" : false, "suffix" : "" }, { "dropping-particle" : "", "family" : "Iacoboni", "given" : "Marco", "non-dropping-particle" : "", "parse-names" : false, "suffix" : "" }, { "dropping-particle" : "", "family" : "Infarinato", "given" : "Francesco", "non-dropping-particle" : "", "parse-names" : false, "suffix" : "" }, { "dropping-particle" : "", "family" : "Vecchio", "given" : "Fabrizio", "non-dropping-particle" : "", "parse-names" : false, "suffix" : "" }, { "dropping-particle" : "", "family" : "Lizio", "given" : "Roberta", "non-dropping-particle" : "", "parse-names" : false, "suffix" : "" }, { "dropping-particle" : "", "family" : "Aschieri", "given" : "Pierluigi", "non-dropping-particle" : "", "parse-names" : false, "suffix" : "" }, { "dropping-particle" : "", "family" : "Fiore", "given" : "Antonio", "non-dropping-particle" : "", "parse-names" : false, "suffix" : "" }, { "dropping-particle" : "", "family" : "Tor\u00e0n", "given" : "Giancarlo", "non-dropping-particle" : "", "parse-names" : false, "suffix" : "" }, { "dropping-particle" : "", "family" : "Gallamini", "given" : "Michele", "non-dropping-particle" : "", "parse-names" : false, "suffix" : "" }, { "dropping-particle" : "", "family" : "Baratto", "given" : "Marta", "non-dropping-particle" : "", "parse-names" : false, "suffix" : "" }, { "dropping-particle" : "", "family" : "Eusebi", "given" : "Fabrizio", "non-dropping-particle" : "", "parse-names" : false, "suffix" : "" } ], "container-title" : "Brain Research Bulletin", "id" : "ITEM-1", "issue" : "3-4", "issued" : { "date-parts" : [ [ "2009", "5", "29" ] ] }, "page" : "193-200", "title" : "\"Neural efficiency\" of athletes' brain for upright standing: a high-resolution EEG study.", "type" : "article-journal", "volume" : "79" }, "uris" : [ "http://www.mendeley.com/documents/?uuid=d9c17d71-cfe0-4b3a-9e39-bf3eaa7f91e8" ] } ], "mendeley" : { "formattedCitation" : "(Del Percio et al., 2009)", "plainTextFormattedCitation" : "(Del Percio et al., 2009)", "previouslyFormattedCitation" : "(Del Percio et al., 2009)" }, "properties" : { "noteIndex" : 0 }, "schema" : "https://github.com/citation-style-language/schema/raw/master/csl-citation.json" }</w:instrText>
      </w:r>
      <w:r w:rsidRPr="00341B41">
        <w:rPr>
          <w:rFonts w:cs="Times New Roman"/>
        </w:rPr>
        <w:fldChar w:fldCharType="separate"/>
      </w:r>
      <w:r w:rsidRPr="00341B41">
        <w:rPr>
          <w:rFonts w:cs="Times New Roman"/>
          <w:noProof/>
        </w:rPr>
        <w:t>(Del Percio et al., 2009)</w:t>
      </w:r>
      <w:r w:rsidRPr="00341B41">
        <w:rPr>
          <w:rFonts w:cs="Times New Roman"/>
        </w:rPr>
        <w:fldChar w:fldCharType="end"/>
      </w:r>
      <w:r w:rsidRPr="00341B41">
        <w:rPr>
          <w:rFonts w:cs="Times New Roman"/>
        </w:rPr>
        <w:t>.</w:t>
      </w:r>
      <w:r w:rsidR="00DF21CC" w:rsidRPr="00341B41">
        <w:t xml:space="preserve"> </w:t>
      </w:r>
    </w:p>
    <w:p w14:paraId="5B91F85F" w14:textId="6C5EA3F0" w:rsidR="00DF21CC" w:rsidRPr="00341B41" w:rsidRDefault="000E5280" w:rsidP="00DF21CC">
      <w:pPr>
        <w:ind w:firstLine="720"/>
      </w:pPr>
      <w:r w:rsidRPr="00341B41">
        <w:t>Group differences in the beta band appeared clearer in the analysis on ICs compared to the channel analysis (see Chapter 3). One possible explanation for this is the improved localisation possible when analy</w:t>
      </w:r>
      <w:r w:rsidR="00506DB4" w:rsidRPr="00341B41">
        <w:t>s</w:t>
      </w:r>
      <w:r w:rsidRPr="00341B41">
        <w:t xml:space="preserve">ing ICA components compared to EEG channels. In the </w:t>
      </w:r>
      <w:r w:rsidRPr="00341B41">
        <w:lastRenderedPageBreak/>
        <w:t xml:space="preserve">channel data, volume conduction makes it possible that beta activity recorded at the central electrodes could have multiple different generators. If group differences only occur in sensorimotor areas these differences may be smeared out somewhat by beta activity generated in different sources, which do not differ between groups. When using the ICs for analysis, it assures that only beta activity generated from a sensorimotor site is analysed. Therefore, a cleaner measure of sensorimotor generated beta activity is analysed, meaning that group differences become clearer. The idea that analysis of ICs can provide a clearer measure of neural activity compared with EEG channels has been shown in other research </w:t>
      </w:r>
      <w:r w:rsidRPr="00341B41">
        <w:fldChar w:fldCharType="begin" w:fldLock="1"/>
      </w:r>
      <w:r w:rsidRPr="00341B41">
        <w:instrText>ADDIN CSL_CITATION { "citationItems" : [ { "id" : "ITEM-1", "itemData" : { "DOI" : "10.1016/j.cogbrainres.2004.09.006", "ISBN" : "0926-6410", "ISSN" : "09266410", "PMID" : "15722203", "abstract" : "To better understand whether voluntary attention affects how the brain processes novel events, variants of the auditory novelty oddball paradigm were presented to two different groups of human volunteers. One group of subjects (n=16) silently counted rarely presented 'infrequent' tones (p=0.10), interspersed with 'novel' task-irrelevant unique environmental sounds (p=0.10) and frequently presented 'standard' tones (p=0.80). A second group of subjects (n=17) silently counted the 'novel' environmental sounds, the 'infrequent' tones now serving as the task-irrelevant deviant events. Analysis of event-related potentials (ERPs) recorded from 63 scalp channels suggested a spatiotemporal overlap of fronto-central novelty P3 and centro-parietal P3 (P3b) ERP features in both groups. Application of independent component analysis (ICA) to concatenated single trials revealed two independent component clusters that accounted for portions of the novelty P3 and P3b response features, respectively. The P3b-related ICA cluster contributed to the novelty P3 amplitude response to novel environmental sounds. In contrast to the scalp ERPs, the amplitude of the novelty P3 related cluster was not affected by voluntary attention, that is, by the target/nontarget distinction. This result demonstrates the usefulness of ICA for disentangling spatiotemporally overlapping ERP processes and provides evidence that task irrelevance is not a necessary feature of novelty processing. \u00a9 2004 Elsevier B.V. All rights reserved.", "author" : [ { "dropping-particle" : "", "family" : "Debener", "given" : "Stefan", "non-dropping-particle" : "", "parse-names" : false, "suffix" : "" }, { "dropping-particle" : "", "family" : "Makeig", "given" : "Scott", "non-dropping-particle" : "", "parse-names" : false, "suffix" : "" }, { "dropping-particle" : "", "family" : "Delorme", "given" : "Arnaud", "non-dropping-particle" : "", "parse-names" : false, "suffix" : "" }, { "dropping-particle" : "", "family" : "Engel", "given" : "Andreas K.", "non-dropping-particle" : "", "parse-names" : false, "suffix" : "" } ], "container-title" : "Cognitive Brain Research", "id" : "ITEM-1", "issue" : "3", "issued" : { "date-parts" : [ [ "2005" ] ] }, "page" : "309-321", "title" : "What is novel in the novelty oddball paradigm? Functional significance of the novelty P3 event-related potential as revealed by independent component analysis", "type" : "article-journal", "volume" : "22" }, "uris" : [ "http://www.mendeley.com/documents/?uuid=adafe727-eb58-4e01-ba94-aeae2f197d5b" ] } ], "mendeley" : { "formattedCitation" : "(Debener, Makeig, Delorme, &amp; Engel, 2005)", "manualFormatting" : "(e.g. Debener et al., 2005a)", "plainTextFormattedCitation" : "(Debener, Makeig, Delorme, &amp; Engel, 2005)", "previouslyFormattedCitation" : "(Debener, Makeig, Delorme, &amp; Engel, 2005)" }, "properties" : { "noteIndex" : 0 }, "schema" : "https://github.com/citation-style-language/schema/raw/master/csl-citation.json" }</w:instrText>
      </w:r>
      <w:r w:rsidRPr="00341B41">
        <w:fldChar w:fldCharType="separate"/>
      </w:r>
      <w:r w:rsidRPr="00341B41">
        <w:rPr>
          <w:noProof/>
        </w:rPr>
        <w:t>(e.g. Debener et al., 2005a)</w:t>
      </w:r>
      <w:r w:rsidRPr="00341B41">
        <w:fldChar w:fldCharType="end"/>
      </w:r>
      <w:r w:rsidRPr="00341B41">
        <w:t xml:space="preserve">. </w:t>
      </w:r>
      <w:r w:rsidR="00DF21CC" w:rsidRPr="00341B41">
        <w:t xml:space="preserve"> </w:t>
      </w:r>
    </w:p>
    <w:p w14:paraId="61B31E66" w14:textId="77777777" w:rsidR="00DF21CC" w:rsidRPr="00341B41" w:rsidRDefault="000E5280" w:rsidP="00DF21CC">
      <w:pPr>
        <w:ind w:firstLine="720"/>
      </w:pPr>
      <w:r w:rsidRPr="00341B41">
        <w:t xml:space="preserve">The major benefit of applying ICA to this particular research question was its ability to the separate the EEG data into distinct, independent sources. As such, this allowed for a cleaner measure of </w:t>
      </w:r>
      <w:r w:rsidR="00DF21CC" w:rsidRPr="00341B41">
        <w:t>sensorimotor</w:t>
      </w:r>
      <w:r w:rsidRPr="00341B41">
        <w:t xml:space="preserve"> activity than previous studies have achieved. Despite this advantage, the use of ICA to study cortical processes is still relatively uncommon. As such, a number of open questions remain in the literature that need to be considered. These issues are primarily related to the optimal way of clustering equivalent ICs across multiple participants, in order to facilitate group level analyses.</w:t>
      </w:r>
      <w:r w:rsidR="00DF21CC" w:rsidRPr="00341B41">
        <w:t xml:space="preserve"> </w:t>
      </w:r>
    </w:p>
    <w:p w14:paraId="44EA8D09" w14:textId="7C8E454B" w:rsidR="00DF21CC" w:rsidRPr="00341B41" w:rsidRDefault="000E5280" w:rsidP="00DF21CC">
      <w:pPr>
        <w:ind w:firstLine="720"/>
      </w:pPr>
      <w:r w:rsidRPr="00341B41">
        <w:t>Firstly, none of the clusters identified in the analysis for this Chapter contained an IC from all participants, with between 3-5 participants not contributing to each clustered component. Visual inspection of individual data suggests that 2 participants consistently did not contribute an IC to a given cluster. There are a number of possible reasons for this. Firstly, it is possible that the clustering algorithm did not successfully place these participant’s IC</w:t>
      </w:r>
      <w:r w:rsidR="00A45BF1" w:rsidRPr="00341B41">
        <w:t>s</w:t>
      </w:r>
      <w:r w:rsidRPr="00341B41">
        <w:t xml:space="preserve"> into their </w:t>
      </w:r>
      <w:r w:rsidR="00A45BF1" w:rsidRPr="00341B41">
        <w:t>respective clusters. For example</w:t>
      </w:r>
      <w:r w:rsidRPr="00341B41">
        <w:t>, two components that appeared to have a sensorimotor source based on scalp map did</w:t>
      </w:r>
      <w:r w:rsidR="00764699" w:rsidRPr="00341B41">
        <w:t xml:space="preserve"> not</w:t>
      </w:r>
      <w:r w:rsidRPr="00341B41">
        <w:t xml:space="preserve"> show that source when looking at </w:t>
      </w:r>
      <w:r w:rsidRPr="00341B41">
        <w:lastRenderedPageBreak/>
        <w:t xml:space="preserve">the dipole locations, and were not used for further analyses. However, inspection of those ICs again </w:t>
      </w:r>
      <w:proofErr w:type="gramStart"/>
      <w:r w:rsidRPr="00341B41">
        <w:t>show</w:t>
      </w:r>
      <w:proofErr w:type="gramEnd"/>
      <w:r w:rsidRPr="00341B41">
        <w:t xml:space="preserve"> that participant’s not contributing to the component clusters shown in </w:t>
      </w:r>
      <w:r w:rsidRPr="00341B41">
        <w:rPr>
          <w:b/>
        </w:rPr>
        <w:t>Figure 10</w:t>
      </w:r>
      <w:r w:rsidR="0062168E" w:rsidRPr="00341B41">
        <w:rPr>
          <w:b/>
        </w:rPr>
        <w:t>A</w:t>
      </w:r>
      <w:r w:rsidRPr="00341B41">
        <w:t>, also did not contribute to these clusters</w:t>
      </w:r>
      <w:r w:rsidR="00DA3786" w:rsidRPr="00341B41">
        <w:t xml:space="preserve"> (</w:t>
      </w:r>
      <w:r w:rsidR="00DA3786" w:rsidRPr="00341B41">
        <w:rPr>
          <w:b/>
        </w:rPr>
        <w:t>Figure 10B</w:t>
      </w:r>
      <w:r w:rsidR="00DA3786" w:rsidRPr="00341B41">
        <w:t>)</w:t>
      </w:r>
      <w:r w:rsidRPr="00341B41">
        <w:t>.</w:t>
      </w:r>
      <w:r w:rsidR="00DF21CC" w:rsidRPr="00341B41">
        <w:t xml:space="preserve"> </w:t>
      </w:r>
    </w:p>
    <w:p w14:paraId="5C5B7939" w14:textId="04519BD0" w:rsidR="00DF21CC" w:rsidRPr="00341B41" w:rsidRDefault="000E5280" w:rsidP="00DF21CC">
      <w:pPr>
        <w:ind w:firstLine="720"/>
      </w:pPr>
      <w:r w:rsidRPr="00341B41">
        <w:t xml:space="preserve">A second possibility is that the ICA decomposition was not optimal, and failed to return the respective components. This may have happened due to insufficiently cleaned data for these participants </w:t>
      </w:r>
      <w:r w:rsidRPr="00341B41">
        <w:fldChar w:fldCharType="begin" w:fldLock="1"/>
      </w:r>
      <w:r w:rsidRPr="00341B41">
        <w:instrText>ADDIN CSL_CITATION { "citationItems" : [ { "id" : "ITEM-1", "itemData" : { "DOI" : "10.1016/S0079-6123(06)59007-7", "ISSN" : "0079-6123", "PMID" : "17071226", "abstract" : "We discuss the theory and practice of applying independent component analysis (ICA) to electroencephalographic (EEG) data. ICA blindly decomposes multi-channel EEG data into maximally independent component processes (ICs) that typically express either particularly brain generated EEG activities or some type of non-brain artifacts (line or other environmental noise, eye blinks and other eye movements, or scalp or heart muscle activity). Each brain and non-brain IC is identified with an activity time course (its 'activation') and a set of relative strengths of its projections (by volume conduction) to the recording electrodes (its 'scalp map'). Many non-articraft IC scalp maps strongly resemble the projection of a single dipole, allowing the location and orientation of the best-fitting equivalent dipole (or other source model) to be easily determined. In favorable circumstances, ICA decomposition of high-density scalp EEG data appears to allow concurrent monitoring, with high time resolution, of separate EEG activities in twenty or more separate cortical EEG source areas. We illustrate the differences between ICA and traditional approaches to EEG analysis by comparing time courses and mean event related spectral perturbations (ERSPs) of scalp channel and IC data. Comparing IC activities across subjects necessitates clustering of similar Ics based on common dynamic and/or spatial features. We discuss and illustrate such a component clustering strategy. In sum, continued application of ICA methods in EEG research should continue to yield new insights into the nature and role of the complex macroscopic cortical dynamics captured by scalp electrode recordings.", "author" : [ { "dropping-particle" : "", "family" : "Onton", "given" : "Julie", "non-dropping-particle" : "", "parse-names" : false, "suffix" : "" }, { "dropping-particle" : "", "family" : "Makeig", "given" : "Scott", "non-dropping-particle" : "", "parse-names" : false, "suffix" : "" } ], "container-title" : "Progress in Brain Research", "id" : "ITEM-1", "issued" : { "date-parts" : [ [ "2006", "1" ] ] }, "page" : "99-120", "title" : "Information-based modeling of event-related brain dynamics.", "type" : "article-journal", "volume" : "159" }, "uris" : [ "http://www.mendeley.com/documents/?uuid=a5ff3541-fcfc-4533-bf43-44ca29611c47" ] } ], "mendeley" : { "formattedCitation" : "(Onton &amp; Makeig, 2006)", "plainTextFormattedCitation" : "(Onton &amp; Makeig, 2006)", "previouslyFormattedCitation" : "(Onton &amp; Makeig, 2006)" }, "properties" : { "noteIndex" : 0 }, "schema" : "https://github.com/citation-style-language/schema/raw/master/csl-citation.json" }</w:instrText>
      </w:r>
      <w:r w:rsidRPr="00341B41">
        <w:fldChar w:fldCharType="separate"/>
      </w:r>
      <w:r w:rsidRPr="00341B41">
        <w:rPr>
          <w:noProof/>
        </w:rPr>
        <w:t>(Onton &amp; Makeig, 2006)</w:t>
      </w:r>
      <w:r w:rsidRPr="00341B41">
        <w:fldChar w:fldCharType="end"/>
      </w:r>
      <w:r w:rsidR="00135E4F" w:rsidRPr="00341B41">
        <w:t>. H</w:t>
      </w:r>
      <w:r w:rsidRPr="00341B41">
        <w:t>owever</w:t>
      </w:r>
      <w:r w:rsidR="00135E4F" w:rsidRPr="00341B41">
        <w:t>,</w:t>
      </w:r>
      <w:r w:rsidRPr="00341B41">
        <w:t xml:space="preserve"> it should be noted that all EEG data was mainly cleaned by eye, and visual inspection did not suggest that these participants </w:t>
      </w:r>
      <w:r w:rsidR="006947E1" w:rsidRPr="00341B41">
        <w:t>had</w:t>
      </w:r>
      <w:r w:rsidRPr="00341B41">
        <w:t xml:space="preserve"> particularly messy data. Furthermore, there was no evidence that these participants had significantly higher numbers of epochs rejected than other participants, again suggesting their data was no noisier than other participants.</w:t>
      </w:r>
      <w:r w:rsidR="00DF21CC" w:rsidRPr="00341B41">
        <w:t xml:space="preserve"> </w:t>
      </w:r>
    </w:p>
    <w:p w14:paraId="7D3F127B" w14:textId="2F4ACA8E" w:rsidR="00DF21CC" w:rsidRPr="00341B41" w:rsidRDefault="000E5280" w:rsidP="00DF21CC">
      <w:pPr>
        <w:ind w:firstLine="720"/>
      </w:pPr>
      <w:r w:rsidRPr="00341B41">
        <w:t xml:space="preserve">A final possibility is that these participants did not show activity in the sources that were found to be consistent across most participants. It is noteworthy that in the two sensorimotor clusters i.e. where expertise differences were expected to arise, all of the participants who did not contribute a single IC to the cluster were from the </w:t>
      </w:r>
      <w:r w:rsidR="004B6879" w:rsidRPr="00341B41">
        <w:t>less experienced</w:t>
      </w:r>
      <w:r w:rsidRPr="00341B41">
        <w:t xml:space="preserve"> group. On the other hand, all of the </w:t>
      </w:r>
      <w:r w:rsidR="004B6879" w:rsidRPr="00341B41">
        <w:t>experienced</w:t>
      </w:r>
      <w:r w:rsidRPr="00341B41">
        <w:t xml:space="preserve"> participants contributed an IC to at least one of the sensorimotor clusters. As such, for these clusters at least, it is plausible that during the tasks these participants did not show activity in sensorimotor areas (i.e. no engagement at all from the </w:t>
      </w:r>
      <w:r w:rsidR="00DF21CC" w:rsidRPr="00341B41">
        <w:t>sensorimotor system</w:t>
      </w:r>
      <w:r w:rsidRPr="00341B41">
        <w:t>).</w:t>
      </w:r>
      <w:r w:rsidR="00DF21CC" w:rsidRPr="00341B41">
        <w:t xml:space="preserve"> </w:t>
      </w:r>
    </w:p>
    <w:p w14:paraId="04038905" w14:textId="77777777" w:rsidR="00DF21CC" w:rsidRPr="00341B41" w:rsidRDefault="000E5280" w:rsidP="00DF21CC">
      <w:pPr>
        <w:ind w:firstLine="720"/>
      </w:pPr>
      <w:r w:rsidRPr="00341B41">
        <w:t xml:space="preserve">Another outstanding issue is dealing with the fact that in many cases, a single participant can contribute multiple ICs to a component cluster. Some studies have opted to include all ICs from each participant that contribute to a component cluster </w:t>
      </w:r>
      <w:r w:rsidRPr="00341B41">
        <w:fldChar w:fldCharType="begin" w:fldLock="1"/>
      </w:r>
      <w:r w:rsidRPr="00341B41">
        <w:instrText>ADDIN CSL_CITATION { "citationItems" : [ { "id" : "ITEM-1", "itemData" : { "DOI" : "10.1162/jocn.2009.21369", "ISBN" : "0898-929X", "ISSN" : "0898-929X", "PMID" : "19925183", "abstract" : "Maintaining spatial orientation while travelling requires integrating spatial information encountered from an egocentric viewpoint with accumulated information represented within egocentric and/or allocentric reference frames. Here, we report changes in high-density EEG activity during a virtual tunnel passage task in which subjects respond to a postnavigation homing challenge in distinctly different ways--either compatible with a continued experience of the virtual environment from a solely egocentric perspective or as if also maintaining their original entrance orientation, indicating use of a parallel allocentric reference frame. By spatially filtering the EEG data using independent component analysis, we found that these two equal subject subgroups exhibited differences in EEG power spectral modulation during tunnel passages in only a few cortical areas. During tunnel turns, stronger alpha blocking occurred only in or near right primary visual cortex of subjects whose homing responses were compatible with continued use of an egocentric reference frame. In contrast, approaching and during tunnel turns, subjects who responded in a way compatible with use of an allocentric reference frame exhibited stronger alpha blocking of occipito-temporal, bilateral inferior parietal, and retrosplenial cortical areas, all areas implicated by hemodynamic imaging and neuropsychological observation in construction and maintenance of an allocentric reference frame. We conclude that in these subjects, stronger activation of retrosplenial and related cortical areas during turns support a continuous translation of egocentrically experienced visual flow into an allocentric model of their virtual position and movement.", "author" : [ { "dropping-particle" : "", "family" : "Gramann", "given" : "Klaus", "non-dropping-particle" : "", "parse-names" : false, "suffix" : "" }, { "dropping-particle" : "", "family" : "Onton", "given" : "Julie", "non-dropping-particle" : "", "parse-names" : false, "suffix" : "" }, { "dropping-particle" : "", "family" : "Riccobon", "given" : "Davide", "non-dropping-particle" : "", "parse-names" : false, "suffix" : "" }, { "dropping-particle" : "", "family" : "Mueller", "given" : "Hermann J", "non-dropping-particle" : "", "parse-names" : false, "suffix" : "" }, { "dropping-particle" : "", "family" : "Bardins", "given" : "Stanislav", "non-dropping-particle" : "", "parse-names" : false, "suffix" : "" }, { "dropping-particle" : "", "family" : "Makeig", "given" : "Scott", "non-dropping-particle" : "", "parse-names" : false, "suffix" : "" } ], "container-title" : "Journal of Cognitive Neuroscience", "id" : "ITEM-1", "issue" : "12", "issued" : { "date-parts" : [ [ "2010" ] ] }, "page" : "2836-2849", "title" : "Human brain dynamics accompanying use of egocentric and allocentric reference frames during navigation.", "type" : "article-journal", "volume" : "22" }, "uris" : [ "http://www.mendeley.com/documents/?uuid=65c3bf9b-29af-428c-b948-bc49e1c41c8c" ] } ], "mendeley" : { "formattedCitation" : "(Gramann et al., 2010)", "plainTextFormattedCitation" : "(Gramann et al., 2010)", "previouslyFormattedCitation" : "(Gramann et al., 2010)" }, "properties" : { "noteIndex" : 0 }, "schema" : "https://github.com/citation-style-language/schema/raw/master/csl-citation.json" }</w:instrText>
      </w:r>
      <w:r w:rsidRPr="00341B41">
        <w:fldChar w:fldCharType="separate"/>
      </w:r>
      <w:r w:rsidRPr="00341B41">
        <w:rPr>
          <w:noProof/>
        </w:rPr>
        <w:t>(Gramann et al., 2010)</w:t>
      </w:r>
      <w:r w:rsidRPr="00341B41">
        <w:fldChar w:fldCharType="end"/>
      </w:r>
      <w:r w:rsidRPr="00341B41">
        <w:t xml:space="preserve">, whilst others have suggested selecting just one component per participant, either by </w:t>
      </w:r>
      <w:r w:rsidRPr="00341B41">
        <w:lastRenderedPageBreak/>
        <w:t xml:space="preserve">averaging together all of the ICs that a participant is contributing </w:t>
      </w:r>
      <w:r w:rsidRPr="00341B41">
        <w:fldChar w:fldCharType="begin" w:fldLock="1"/>
      </w:r>
      <w:r w:rsidRPr="00341B41">
        <w:instrText>ADDIN CSL_CITATION { "citationItems" : [ { "id" : "ITEM-1", "itemData" : { "DOI" : "10.1016/j.clinph.2009.01.015", "ISBN" : "1872-8952 (Electronic)\\r1388-2457 (Linking)", "ISSN" : "13882457", "PMID" : "19345611", "abstract" : "Objective: Independent component analysis (ICA) can disentangle multi-channel electroencephalogram (EEG) signals into a number of artifacts and brain-related signals. However, the identification and interpretation of independent components is time-consuming and involves subjective decision making. We developed and evaluated a semi-automatic tool designed for clustering independent components from different subjects and/or EEG recordings. Methods: CORRMAP is an open-source EEGLAB plug-in, based on the correlation of ICA inverse weights, and finds independent components that are similar to a user-defined template. Component similarity is measured using a correlation procedure that selects components that pass a threshold. The threshold can be either user-defined or determined automatically. CORRMAP clustering performance was evaluated by comparing it with the performance of 11 users from different laboratories familiar with ICA. Results: For eye-related artifacts, a very high degree of overlap between users (phi &gt; 0.80), and between users and CORRMAP (phi &gt; 0.80) was observed. Lower degrees of association were found for heartbeat artifact components, between users (phi &lt; 0.70), and between users and CORRMAP (phi &lt; 0.65). Conclusions: These results demonstrate that CORRMAP provides an efficient, convenient and objective way of clustering independent components. Significance: CORRMAP helps to efficiently use ICA for the removal EEG artifacts. ?? 2009 International Federation of Clinical Neurophysiology.", "author" : [ { "dropping-particle" : "", "family" : "Campos Viola", "given" : "Filipa", "non-dropping-particle" : "", "parse-names" : false, "suffix" : "" }, { "dropping-particle" : "", "family" : "Thorne", "given" : "Jeremy", "non-dropping-particle" : "", "parse-names" : false, "suffix" : "" }, { "dropping-particle" : "", "family" : "Edmonds", "given" : "Barrie", "non-dropping-particle" : "", "parse-names" : false, "suffix" : "" }, { "dropping-particle" : "", "family" : "Schneider", "given" : "Till", "non-dropping-particle" : "", "parse-names" : false, "suffix" : "" }, { "dropping-particle" : "", "family" : "Eichele", "given" : "Tom", "non-dropping-particle" : "", "parse-names" : false, "suffix" : "" }, { "dropping-particle" : "", "family" : "Debener", "given" : "Stefan", "non-dropping-particle" : "", "parse-names" : false, "suffix" : "" } ], "container-title" : "Clinical Neurophysiology", "id" : "ITEM-1", "issue" : "5", "issued" : { "date-parts" : [ [ "2009" ] ] }, "page" : "868-877", "publisher" : "International Federation of Clinical Neurophysiology", "title" : "Semi-automatic identification of independent components representing EEG artifact", "type" : "article-journal", "volume" : "120" }, "uris" : [ "http://www.mendeley.com/documents/?uuid=de46379c-e9f2-428e-9c14-50dd4b706c13" ] } ], "mendeley" : { "formattedCitation" : "(Campos Viola et al., 2009)", "plainTextFormattedCitation" : "(Campos Viola et al., 2009)", "previouslyFormattedCitation" : "(Campos Viola et al., 2009)" }, "properties" : { "noteIndex" : 0 }, "schema" : "https://github.com/citation-style-language/schema/raw/master/csl-citation.json" }</w:instrText>
      </w:r>
      <w:r w:rsidRPr="00341B41">
        <w:fldChar w:fldCharType="separate"/>
      </w:r>
      <w:r w:rsidRPr="00341B41">
        <w:rPr>
          <w:noProof/>
        </w:rPr>
        <w:t>(Campos Viola et al., 2009)</w:t>
      </w:r>
      <w:r w:rsidRPr="00341B41">
        <w:fldChar w:fldCharType="end"/>
      </w:r>
      <w:r w:rsidRPr="00341B41">
        <w:t xml:space="preserve">, or by selecting the IC whose dipole shows the lowest residual variance </w:t>
      </w:r>
      <w:r w:rsidRPr="00341B41">
        <w:fldChar w:fldCharType="begin" w:fldLock="1"/>
      </w:r>
      <w:r w:rsidRPr="00341B41">
        <w:instrText>ADDIN CSL_CITATION { "citationItems" : [ { "id" : "ITEM-1", "itemData" : { "DOI" : "10.1109/EMBC.2012.6347540", "ISBN" : "9781424441198", "ISSN" : "1557170X", "PMID" : "23367475", "abstract" : "Independent Component Analysis (ICA) has been successfully used to identify brain related signals and artifacts from multi-channel electroencephalographic (EEG) data. However the stability of ICA decompositions across sessions from a single subject has not been investigated. The goal of this study was to isolate EEG independent components (ICs) across sessions for each subject so as to assess whether ICs are reproducible across sessions. We used 64-channel EEG data recorded from two subjects during a simple mind-wandering experiment. Each subject participated in 11 twenty-minute sessions over a period of five weeks. Extended Infomax ICA decomposition was performed on the continuous data of each session. We used a simple IC clustering technique based on correlation of scalp topographies. Several clusters of homogenous components were identified for each subject. Typical component clusters accounting for eye movement and eye blink artifacts were identified. Both clusters included one component from each recording session. In addition, several clusters corresponding to brain electrical sources, among them clusters exhibiting prominent alpha, beta and Mu band activities, included components from most sessions. These results present evidence that ICA can provide relatively stable solutions across sessions, with important implications for Brain Computer Interface research.", "author" : [ { "dropping-particle" : "", "family" : "Grandchamp", "given" : "Romain", "non-dropping-particle" : "", "parse-names" : false, "suffix" : "" }, { "dropping-particle" : "", "family" : "Braboszcz", "given" : "Claire", "non-dropping-particle" : "", "parse-names" : false, "suffix" : "" }, { "dropping-particle" : "", "family" : "Makeig", "given" : "Scott", "non-dropping-particle" : "", "parse-names" : false, "suffix" : "" }, { "dropping-particle" : "", "family" : "Delorme", "given" : "Arnaud", "non-dropping-particle" : "", "parse-names" : false, "suffix" : "" } ], "container-title" : "Proceedings of the Annual International Conference of the IEEE Engineering in Medicine and Biology Society, EMBS", "id" : "ITEM-1", "issue" : "0", "issued" : { "date-parts" : [ [ "2012" ] ] }, "page" : "6735-6739", "title" : "Stability of ICA decomposition across within-subject EEG datasets", "type" : "article-journal", "volume" : "33" }, "uris" : [ "http://www.mendeley.com/documents/?uuid=5947d0c0-6b22-4468-8a4e-da652e6ae809" ] } ], "mendeley" : { "formattedCitation" : "(Grandchamp, Braboszcz, Makeig, &amp; Delorme, 2012)", "plainTextFormattedCitation" : "(Grandchamp, Braboszcz, Makeig, &amp; Delorme, 2012)", "previouslyFormattedCitation" : "(Grandchamp, Braboszcz, Makeig, &amp; Delorme, 2012)" }, "properties" : { "noteIndex" : 0 }, "schema" : "https://github.com/citation-style-language/schema/raw/master/csl-citation.json" }</w:instrText>
      </w:r>
      <w:r w:rsidRPr="00341B41">
        <w:fldChar w:fldCharType="separate"/>
      </w:r>
      <w:r w:rsidRPr="00341B41">
        <w:rPr>
          <w:noProof/>
        </w:rPr>
        <w:t>(Grandchamp, Braboszcz, Makeig, &amp; Delorme, 2012)</w:t>
      </w:r>
      <w:r w:rsidRPr="00341B41">
        <w:fldChar w:fldCharType="end"/>
      </w:r>
      <w:r w:rsidRPr="00341B41">
        <w:t>. For this analysis, the component whose dipole had the lowest residual variance was used to select which component from a participant was kept in the cluster. The reason for this approach was because a key part of the research question involved separating activity from two distinct sources (sensorimotor vs posterior). Therefore, it was important that the accuracy of the dipole mo</w:t>
      </w:r>
      <w:r w:rsidR="00DF21CC" w:rsidRPr="00341B41">
        <w:t xml:space="preserve">del was high in each component. </w:t>
      </w:r>
    </w:p>
    <w:p w14:paraId="5E516F6B" w14:textId="36E02FB9" w:rsidR="00B636C5" w:rsidRPr="00341B41" w:rsidRDefault="00FF77FE" w:rsidP="00FF77FE">
      <w:pPr>
        <w:ind w:firstLine="720"/>
      </w:pPr>
      <w:r w:rsidRPr="00341B41">
        <w:t xml:space="preserve">An optimal strategy for selecting how many clusters to compute is also an unanswered question. This study chose the number of clusters based on previous research that has found sensorimotor activity using ICA </w:t>
      </w:r>
      <w:r w:rsidRPr="00341B41">
        <w:fldChar w:fldCharType="begin" w:fldLock="1"/>
      </w:r>
      <w:r w:rsidR="001846B6" w:rsidRPr="00341B41">
        <w:instrText>ADDIN CSL_CITATION { "citationItems" : [ { "id" : "ITEM-1", "itemData" : { "author" : [ { "dropping-particle" : "", "family" : "Makeig", "given" : "Scott", "non-dropping-particle" : "", "parse-names" : false, "suffix" : "" }, { "dropping-particle" : "", "family" : "Delorme", "given" : "Arnaud", "non-dropping-particle" : "", "parse-names" : false, "suffix" : "" }, { "dropping-particle" : "", "family" : "Westerfield", "given" : "Marissa", "non-dropping-particle" : "", "parse-names" : false, "suffix" : "" }, { "dropping-particle" : "", "family" : "Jung", "given" : "Tzyy-Ping", "non-dropping-particle" : "", "parse-names" : false, "suffix" : "" }, { "dropping-particle" : "", "family" : "Townsend", "given" : "Jeanne", "non-dropping-particle" : "", "parse-names" : false, "suffix" : "" }, { "dropping-particle" : "", "family" : "Courchesne", "given" : "Eric", "non-dropping-particle" : "", "parse-names" : false, "suffix" : "" }, { "dropping-particle" : "", "family" : "Sejnowski", "given" : "Terrence J", "non-dropping-particle" : "", "parse-names" : false, "suffix" : "" } ], "container-title" : "PloS Biology", "id" : "ITEM-1", "issue" : "6", "issued" : { "date-parts" : [ [ "2004" ] ] }, "page" : "0747-0762", "title" : "Electroencephalographic brain dynamics following manually responded visual targets", "type" : "article-journal", "volume" : "2" }, "uris" : [ "http://www.mendeley.com/documents/?uuid=8597476c-23dc-440b-b9a9-5b7dfbed9fc4" ] } ], "mendeley" : { "formattedCitation" : "(Makeig, Delorme, et al., 2004)", "plainTextFormattedCitation" : "(Makeig, Delorme, et al., 2004)", "previouslyFormattedCitation" : "(Makeig, Delorme, et al., 2004)" }, "properties" : { "noteIndex" : 0 }, "schema" : "https://github.com/citation-style-language/schema/raw/master/csl-citation.json" }</w:instrText>
      </w:r>
      <w:r w:rsidRPr="00341B41">
        <w:fldChar w:fldCharType="separate"/>
      </w:r>
      <w:r w:rsidRPr="00341B41">
        <w:rPr>
          <w:noProof/>
        </w:rPr>
        <w:t>(Makeig, Delorme, et al., 2004)</w:t>
      </w:r>
      <w:r w:rsidRPr="00341B41">
        <w:fldChar w:fldCharType="end"/>
      </w:r>
      <w:r w:rsidRPr="00341B41">
        <w:t xml:space="preserve">. However, this may lead to the number of clusters selected not optimal. Recent work in ICA clustering analysis </w:t>
      </w:r>
      <w:r w:rsidR="0059460C" w:rsidRPr="00341B41">
        <w:t>has been focused on</w:t>
      </w:r>
      <w:r w:rsidRPr="00341B41">
        <w:t xml:space="preserve"> developing automated, data driven solutions to the identify the number of clusters that should be computed </w:t>
      </w:r>
      <w:r w:rsidRPr="00341B41">
        <w:fldChar w:fldCharType="begin" w:fldLock="1"/>
      </w:r>
      <w:r w:rsidRPr="00341B41">
        <w:instrText>ADDIN CSL_CITATION { "citationItems" : [ { "id" : "ITEM-1", "itemData" : { "DOI" : "10.1016/j.neuroimage.2013.01.040", "ISBN" : "1095-9572", "ISSN" : "10538119", "PMID" : "23370059", "abstract" : "A crucial question for the analysis of multi-subject and/or multi-session electroencephalographic (EEG) data is how to combine information across multiple recordings from different subjects and/or sessions, each associated with its own set of source processes and scalp projections. Here we introduce a novel statistical method for characterizing the spatial consistency of EEG dynamics across a set of data records. Measure Projection Analysis (MPA) first finds voxels in a common template brain space at which a given dynamic measure is consistent across nearby source locations, then computes local-mean EEG measure values for this voxel subspace using a statistical model of source localization error and between-subject anatomical variation. Finally, clustering the mean measure voxel values in this locally consistent brain subspace finds brain spatial domains exhibiting distinguishable measure features and provides 3-D maps plus statistical significance estimates for each EEG measure of interest. Applied to sufficient high-quality data, the scalp projections of many maximally independent component (IC) processes contributing to recorded high-density EEG data closely match the projection of a single equivalent dipole located in or near brain cortex. We demonstrate the application of MPA to a multi-subject EEG study decomposed using independent component analysis (ICA), compare the results to k-means IC clustering in EEGLAB (sccn.ucsd.edu/eeglab), and use surrogate data to test MPA robustness. A Measure Projection Toolbox (MPT) plug-in for EEGLAB is available for download (sccn.ucsd.edu/wiki/MPT). Together, MPA and ICA allow use of EEG as a 3-D cortical imaging modality with near-cm scale spatial resolution. ?? 2013 Elsevier Inc.", "author" : [ { "dropping-particle" : "", "family" : "Bigdely-Shamlo", "given" : "Nima", "non-dropping-particle" : "", "parse-names" : false, "suffix" : "" }, { "dropping-particle" : "", "family" : "Mullen", "given" : "Tim", "non-dropping-particle" : "", "parse-names" : false, "suffix" : "" }, { "dropping-particle" : "", "family" : "Kreutz-Delgado", "given" : "Kenneth", "non-dropping-particle" : "", "parse-names" : false, "suffix" : "" }, { "dropping-particle" : "", "family" : "Makeig", "given" : "Scott", "non-dropping-particle" : "", "parse-names" : false, "suffix" : "" } ], "container-title" : "NeuroImage", "id" : "ITEM-1", "issued" : { "date-parts" : [ [ "2013" ] ] }, "page" : "287-303", "publisher" : "Elsevier Inc.", "title" : "Measure projection analysis: A probabilistic approach to EEG source comparison and multi-subject inference", "type" : "article-journal", "volume" : "72" }, "uris" : [ "http://www.mendeley.com/documents/?uuid=521df041-ecd2-46fd-acee-da6d205cccda" ] } ], "mendeley" : { "formattedCitation" : "(Bigdely-Shamlo, Mullen, Kreutz-Delgado, &amp; Makeig, 2013)", "plainTextFormattedCitation" : "(Bigdely-Shamlo, Mullen, Kreutz-Delgado, &amp; Makeig, 2013)", "previouslyFormattedCitation" : "(Bigdely-Shamlo, Mullen, Kreutz-Delgado, &amp; Makeig, 2013)" }, "properties" : { "noteIndex" : 0 }, "schema" : "https://github.com/citation-style-language/schema/raw/master/csl-citation.json" }</w:instrText>
      </w:r>
      <w:r w:rsidRPr="00341B41">
        <w:fldChar w:fldCharType="separate"/>
      </w:r>
      <w:r w:rsidRPr="00341B41">
        <w:rPr>
          <w:noProof/>
        </w:rPr>
        <w:t>(Bigdely-Shamlo, Mullen, Kreutz-Delgado, &amp; Makeig, 2013)</w:t>
      </w:r>
      <w:r w:rsidRPr="00341B41">
        <w:fldChar w:fldCharType="end"/>
      </w:r>
      <w:r w:rsidRPr="00341B41">
        <w:t>. It is likely that these approaches will be utilised more in the future</w:t>
      </w:r>
      <w:r w:rsidR="00B636C5" w:rsidRPr="00341B41">
        <w:t xml:space="preserve">. </w:t>
      </w:r>
    </w:p>
    <w:p w14:paraId="31D65D04" w14:textId="733311B2" w:rsidR="006103C8" w:rsidRPr="00341B41" w:rsidRDefault="000E5280" w:rsidP="006103C8">
      <w:pPr>
        <w:ind w:firstLine="720"/>
      </w:pPr>
      <w:r w:rsidRPr="00341B41">
        <w:t xml:space="preserve">A final issue regarding IC clustering is the reproducibility of the clustering results. In other words, if a future study were to replicate the analysis strategy presented here it is important that the IC clustering reliably returns a similar set of clusters. There is evidence that ICA decomposition and clustering is stable across multiple studies. For instance, in a mind wandering experiment EEG data was recorded across 11 sessions over a 5-week period. It found that when using </w:t>
      </w:r>
      <w:proofErr w:type="spellStart"/>
      <w:r w:rsidRPr="00341B41">
        <w:t>Infomax</w:t>
      </w:r>
      <w:proofErr w:type="spellEnd"/>
      <w:r w:rsidRPr="00341B41">
        <w:t xml:space="preserve"> ICA decomposition and K-Means component clustering (as was used in the results of this Chapter), components reflecting alpha, beta, and mu activity were identified consistently across multiple sessions and were reliably </w:t>
      </w:r>
      <w:r w:rsidRPr="00341B41">
        <w:lastRenderedPageBreak/>
        <w:t xml:space="preserve">clustered in each of the sessions </w:t>
      </w:r>
      <w:r w:rsidRPr="00341B41">
        <w:fldChar w:fldCharType="begin" w:fldLock="1"/>
      </w:r>
      <w:r w:rsidRPr="00341B41">
        <w:instrText>ADDIN CSL_CITATION { "citationItems" : [ { "id" : "ITEM-1", "itemData" : { "DOI" : "10.1109/EMBC.2012.6347540", "ISBN" : "9781424441198", "ISSN" : "1557170X", "PMID" : "23367475", "abstract" : "Independent Component Analysis (ICA) has been successfully used to identify brain related signals and artifacts from multi-channel electroencephalographic (EEG) data. However the stability of ICA decompositions across sessions from a single subject has not been investigated. The goal of this study was to isolate EEG independent components (ICs) across sessions for each subject so as to assess whether ICs are reproducible across sessions. We used 64-channel EEG data recorded from two subjects during a simple mind-wandering experiment. Each subject participated in 11 twenty-minute sessions over a period of five weeks. Extended Infomax ICA decomposition was performed on the continuous data of each session. We used a simple IC clustering technique based on correlation of scalp topographies. Several clusters of homogenous components were identified for each subject. Typical component clusters accounting for eye movement and eye blink artifacts were identified. Both clusters included one component from each recording session. In addition, several clusters corresponding to brain electrical sources, among them clusters exhibiting prominent alpha, beta and Mu band activities, included components from most sessions. These results present evidence that ICA can provide relatively stable solutions across sessions, with important implications for Brain Computer Interface research.", "author" : [ { "dropping-particle" : "", "family" : "Grandchamp", "given" : "Romain", "non-dropping-particle" : "", "parse-names" : false, "suffix" : "" }, { "dropping-particle" : "", "family" : "Braboszcz", "given" : "Claire", "non-dropping-particle" : "", "parse-names" : false, "suffix" : "" }, { "dropping-particle" : "", "family" : "Makeig", "given" : "Scott", "non-dropping-particle" : "", "parse-names" : false, "suffix" : "" }, { "dropping-particle" : "", "family" : "Delorme", "given" : "Arnaud", "non-dropping-particle" : "", "parse-names" : false, "suffix" : "" } ], "container-title" : "Proceedings of the Annual International Conference of the IEEE Engineering in Medicine and Biology Society, EMBS", "id" : "ITEM-1", "issue" : "0", "issued" : { "date-parts" : [ [ "2012" ] ] }, "page" : "6735-6739", "title" : "Stability of ICA decomposition across within-subject EEG datasets", "type" : "article-journal", "volume" : "33" }, "uris" : [ "http://www.mendeley.com/documents/?uuid=5947d0c0-6b22-4468-8a4e-da652e6ae809" ] } ], "mendeley" : { "formattedCitation" : "(Grandchamp et al., 2012)", "plainTextFormattedCitation" : "(Grandchamp et al., 2012)", "previouslyFormattedCitation" : "(Grandchamp et al., 2012)" }, "properties" : { "noteIndex" : 0 }, "schema" : "https://github.com/citation-style-language/schema/raw/master/csl-citation.json" }</w:instrText>
      </w:r>
      <w:r w:rsidRPr="00341B41">
        <w:fldChar w:fldCharType="separate"/>
      </w:r>
      <w:r w:rsidRPr="00341B41">
        <w:rPr>
          <w:noProof/>
        </w:rPr>
        <w:t>(Grandchamp et al., 2012)</w:t>
      </w:r>
      <w:r w:rsidRPr="00341B41">
        <w:fldChar w:fldCharType="end"/>
      </w:r>
      <w:r w:rsidRPr="00341B41">
        <w:t>. As such, there is evidence that ICA decomposition and clustering is reliable and consistent across testing sessions.</w:t>
      </w:r>
      <w:r w:rsidR="006103C8" w:rsidRPr="00341B41">
        <w:t xml:space="preserve"> </w:t>
      </w:r>
    </w:p>
    <w:p w14:paraId="757DA93F" w14:textId="53D79920" w:rsidR="006103C8" w:rsidRPr="00341B41" w:rsidRDefault="000E5280" w:rsidP="006103C8">
      <w:pPr>
        <w:ind w:firstLine="720"/>
      </w:pPr>
      <w:r w:rsidRPr="00341B41">
        <w:t>Despite the use of ICA, source localisation with EEG is not precise, and only provides an estimate as to the generator of the activity. Furthermore, the use of a standard head template and a standard electrode location file for each participant makes precise estimation problematic. Nevertheless, precision was high enough to clearly distinguish and separate sensorimotor sources from posterior/occipital sources. This is what was required for this Chapter. Furthermore, location estimates for the sensorimotor cluster</w:t>
      </w:r>
      <w:r w:rsidR="007A3919" w:rsidRPr="00341B41">
        <w:t>s</w:t>
      </w:r>
      <w:r w:rsidRPr="00341B41">
        <w:t xml:space="preserve"> analysed here do correspond to the findings of fMRI studies that have shown sensorimotor areas to exhibit greater activations in experienced athletes </w:t>
      </w:r>
      <w:r w:rsidRPr="00341B41">
        <w:fldChar w:fldCharType="begin" w:fldLock="1"/>
      </w:r>
      <w:r w:rsidR="00B636C5"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"DOI" : "10.3389/fnhum.2013.00851", "ISSN" : "1662-5161", "PMID" : "24381549", "abstract" : "Expert soccer players are able to utilize their opponents' early body kinematics to predict the direction in which the opponent will move. We have previously demonstrated enhanced fMRI activation in experts in the motor components of an action observation network (AON) during sports anticipation tasks. Soccer players often need to prevent opponents from successfully predicting their line of attack, and consequently may try to deceive them; for example, by performing a step-over. We examined how AON activations and expertise effects are modified by the presence of deception. Three groups of participants; higher-skilled males, lower-skilled males, and lower-skilled females, viewed video clips in point-light format, from a defender's perspective, of a player approaching and turning with the ball. The observer's task in the scanner was to determine whether the move was normal or deceptive (involving a step-over), while whole-brain functional images were acquired. In a second counterbalanced block with identical stimuli the task was to predict the direction of the ball. Activations of AON for identification of deception overlapped with activations from the direction identification task. Higher-skilled players showed significantly greater activation than lower-skilled players in a subset of AON areas; and lower-skilled males in turn showed greater activation than lower-skilled females, but females showed more activation in visual cortex. Activation was greater for deception identification than for direction identification in dorsolateral prefrontal cortex, medial frontal cortex, anterior insula, cingulate gyrus, and premotor cortex. Conversely, greater activation for direction than deception identification was found in anterior cingulate cortex and caudate nucleus. Results are consistent with the view that explicit identification of deceptive moves entails cognitive effort and also activates limbic structures associated with social cognition and affective responses.",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"Frontiers in Human Neuroscience", "id" : "ITEM-3", "issue" : "851", "issued" : { "date-parts" : [ [ "2013", "1" ] ] }, "title" : "Brain regions concerned with the identification of deceptive soccer moves by higher-skilled and lower-skilled players.", "type" : "article-journal", "volume" : "7" }, "uris" : [ "http://www.mendeley.com/documents/?uuid=092674e9-f2c4-4d04-b533-41563e092a38" ] }, { "id" : "ITEM-4",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"ITEM-4",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"ITEM-5",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"ITEM-5", "issue" : "2", "issued" : { "date-parts" : [ [ "2010", "1", "27" ] ] }, "page" : "94-8", "title" : "Functional MRI reveals expert-novice differences during sport-related anticipation.", "type" : "article-journal", "volume" : "21" }, "uris" : [ "http://www.mendeley.com/documents/?uuid=725596c1-c912-41b6-83c3-6d654c4bff23" ] } ], "mendeley" : { "formattedCitation" : "(Balser, Lorey, Pilgramm, Naumann, et al., 2014; Balser, Lorey, Pilgramm, Stark, et al., 2014; Wright et al., 2010, 2011, 2013)", "plainTextFormattedCitation" : "(Balser, Lorey, Pilgramm, Naumann, et al., 2014; Balser, Lorey, Pilgramm, Stark, et al., 2014; Wright et al., 2010, 2011, 2013)", "previouslyFormattedCitation" : "(Balser, Lorey, Pilgramm, Naumann, et al., 2014; Balser, Lorey, Pilgramm, Stark, et al., 2014; Wright et al., 2010, 2011, 2013)" }, "properties" : { "noteIndex" : 0 }, "schema" : "https://github.com/citation-style-language/schema/raw/master/csl-citation.json" }</w:instrText>
      </w:r>
      <w:r w:rsidRPr="00341B41">
        <w:fldChar w:fldCharType="separate"/>
      </w:r>
      <w:r w:rsidRPr="00341B41">
        <w:rPr>
          <w:noProof/>
        </w:rPr>
        <w:t>(Balser, Lorey, Pilgramm, Naumann, et al., 2014; Balser, Lorey, Pilgramm, Stark, et al., 2014; Wright et al., 2010, 2011, 2013)</w:t>
      </w:r>
      <w:r w:rsidRPr="00341B41">
        <w:fldChar w:fldCharType="end"/>
      </w:r>
      <w:r w:rsidRPr="00341B41">
        <w:t xml:space="preserve">. It is important that future studies work to further improve the accuracy of the localisation of mu and sensorimotor beta activity. Developments in individual electrode location </w:t>
      </w:r>
      <w:r w:rsidR="004A472C" w:rsidRPr="00341B41">
        <w:t>templates</w:t>
      </w:r>
      <w:r w:rsidRPr="00341B41">
        <w:t xml:space="preserve">, the use of more precise head models (including the use of structural MRI images), and also simultaneous EEG-fMRI are all ways this can be achieved in future research </w:t>
      </w:r>
      <w:r w:rsidRPr="00341B41">
        <w:fldChar w:fldCharType="begin" w:fldLock="1"/>
      </w:r>
      <w:r w:rsidRPr="00341B41">
        <w:instrText>ADDIN CSL_CITATION { "citationItems" : [ { "id" : "ITEM-1", "itemData" : { "DOI" : "10.1523/JNEUROSCI.0447-12.2012", "ISBN" : "1529-2401 (Electronic)\\r0270-6474 (Linking)", "ISSN" : "1529-2401", "PMID" : "22553012", "abstract" : "The simultaneous recording and analysis of electroencephalography (EEG) and fMRI data in human systems, cognitive and clinical neurosciences is rapidly evolving and has received substantial attention. The significance of multimodal brain imaging is documented by a steadily increasing number of laboratories now using simultaneous EEG-fMRI aiming to achieve both high temporal and spatial resolution of human brain function. Due to recent developments in technical and algorithmic instrumentation, the rate-limiting step in multimodal studies has shifted from data acquisition to analytic aspects. Here, we introduce and compare different methods for data integration and identify the benefits that come with each approach, guiding the reader toward an understanding and informed selection of the integration approach most suitable for addressing a particular research question.", "author" : [ { "dropping-particle" : "", "family" : "Huster", "given" : "Ren\u00e9 J", "non-dropping-particle" : "", "parse-names" : false, "suffix" : "" }, { "dropping-particle" : "", "family" : "Debener", "given" : "Stefan", "non-dropping-particle" : "", "parse-names" : false, "suffix" : "" }, { "dropping-particle" : "", "family" : "Eichele", "given" : "Tom", "non-dropping-particle" : "", "parse-names" : false, "suffix" : "" }, { "dropping-particle" : "", "family" : "Herrmann", "given" : "Christoph S", "non-dropping-particle" : "", "parse-names" : false, "suffix" : "" } ], "container-title" : "The Journal of Neuroscience", "id" : "ITEM-1", "issue" : "18", "issued" : { "date-parts" : [ [ "2012" ] ] }, "page" : "6053-60", "title" : "Methods for simultaneous EEG-fMRI: an introductory review.", "type" : "article-journal", "volume" : "32" }, "uris" : [ "http://www.mendeley.com/documents/?uuid=1eb8cdb3-787c-4840-bb1d-d478100060ce" ] }, { "id" : "ITEM-2", "itemData" : { "DOI" : "10.1016/j.jneumeth.2010.04.031", "ISBN" : "978-1-4244-1814-5", "ISSN" : "01650270", "PMID" : "20457183", "abstract" : "This paper introduces a Neuroelectromagnetic Forward Head Modeling Toolbox (NFT) running under MATLAB (The Mathworks, Inc.) for generating realistic head models from available data (MRI and/or electrode locations) and for computing numerical solutions for the forward problem of electromagnetic source imaging. The NFT includes tools for segmenting scalp, skull, cerebrospinal fluid (CSF) and brain tissues from T1-weighted magnetic resonance (MR) images. The Boundary Element Method (BEM) is used for the numerical solution of the forward problem. After extracting segmented tissue volumes, surface BEM meshes can be generated. When a subject MR image is not available, a template head model can be warped to measured electrode locations to obtain an individualized head model. Toolbox functions may be called either from a graphic user interface compatible with EEGLAB (http://sccn.ucsd.edu/eeglab), or from the MATLAB command line. Function help messages and a user tutorial are included. The toolbox is freely available under the GNU Public License for noncommercial use and open source development. ?? 2010 Elsevier B.V.", "author" : [ { "dropping-particle" : "", "family" : "Acar", "given" : "Zeynep Akalin", "non-dropping-particle" : "", "parse-names" : false, "suffix" : "" }, { "dropping-particle" : "", "family" : "Makeig", "given" : "Scott", "non-dropping-particle" : "", "parse-names" : false, "suffix" : "" } ], "container-title" : "Journal of Neuroscience Methods", "id" : "ITEM-2", "issue" : "2", "issued" : { "date-parts" : [ [ "2010" ] ] }, "page" : "258-270", "title" : "Neuroelectromagnetic Forward Head Modeling Toolbox", "type" : "article-journal", "volume" : "190" }, "uris" : [ "http://www.mendeley.com/documents/?uuid=9ce53841-5f3d-4ef2-b805-efe3b34eee25" ] } ], "mendeley" : { "formattedCitation" : "(Acar &amp; Makeig, 2010; Huster, Debener, Eichele, &amp; Herrmann, 2012)", "plainTextFormattedCitation" : "(Acar &amp; Makeig, 2010; Huster, Debener, Eichele, &amp; Herrmann, 2012)", "previouslyFormattedCitation" : "(Acar &amp; Makeig, 2010; Huster, Debener, Eichele, &amp; Herrmann, 2012)" }, "properties" : { "noteIndex" : 0 }, "schema" : "https://github.com/citation-style-language/schema/raw/master/csl-citation.json" }</w:instrText>
      </w:r>
      <w:r w:rsidRPr="00341B41">
        <w:fldChar w:fldCharType="separate"/>
      </w:r>
      <w:r w:rsidRPr="00341B41">
        <w:rPr>
          <w:noProof/>
        </w:rPr>
        <w:t>(Acar &amp; Makeig, 2010; Huster, Debener, Eichele, &amp; Herrmann, 2012)</w:t>
      </w:r>
      <w:r w:rsidRPr="00341B41">
        <w:fldChar w:fldCharType="end"/>
      </w:r>
      <w:r w:rsidRPr="00341B41">
        <w:t>.</w:t>
      </w:r>
      <w:r w:rsidR="006103C8" w:rsidRPr="00341B41">
        <w:t xml:space="preserve"> </w:t>
      </w:r>
    </w:p>
    <w:p w14:paraId="57783B9F" w14:textId="75C8FE91" w:rsidR="000E5280" w:rsidRPr="00341B41" w:rsidRDefault="000E5280" w:rsidP="006103C8">
      <w:pPr>
        <w:ind w:firstLine="720"/>
        <w:rPr>
          <w:rFonts w:cs="Times New Roman"/>
        </w:rPr>
      </w:pPr>
      <w:r w:rsidRPr="00341B41">
        <w:t xml:space="preserve">With these issues in mind, this Chapter has provided evidence that the </w:t>
      </w:r>
      <w:r w:rsidR="006103C8" w:rsidRPr="00341B41">
        <w:t>sensorimotor system</w:t>
      </w:r>
      <w:r w:rsidRPr="00341B41">
        <w:t xml:space="preserve"> plays a role in expert action observation prior to making an anticipation. </w:t>
      </w:r>
      <w:r w:rsidRPr="00341B41">
        <w:rPr>
          <w:rFonts w:cs="Times New Roman"/>
        </w:rPr>
        <w:t xml:space="preserve">By using ICA, the existing literature </w:t>
      </w:r>
      <w:r w:rsidR="00585B7A" w:rsidRPr="00341B41">
        <w:rPr>
          <w:rFonts w:cs="Times New Roman"/>
        </w:rPr>
        <w:t>has</w:t>
      </w:r>
      <w:r w:rsidRPr="00341B41">
        <w:rPr>
          <w:rFonts w:cs="Times New Roman"/>
        </w:rPr>
        <w:t xml:space="preserve"> been extended, to show for the first time that these expertise differences are unique to sensorimotor sources, and that no expertise-related differences exist in attention modulated, posterior alpha sources. As such, this study provides a much cleaner measure of the </w:t>
      </w:r>
      <w:r w:rsidR="00585B7A" w:rsidRPr="00341B41">
        <w:rPr>
          <w:rFonts w:cs="Times New Roman"/>
        </w:rPr>
        <w:t xml:space="preserve">sensorimotor </w:t>
      </w:r>
      <w:proofErr w:type="spellStart"/>
      <w:r w:rsidR="00585B7A" w:rsidRPr="00341B41">
        <w:rPr>
          <w:rFonts w:cs="Times New Roman"/>
        </w:rPr>
        <w:t>ststem</w:t>
      </w:r>
      <w:proofErr w:type="spellEnd"/>
      <w:r w:rsidRPr="00341B41">
        <w:rPr>
          <w:rFonts w:cs="Times New Roman"/>
        </w:rPr>
        <w:t xml:space="preserve"> during action observation, and its modulation by motor expertise, than has been possible in previous work. Whilst tennis was the specific </w:t>
      </w:r>
      <w:r w:rsidRPr="00341B41">
        <w:rPr>
          <w:rFonts w:cs="Times New Roman"/>
        </w:rPr>
        <w:lastRenderedPageBreak/>
        <w:t>domain studies here, it is predicted that similar processes underlie skilled anticipation both in other similar sports and other dynamic real-world contexts.</w:t>
      </w:r>
    </w:p>
    <w:p w14:paraId="376F81A4" w14:textId="77777777" w:rsidR="004A64FE" w:rsidRPr="00341B41" w:rsidRDefault="004A64FE" w:rsidP="004A64FE">
      <w:pPr>
        <w:sectPr w:rsidR="004A64FE" w:rsidRPr="00341B41" w:rsidSect="00805FAB">
          <w:pgSz w:w="12240" w:h="15840"/>
          <w:pgMar w:top="1440" w:right="1138" w:bottom="1440" w:left="2275" w:header="720" w:footer="720" w:gutter="0"/>
          <w:cols w:space="720"/>
          <w:titlePg/>
          <w:docGrid w:linePitch="360"/>
        </w:sectPr>
      </w:pPr>
    </w:p>
    <w:p w14:paraId="341F960A" w14:textId="794E3739" w:rsidR="004A64FE" w:rsidRPr="00341B41" w:rsidRDefault="00B00C58" w:rsidP="00B00C58">
      <w:pPr>
        <w:pStyle w:val="Heading1"/>
      </w:pPr>
      <w:bookmarkStart w:id="101" w:name="_Toc486260888"/>
      <w:r w:rsidRPr="00341B41">
        <w:lastRenderedPageBreak/>
        <w:t xml:space="preserve">Chapter 5 – </w:t>
      </w:r>
      <w:r w:rsidR="00967534" w:rsidRPr="00341B41">
        <w:t>Contrasting correctly vs incorrectly anticipated trials and an</w:t>
      </w:r>
      <w:r w:rsidRPr="00341B41">
        <w:t xml:space="preserve"> individual level analyses of expertise modulated sensorimotor activity during action anticipation</w:t>
      </w:r>
      <w:bookmarkEnd w:id="101"/>
    </w:p>
    <w:p w14:paraId="4CDAA7A3" w14:textId="218D5B06" w:rsidR="00B00C58" w:rsidRPr="00341B41" w:rsidRDefault="00B00C58" w:rsidP="00B00C58">
      <w:pPr>
        <w:pStyle w:val="Heading2"/>
      </w:pPr>
      <w:bookmarkStart w:id="102" w:name="_Toc486260889"/>
      <w:r w:rsidRPr="00341B41">
        <w:t>5.1.</w:t>
      </w:r>
      <w:r w:rsidRPr="00341B41">
        <w:tab/>
        <w:t>Introduction</w:t>
      </w:r>
      <w:bookmarkEnd w:id="102"/>
    </w:p>
    <w:p w14:paraId="6043BBED" w14:textId="1E94F310" w:rsidR="00B00C58" w:rsidRPr="00341B41" w:rsidRDefault="00515E52" w:rsidP="00515E52">
      <w:r w:rsidRPr="00341B41">
        <w:t>Chapter 3 and Chapter 4 show</w:t>
      </w:r>
      <w:r w:rsidR="003F414A" w:rsidRPr="00341B41">
        <w:t>ed</w:t>
      </w:r>
      <w:r w:rsidRPr="00341B41">
        <w:t xml:space="preserve"> group-level </w:t>
      </w:r>
      <w:r w:rsidR="00D5617D" w:rsidRPr="00341B41">
        <w:t>differences</w:t>
      </w:r>
      <w:r w:rsidRPr="00341B41">
        <w:t xml:space="preserve"> in expertise modulation of the sensorimotor system during action anticipation. The novel use of an ICA analysis in Chapter 4 also showed that expertise</w:t>
      </w:r>
      <w:r w:rsidR="003F414A" w:rsidRPr="00341B41">
        <w:t xml:space="preserve"> </w:t>
      </w:r>
      <w:r w:rsidRPr="00341B41">
        <w:t>differences in ongoing neural activity during action observation prior to anticipation are unique to sensorimotor sources</w:t>
      </w:r>
      <w:r w:rsidR="003F414A" w:rsidRPr="00341B41">
        <w:t>.</w:t>
      </w:r>
      <w:r w:rsidRPr="00341B41">
        <w:t xml:space="preserve"> </w:t>
      </w:r>
      <w:r w:rsidR="003F414A" w:rsidRPr="00341B41">
        <w:t xml:space="preserve">These results take forward </w:t>
      </w:r>
      <w:r w:rsidRPr="00341B41">
        <w:t xml:space="preserve">previous </w:t>
      </w:r>
      <w:r w:rsidR="003F414A" w:rsidRPr="00341B41">
        <w:t xml:space="preserve">work </w:t>
      </w:r>
      <w:r w:rsidRPr="00341B41">
        <w:t>that ha</w:t>
      </w:r>
      <w:r w:rsidR="003F414A" w:rsidRPr="00341B41">
        <w:t>d</w:t>
      </w:r>
      <w:r w:rsidRPr="00341B41">
        <w:t xml:space="preserve"> not been able to </w:t>
      </w:r>
      <w:r w:rsidR="00C07AC0" w:rsidRPr="00341B41">
        <w:t xml:space="preserve">identify </w:t>
      </w:r>
      <w:r w:rsidRPr="00341B41">
        <w:t xml:space="preserve">the specificity of enhanced sensorimotor activity </w:t>
      </w:r>
      <w:r w:rsidR="00F61E21" w:rsidRPr="00341B41">
        <w:t xml:space="preserve">in expert athletes during action anticipation </w:t>
      </w:r>
      <w:r w:rsidR="00F61E21" w:rsidRPr="00341B41">
        <w:fldChar w:fldCharType="begin" w:fldLock="1"/>
      </w:r>
      <w:r w:rsidR="00907792" w:rsidRPr="00341B41">
        <w:instrText>ADDIN CSL_CITATION { "citationItems" : [ { "id" : "ITEM-1", "itemData" : { "DOI" : "10.1016/j.neubiorev.2015.11.007", "ISBN" : "4018742193", "ISSN" : "01497634", "PMID" : "26616736", "abstract" : "The purpose of this study was to provide a systematic review of action anticipation studies using functional neuroimaging or brain stimulation during a sport-specific anticipation task. A total of 15 studies from 2008 to 2014 were evaluated and are reported in four sections: expert-novice samples, action anticipation tasks, neuroimaging and stimulation techniques, and key findings. Investigators examined a wide range of action anticipation scenarios specific to eight different sports and utilized functional magnetic resonance imaging (fMRI), electroencephalogram (EEG), and transcranial magnetic stimulation (TMS). Expert-novice comparisons were commonly used to investigate differences in action anticipation performance and neurophysiology. Experts tended to outperform novices, and an extensive array of brain structures were reported to be involved differently for experts and novices during action anticipation. However, these neurophysiological findings were generally inconsistent across the studies reviewed. The discussion focuses on strengths and four key limitations. The conclusion posits remaining questions and recommendations for future research.", "author" : [ { "dropping-particle" : "", "family" : "Smith", "given" : "Daniel M.", "non-dropping-particle" : "", "parse-names" : false, "suffix" : "" } ], "container-title" : "Neuroscience and Biobehavioural Reviews", "id" : "ITEM-1", "issued" : { "date-parts" : [ [ "2015" ] ] }, "page" : "115-120", "publisher" : "Elsevier Ltd", "title" : "Neurophysiology of action anticipation in athletes: A systematic review", "type" : "article-journal", "volume" : "60" }, "uris" : [ "http://www.mendeley.com/documents/?uuid=f9764006-7473-47c4-95ab-7ee1197852d5" ] } ], "mendeley" : { "formattedCitation" : "(Smith, 2015)", "plainTextFormattedCitation" : "(Smith, 2015)", "previouslyFormattedCitation" : "(Smith, 2015)" }, "properties" : { "noteIndex" : 0 }, "schema" : "https://github.com/citation-style-language/schema/raw/master/csl-citation.json" }</w:instrText>
      </w:r>
      <w:r w:rsidR="00F61E21" w:rsidRPr="00341B41">
        <w:fldChar w:fldCharType="separate"/>
      </w:r>
      <w:r w:rsidR="00384056" w:rsidRPr="00341B41">
        <w:rPr>
          <w:noProof/>
        </w:rPr>
        <w:t>(Smith, 2015)</w:t>
      </w:r>
      <w:r w:rsidR="00F61E21" w:rsidRPr="00341B41">
        <w:fldChar w:fldCharType="end"/>
      </w:r>
      <w:r w:rsidR="00F61E21" w:rsidRPr="00341B41">
        <w:t>.</w:t>
      </w:r>
    </w:p>
    <w:p w14:paraId="3B815B78" w14:textId="1DEDD023" w:rsidR="00020B0E" w:rsidRPr="00341B41" w:rsidRDefault="00020B0E" w:rsidP="00515E52">
      <w:r w:rsidRPr="00341B41">
        <w:tab/>
        <w:t xml:space="preserve">Despite experienced players showing significantly higher anticipation accuracy than novices at the group level, the experienced group only anticipated correctly </w:t>
      </w:r>
      <w:r w:rsidR="003F414A" w:rsidRPr="00341B41">
        <w:t xml:space="preserve">60% of trials </w:t>
      </w:r>
      <w:r w:rsidRPr="00341B41">
        <w:t xml:space="preserve">on average. This means that on 40% of shots, they </w:t>
      </w:r>
      <w:r w:rsidR="003F414A" w:rsidRPr="00341B41">
        <w:t xml:space="preserve">were </w:t>
      </w:r>
      <w:r w:rsidRPr="00341B41">
        <w:t xml:space="preserve">incorrect in their anticipation. The implication of this based on previous research is that </w:t>
      </w:r>
      <w:r w:rsidR="00D5617D" w:rsidRPr="00341B41">
        <w:t>on the trials that players got wrong, they were unable to extract the required kinematic cues in order to help them understand the in</w:t>
      </w:r>
      <w:r w:rsidR="00432886" w:rsidRPr="00341B41">
        <w:t xml:space="preserve">tention of the observed player. As the sensorimotor system </w:t>
      </w:r>
      <w:r w:rsidR="008050DD" w:rsidRPr="00341B41">
        <w:t>may</w:t>
      </w:r>
      <w:r w:rsidR="00432886" w:rsidRPr="00341B41">
        <w:t xml:space="preserve"> aid in successful action understanding, it would be expected that activation of this system prior to making a correct anticipation would be greater for correctly anticipated actions compared to incorrectly anticipated actions </w:t>
      </w:r>
      <w:r w:rsidR="00432886" w:rsidRPr="00341B41">
        <w:fldChar w:fldCharType="begin" w:fldLock="1"/>
      </w:r>
      <w:r w:rsidR="007A7E98"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"DOI" : "10.3389/fnhum.2013.00819", "ISSN" : "1662-5161", "PMID" : "24348365", "abstract" : "The most efficient way to acquire motor skills may be through physical practice. Nevertheless, it has also been shown that action observation may improve motor performance. The aim of the present pilot study was to examine a potential action observation paradigm used to (1) capture the superior performance of expert athletes and (2) capture the underlying neural mechanisms of successful action observation in relation to task experience. We used functional magnetic resonance imaging to measure regional blood flow while presenting videos of a hockey player shooting a puck toward a hockey goal. The videos (a total of 120) where stopped at different time frames with different amount of information provided, creating a paradigm with three different levels of difficulty to decide the fate of a shot. Since this was only a pilot study, we first tested the paradigm behaviorally on six elite expert hockey players, five intermediate players, and six non-hockey playing controls. The results showed that expert hockey players were significantly (p &lt; 0.05) more accurate on deciding the fate of the action compared to the others. Thus, it appears as if the paradigm can capture superior performance of expert athletes (aim 1). We then tested three of the hockey players and three of the controls on the same paradigm in the MRI scanner to investigate the underlying neural mechanisms of successful action anticipation. The imaging results showed that when expert hockey players observed and correctly anticipated situations, they recruited motor and temporal regions of the brain. Novices, on the other hand, relied on visual regions during observation and prefrontal regions during action decision. Thus, the results from the imaging data suggest that different networks of the brain are recruited depending on task experience (aim 2). In conclusion, depending on the level of motor skill of the observer, when correctly anticipating actions different neural systems will be recruited.", "author" : [ { "dropping-particle" : "", "family" : "Olsson", "given" : "Carl", "non-dropping-particle" : "", "parse-names" : false, "suffix" : "" }, { "dropping-particle" : "", "family" : "Lundstr\u00f6m", "given" : "Peter", "non-dropping-particle" : "", "parse-names" : false, "suffix" : "" } ], "container-title" : "Frontiers in Human Neuroscience", "id" : "ITEM-2", "issue" : "819", "issued" : { "date-parts" : [ [ "2013", "1" ] ] }, "title" : "Using action observation to study superior motor performance: a pilot fMRI study.", "type" : "article-journal", "volume" : "7" }, "uris" : [ "http://www.mendeley.com/documents/?uuid=e1f8c226-7951-40e3-be78-1ab8a0624f37" ] } ], "mendeley" : { "formattedCitation" : "(Balser, Lorey, Pilgramm, Stark, et al., 2014; Olsson &amp; Lundstr\u00f6m, 2013)", "plainTextFormattedCitation" : "(Balser, Lorey, Pilgramm, Stark, et al., 2014; Olsson &amp; Lundstr\u00f6m, 2013)", "previouslyFormattedCitation" : "(Balser, Lorey, Pilgramm, Stark, et al., 2014; Olsson &amp; Lundstr\u00f6m, 2013)" }, "properties" : { "noteIndex" : 0 }, "schema" : "https://github.com/citation-style-language/schema/raw/master/csl-citation.json" }</w:instrText>
      </w:r>
      <w:r w:rsidR="00432886" w:rsidRPr="00341B41">
        <w:fldChar w:fldCharType="separate"/>
      </w:r>
      <w:r w:rsidR="00CE520B" w:rsidRPr="00341B41">
        <w:rPr>
          <w:noProof/>
        </w:rPr>
        <w:t>(Balser, Lorey, Pilgramm, Stark, et al., 2014; Olsson &amp; Lundström, 2013)</w:t>
      </w:r>
      <w:r w:rsidR="00432886" w:rsidRPr="00341B41">
        <w:fldChar w:fldCharType="end"/>
      </w:r>
      <w:r w:rsidR="00432886" w:rsidRPr="00341B41">
        <w:t xml:space="preserve">. </w:t>
      </w:r>
    </w:p>
    <w:p w14:paraId="6FFC6475" w14:textId="2BE21E7D" w:rsidR="00A507D7" w:rsidRPr="00341B41" w:rsidRDefault="00050D89" w:rsidP="00515E52">
      <w:r w:rsidRPr="00341B41">
        <w:lastRenderedPageBreak/>
        <w:tab/>
      </w:r>
      <w:r w:rsidR="00105F12" w:rsidRPr="00341B41">
        <w:t>N</w:t>
      </w:r>
      <w:r w:rsidR="00E905E6" w:rsidRPr="00341B41">
        <w:t xml:space="preserve">o research to date </w:t>
      </w:r>
      <w:r w:rsidR="0054728A" w:rsidRPr="00341B41">
        <w:t xml:space="preserve">using EEG </w:t>
      </w:r>
      <w:r w:rsidR="00E905E6" w:rsidRPr="00341B41">
        <w:t>has examined what the strength of association is between sensorimotor activity and indiv</w:t>
      </w:r>
      <w:r w:rsidR="00FA2763" w:rsidRPr="00341B41">
        <w:t>idual anticipation performance.</w:t>
      </w:r>
      <w:r w:rsidR="0054728A" w:rsidRPr="00341B41">
        <w:t xml:space="preserve"> In the fMRI literature, some studies of action anticipation have shown greater fronto-parietal AON activation for correctly anticipated trials, compared to incorrectly anticipated ones in athletes </w:t>
      </w:r>
      <w:r w:rsidR="0054728A" w:rsidRPr="00341B41">
        <w:fldChar w:fldCharType="begin" w:fldLock="1"/>
      </w:r>
      <w:r w:rsidR="0054728A"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"Naumann", "given" : "Tim", "non-dropping-particle" : "", "parse-names" : false, "suffix" : "" }, { "dropping-particle" : "", "family" : "Kindermann", "given" : "Stefan", "non-dropping-particle" : "", "parse-names" : false, "suffix" : "" }, { "dropping-particle" : "", "family" : "Stark", "given" : "Rudolf",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"Jorn", "non-dropping-particle" : "", "parse-names" : false, "suffix" : "" } ], "container-title" : "Frontiers in Human Neuroscience", "id" : "ITEM-2", "issue" : "568", "issued" : { "date-parts" : [ [ "2014" ] ] }, "page" : "1-13", "title" : "The influence of expertise on brain activation of the action observation network during anticipation of tennis and volleyball serves", "type" : "article-journal", "volume" : "8" }, "uris" : [ "http://www.mendeley.com/documents/?uuid=1cf93ebe-bd40-4bab-bd3c-f0743df68623" ] }, { "id" : "ITEM-3", "itemData" : { "DOI" : "10.1016/j.neuroscience.2013.01.048", "ISSN" : "1873-7544", "PMID" : "23384606", "abstract" : "Athletes exhibit better anticipation abilities than novices. However, it is not known whether this difference is related to different visual perceptions between them and which neural elements are involved in producing this difference. Fifteen elite basketball players and 15 novices participated in an action anticipation task with basketball free throw. Accurate rate for anticipation and gaze behavior were analyzed. Functional brain activity was recorded using functional magnetic resonance imaging. We found that the accurate rate for anticipation was higher in athletes than that in novices. Athletes showed more stable gaze fixation than novices and the locus of fixation was reliable in athletes but not in novices. Athletes showed higher activity in inferior parietal lobule and inferior frontal gyrus than novices during action anticipation. We conclude that the processes for action anticipation in elite athletes and novices are different and this difference is caused by different visual perceptions between them.", "author" : [ { "dropping-particle" : "", "family" : "Wu", "given" : "Y", "non-dropping-particle" : "", "parse-names" : false, "suffix" : "" }, { "dropping-particle" : "", "family" : "Zeng", "given" : "Y", "non-dropping-particle" : "", "parse-names" : false, "suffix" : "" }, { "dropping-particle" : "", "family" : "Zhang", "given" : "L", "non-dropping-particle" : "", "parse-names" : false, "suffix" : "" }, { "dropping-particle" : "", "family" : "Wang", "given" : "S", "non-dropping-particle" : "", "parse-names" : false, "suffix" : "" }, { "dropping-particle" : "", "family" : "Wang", "given" : "D", "non-dropping-particle" : "", "parse-names" : false, "suffix" : "" }, { "dropping-particle" : "", "family" : "Tan", "given" : "X", "non-dropping-particle" : "", "parse-names" : false, "suffix" : "" }, { "dropping-particle" : "", "family" : "Zhu", "given" : "X", "non-dropping-particle" : "", "parse-names" : false, "suffix" : "" }, { "dropping-particle" : "", "family" : "Zhang", "given" : "J", "non-dropping-particle" : "", "parse-names" : false, "suffix" : "" } ], "container-title" : "Neuroscience", "id" : "ITEM-3", "issued" : { "date-parts" : [ [ "2013", "5", "1" ] ] }, "page" : "29-41", "title" : "The role of visual perception in action anticipation in basketball athletes.", "type" : "article-journal", "volume" : "237" }, "uris" : [ "http://www.mendeley.com/documents/?uuid=8209befb-066b-4625-8478-7512aabeb1a9" ] } ], "mendeley" : { "formattedCitation" : "(Balser, Lorey, Pilgramm, Naumann, et al., 2014; Balser, Lorey, Pilgramm, Stark, et al., 2014; Wu et al., 2013)", "plainTextFormattedCitation" : "(Balser, Lorey, Pilgramm, Naumann, et al., 2014; Balser, Lorey, Pilgramm, Stark, et al., 2014; Wu et al., 2013)", "previouslyFormattedCitation" : "(Balser, Lorey, Pilgramm, Naumann, et al., 2014; Balser, Lorey, Pilgramm, Stark, et al., 2014; Wu et al., 2013)" }, "properties" : { "noteIndex" : 0 }, "schema" : "https://github.com/citation-style-language/schema/raw/master/csl-citation.json" }</w:instrText>
      </w:r>
      <w:r w:rsidR="0054728A" w:rsidRPr="00341B41">
        <w:fldChar w:fldCharType="separate"/>
      </w:r>
      <w:r w:rsidR="0054728A" w:rsidRPr="00341B41">
        <w:rPr>
          <w:noProof/>
        </w:rPr>
        <w:t>(Abreu et al, 2012; Balser, Lorey, Pilgramm, Naumann, et al., 2014; Balser, Lorey, Pilgramm, Stark, et al., 2014; Olsson &amp; Lundström, 2013; Wu et al., 2013)</w:t>
      </w:r>
      <w:r w:rsidR="0054728A" w:rsidRPr="00341B41">
        <w:fldChar w:fldCharType="end"/>
      </w:r>
      <w:r w:rsidR="0054728A" w:rsidRPr="00341B41">
        <w:t xml:space="preserve">. To date, no studies have investigated whether differences in cortical sensorimotor oscillatory activity exists when contrasting correct and incorrect trials. </w:t>
      </w:r>
      <w:r w:rsidR="00162375" w:rsidRPr="00341B41">
        <w:t>This is an important question to address, as by comparing correct and incorrect trials within-groups, there is greater possibility to examine the brain activity associated with an observed action that has been successfully understood (as indicated by the correct anticipation)</w:t>
      </w:r>
      <w:r w:rsidR="00A507D7" w:rsidRPr="00341B41">
        <w:t xml:space="preserve"> and actions that have not been understood (as indicated by incorrect anticipation).</w:t>
      </w:r>
    </w:p>
    <w:p w14:paraId="6CCD0762" w14:textId="40A6BE36" w:rsidR="00FA2763" w:rsidRPr="00341B41" w:rsidRDefault="00162375" w:rsidP="00A507D7">
      <w:pPr>
        <w:ind w:firstLine="720"/>
      </w:pPr>
      <w:r w:rsidRPr="00341B41">
        <w:t xml:space="preserve"> </w:t>
      </w:r>
      <w:r w:rsidR="0054728A" w:rsidRPr="00341B41">
        <w:t xml:space="preserve">Furthermore, </w:t>
      </w:r>
      <w:r w:rsidR="00C07AC0" w:rsidRPr="00341B41">
        <w:t>at the group level it has been shown that experienced players exhibit greater sensorimotor activity than less experienced players (see Chapters 3 and 4). However,</w:t>
      </w:r>
      <w:r w:rsidR="00FA2763" w:rsidRPr="00341B41">
        <w:t xml:space="preserve"> within the experienced group</w:t>
      </w:r>
      <w:r w:rsidR="00C07AC0" w:rsidRPr="00341B41">
        <w:t>,</w:t>
      </w:r>
      <w:r w:rsidR="00FA2763" w:rsidRPr="00341B41">
        <w:t xml:space="preserve"> it is unclear whether there is an association between individual performance (percentage accuracy) and sensorimotor activity (mu and beta ERD values).</w:t>
      </w:r>
    </w:p>
    <w:p w14:paraId="433B1DA0" w14:textId="1CB8709D" w:rsidR="00050D89" w:rsidRPr="00341B41" w:rsidRDefault="00FA2763" w:rsidP="00515E52">
      <w:r w:rsidRPr="00341B41">
        <w:tab/>
        <w:t>The aim of this chapter was to investigate these issues to further</w:t>
      </w:r>
      <w:r w:rsidR="00A507D7" w:rsidRPr="00341B41">
        <w:t xml:space="preserve"> to</w:t>
      </w:r>
      <w:r w:rsidRPr="00341B41">
        <w:t xml:space="preserve"> understand the relationship between sensorimotor activity, expertise, and action anticipation skill. It was hypothesised that in the action observation period prior to anticipation, there would be significantly greater mu and beta ERD to subsequently correctly anticipated trials, compared to subsequently inc</w:t>
      </w:r>
      <w:r w:rsidR="00626ECE" w:rsidRPr="00341B41">
        <w:t>orrectly anticipated trials.</w:t>
      </w:r>
      <w:r w:rsidR="005D29A2" w:rsidRPr="00341B41">
        <w:t xml:space="preserve"> Second,</w:t>
      </w:r>
      <w:r w:rsidR="003E1563" w:rsidRPr="00341B41">
        <w:t xml:space="preserve"> correlations between sensorimotor activity, anticipation accuracy, and tennis experience were performed. It was </w:t>
      </w:r>
      <w:r w:rsidR="003E1563" w:rsidRPr="00341B41">
        <w:lastRenderedPageBreak/>
        <w:t xml:space="preserve">hypothesised that that there would be a significant negative correlation between mu and beta ERD and individual anticipation accuracy. A similar correlation was also expected between mu and beta ERD and tennis experience. Due to the relative advantage of ICA over channel data, these questions were </w:t>
      </w:r>
      <w:r w:rsidR="004B2815" w:rsidRPr="00341B41">
        <w:t xml:space="preserve">examined </w:t>
      </w:r>
      <w:r w:rsidR="003E1563" w:rsidRPr="00341B41">
        <w:t>within the context of the ICA components described in Chapter 4 only.</w:t>
      </w:r>
    </w:p>
    <w:p w14:paraId="4F65E0CE" w14:textId="24F4EA4C" w:rsidR="00822836" w:rsidRPr="00341B41" w:rsidRDefault="00822836" w:rsidP="00822836">
      <w:pPr>
        <w:pStyle w:val="Heading2"/>
      </w:pPr>
      <w:bookmarkStart w:id="103" w:name="_Toc486260890"/>
      <w:r w:rsidRPr="00341B41">
        <w:t>5.2.</w:t>
      </w:r>
      <w:r w:rsidRPr="00341B41">
        <w:tab/>
        <w:t>Method</w:t>
      </w:r>
      <w:bookmarkEnd w:id="103"/>
    </w:p>
    <w:p w14:paraId="6CD43B54" w14:textId="730E5E3A" w:rsidR="00822836" w:rsidRPr="00341B41" w:rsidRDefault="00822836" w:rsidP="00822836">
      <w:r w:rsidRPr="00341B41">
        <w:t>See Chapter 4 for details.</w:t>
      </w:r>
    </w:p>
    <w:p w14:paraId="62CD24EC" w14:textId="3E036924" w:rsidR="00822836" w:rsidRPr="00341B41" w:rsidRDefault="00822836" w:rsidP="00822836">
      <w:pPr>
        <w:pStyle w:val="Heading3"/>
      </w:pPr>
      <w:bookmarkStart w:id="104" w:name="_Toc486260891"/>
      <w:r w:rsidRPr="00341B41">
        <w:t>5.2.1.</w:t>
      </w:r>
      <w:r w:rsidRPr="00341B41">
        <w:tab/>
        <w:t>EEG analysis</w:t>
      </w:r>
      <w:bookmarkEnd w:id="104"/>
    </w:p>
    <w:p w14:paraId="0941D7E0" w14:textId="3F450E45" w:rsidR="00822836" w:rsidRPr="00341B41" w:rsidRDefault="005C3729" w:rsidP="00822836">
      <w:r w:rsidRPr="00341B41">
        <w:t>ERSP (details in section 3.2.6.) in the 4-50Hz frequency range was calculated</w:t>
      </w:r>
      <w:r w:rsidR="00B77D31" w:rsidRPr="00341B41">
        <w:t>. This was calculated</w:t>
      </w:r>
      <w:r w:rsidRPr="00341B41">
        <w:t xml:space="preserve"> for each component cluster identified as reflecting a clear brain source</w:t>
      </w:r>
      <w:r w:rsidR="00B77D31" w:rsidRPr="00341B41">
        <w:t xml:space="preserve"> as described in</w:t>
      </w:r>
      <w:r w:rsidRPr="00341B41">
        <w:t xml:space="preserve"> section 4.3.1.</w:t>
      </w:r>
    </w:p>
    <w:p w14:paraId="3B35571D" w14:textId="45A06503" w:rsidR="00521116" w:rsidRPr="00341B41" w:rsidRDefault="00521116" w:rsidP="00521116">
      <w:pPr>
        <w:pStyle w:val="Heading3"/>
      </w:pPr>
      <w:bookmarkStart w:id="105" w:name="_Toc486260892"/>
      <w:r w:rsidRPr="00341B41">
        <w:t>5.2.2.</w:t>
      </w:r>
      <w:r w:rsidRPr="00341B41">
        <w:tab/>
        <w:t>Statistical analysis</w:t>
      </w:r>
      <w:bookmarkEnd w:id="105"/>
    </w:p>
    <w:p w14:paraId="68877D0A" w14:textId="34198450" w:rsidR="00497620" w:rsidRPr="00341B41" w:rsidRDefault="00497620" w:rsidP="00497620">
      <w:pPr>
        <w:pStyle w:val="ThesisNormal"/>
        <w:rPr>
          <w:rFonts w:cs="Times New Roman"/>
        </w:rPr>
      </w:pPr>
      <w:r w:rsidRPr="00341B41">
        <w:t xml:space="preserve">To </w:t>
      </w:r>
      <w:r w:rsidR="00670BDF" w:rsidRPr="00341B41">
        <w:t>identify</w:t>
      </w:r>
      <w:r w:rsidRPr="00341B41">
        <w:t xml:space="preserve"> differences in ERSP time/frequency data between correctly and incorrectly anticipated trials, bootstrapped significance tests were performed</w:t>
      </w:r>
      <w:r w:rsidRPr="00341B41">
        <w:rPr>
          <w:rFonts w:cs="Times New Roman"/>
        </w:rPr>
        <w:t xml:space="preserve">. The potential for spurious significant findings being generated by multiple comparisons was controlled using the false discovery rate (FDR). The results of these tests are </w:t>
      </w:r>
      <w:proofErr w:type="spellStart"/>
      <w:r w:rsidRPr="00341B41">
        <w:rPr>
          <w:rFonts w:cs="Times New Roman"/>
        </w:rPr>
        <w:t>visualised</w:t>
      </w:r>
      <w:proofErr w:type="spellEnd"/>
      <w:r w:rsidRPr="00341B41">
        <w:rPr>
          <w:rFonts w:cs="Times New Roman"/>
        </w:rPr>
        <w:t xml:space="preserve"> on a time-frequency plot indicating points where significant differences at the </w:t>
      </w:r>
      <w:r w:rsidRPr="00341B41">
        <w:rPr>
          <w:rFonts w:cs="Times New Roman"/>
          <w:i/>
        </w:rPr>
        <w:t>p</w:t>
      </w:r>
      <w:r w:rsidRPr="00341B41">
        <w:rPr>
          <w:rFonts w:cs="Times New Roman"/>
        </w:rPr>
        <w:t xml:space="preserve"> &lt; .01 level arose. </w:t>
      </w:r>
    </w:p>
    <w:p w14:paraId="7BE75811" w14:textId="77777777" w:rsidR="00497620" w:rsidRPr="00341B41" w:rsidRDefault="00497620" w:rsidP="00497620">
      <w:r w:rsidRPr="00341B41">
        <w:rPr>
          <w:rFonts w:cs="Times New Roman"/>
        </w:rPr>
        <w:t xml:space="preserve">ERSP values averaged across both frequency band and time were also calculated. This process created a single baseline ERSP value, and a single event ERSP value. The overall ERSP value was derived by subtracting the event ERSP from the baseline ERSP </w:t>
      </w:r>
      <w:r w:rsidRPr="00341B41">
        <w:rPr>
          <w:rFonts w:cs="Times New Roman"/>
        </w:rPr>
        <w:fldChar w:fldCharType="begin" w:fldLock="1"/>
      </w:r>
      <w:r w:rsidRPr="00341B41">
        <w:rPr>
          <w:rFonts w:cs="Times New Roman"/>
        </w:rPr>
        <w:instrText>ADDIN CSL_CITATION { "citationItems" : [ { "id" : "ITEM-1", "itemData" : { "ISSN" : "1388-2457", "PMID" : "10576479", "abstract" : "An internally or externally paced event results not only in the generation of an event-related potential (ERP) but also in a change in the ongoing EEG/MEG in form of an event-related desynchronization (ERD) or event-related synchronization (ERS). The ERP on the one side and the ERD/ERS on the other side are different responses of neuronal structures in the brain. While the former is phase-locked, the latter is not phase-locked to the event. The most important difference between both phenomena is that the ERD/ERS is highly frequency band-specific, whereby either the same or different locations on the scalp can display ERD and ERS simultaneously. Quantification of ERD/ERS in time and space is demonstrated on data from a number of movement experiments.", "author" : [ { "dropping-particle" : "", "family" : "Pfurtscheller", "given" : "G", "non-dropping-particle" : "", "parse-names" : false, "suffix" : "" }, { "dropping-particle" : "", "family" : "Lopes da Silva", "given" : "F H", "non-dropping-particle" : "", "parse-names" : false, "suffix" : "" } ], "container-title" : "Clinical Neurophysiology", "id" : "ITEM-1", "issue" : "11", "issued" : { "date-parts" : [ [ "1999", "11" ] ] }, "page" : "1842-57", "title" : "Event-related EEG/MEG synchronization and desynchronization: basic principles.", "type" : "article-journal", "volume" : "110" }, "uris" : [ "http://www.mendeley.com/documents/?uuid=d6481284-9558-44e2-ba76-89d4e2ab07a5" ] } ], "mendeley" : { "formattedCitation" : "(Pfurtscheller &amp; Lopes da Silva, 1999)", "plainTextFormattedCitation" : "(Pfurtscheller &amp; Lopes da Silva, 1999)", "previouslyFormattedCitation" : "(Pfurtscheller &amp; Lopes da Silva, 1999)" }, "properties" : { "noteIndex" : 0 }, "schema" : "https://github.com/citation-style-language/schema/raw/master/csl-citation.json" }</w:instrText>
      </w:r>
      <w:r w:rsidRPr="00341B41">
        <w:rPr>
          <w:rFonts w:cs="Times New Roman"/>
        </w:rPr>
        <w:fldChar w:fldCharType="separate"/>
      </w:r>
      <w:r w:rsidRPr="00341B41">
        <w:rPr>
          <w:rFonts w:cs="Times New Roman"/>
          <w:noProof/>
        </w:rPr>
        <w:t>(Pfurtscheller &amp; Lopes da Silva, 1999)</w:t>
      </w:r>
      <w:r w:rsidRPr="00341B41">
        <w:rPr>
          <w:rFonts w:cs="Times New Roman"/>
        </w:rPr>
        <w:fldChar w:fldCharType="end"/>
      </w:r>
      <w:r w:rsidRPr="00341B41">
        <w:rPr>
          <w:rFonts w:cs="Times New Roman"/>
        </w:rPr>
        <w:t xml:space="preserve">. A negative ERSP value indicates overall power reduction (ERD) across the whole event compared to baseline, and a positive ERSP value </w:t>
      </w:r>
      <w:r w:rsidRPr="00341B41">
        <w:rPr>
          <w:rFonts w:cs="Times New Roman"/>
        </w:rPr>
        <w:lastRenderedPageBreak/>
        <w:t>indicates overall power increase (ERS). Group differences in ERSP values were calculated using two-way mixed ANOVAs, with group (experienced and less experienced) as a between-participants factor, and accuracy (correct and incorrect) as a within-participants factor.</w:t>
      </w:r>
    </w:p>
    <w:p w14:paraId="27216FB4" w14:textId="2C183FC4" w:rsidR="00A35D4B" w:rsidRPr="00341B41" w:rsidRDefault="00A35D4B" w:rsidP="00521116">
      <w:r w:rsidRPr="00341B41">
        <w:tab/>
        <w:t>Correlations between individual anticipation accuracy and overall mu/beta ERD</w:t>
      </w:r>
      <w:r w:rsidR="005D29A2" w:rsidRPr="00341B41">
        <w:t xml:space="preserve"> to all trials</w:t>
      </w:r>
      <w:r w:rsidR="002235CE" w:rsidRPr="00341B41">
        <w:t xml:space="preserve"> were calculated within </w:t>
      </w:r>
      <w:r w:rsidR="00805372" w:rsidRPr="00341B41">
        <w:t>each</w:t>
      </w:r>
      <w:r w:rsidRPr="00341B41">
        <w:t xml:space="preserve"> group separately. Three measures of tennis experience were also correlated </w:t>
      </w:r>
      <w:r w:rsidR="0007225D" w:rsidRPr="00341B41">
        <w:t xml:space="preserve">with </w:t>
      </w:r>
      <w:r w:rsidRPr="00341B41">
        <w:t xml:space="preserve">overall ERD. These were: years of tennis experience, average number of weeks of tennis played each week, and years of formal tennis instruction. </w:t>
      </w:r>
    </w:p>
    <w:p w14:paraId="56093907" w14:textId="63A184A2" w:rsidR="00D5607D" w:rsidRPr="00341B41" w:rsidRDefault="00D5607D" w:rsidP="00D5607D">
      <w:pPr>
        <w:pStyle w:val="Heading2"/>
      </w:pPr>
      <w:bookmarkStart w:id="106" w:name="_Toc486260893"/>
      <w:r w:rsidRPr="00341B41">
        <w:t>5.3.</w:t>
      </w:r>
      <w:r w:rsidRPr="00341B41">
        <w:tab/>
        <w:t>Results</w:t>
      </w:r>
      <w:bookmarkEnd w:id="106"/>
    </w:p>
    <w:p w14:paraId="3ADDA220" w14:textId="517549BC" w:rsidR="00D5607D" w:rsidRPr="00341B41" w:rsidRDefault="00920995" w:rsidP="00920995">
      <w:pPr>
        <w:pStyle w:val="Heading3"/>
      </w:pPr>
      <w:bookmarkStart w:id="107" w:name="_Toc486260894"/>
      <w:r w:rsidRPr="00341B41">
        <w:t>5.3.1.</w:t>
      </w:r>
      <w:r w:rsidRPr="00341B41">
        <w:tab/>
        <w:t>Behavioural results</w:t>
      </w:r>
      <w:bookmarkEnd w:id="107"/>
    </w:p>
    <w:p w14:paraId="04639B2D" w14:textId="0FAFB17A" w:rsidR="00033DD3" w:rsidRPr="00341B41" w:rsidRDefault="005D29A2" w:rsidP="00920995">
      <w:r w:rsidRPr="00341B41">
        <w:t>T</w:t>
      </w:r>
      <w:r w:rsidR="00033DD3" w:rsidRPr="00341B41">
        <w:t xml:space="preserve">ennis experience levels of the </w:t>
      </w:r>
      <w:r w:rsidR="00C15276" w:rsidRPr="00341B41">
        <w:t>two groups can be found in section 3.2.1</w:t>
      </w:r>
      <w:r w:rsidR="00033DD3" w:rsidRPr="00341B41">
        <w:t>.</w:t>
      </w:r>
      <w:r w:rsidR="00FE2C92" w:rsidRPr="00341B41">
        <w:t xml:space="preserve"> As a preliminary step to examine behavioural associations between </w:t>
      </w:r>
      <w:r w:rsidR="00F74663" w:rsidRPr="00341B41">
        <w:t>experience and anticipation accuracy, correlations were performed between tennis experience and percentage accuracy.</w:t>
      </w:r>
      <w:r w:rsidR="00033DD3" w:rsidRPr="00341B41">
        <w:t xml:space="preserve"> </w:t>
      </w:r>
      <w:r w:rsidR="003A46E2" w:rsidRPr="00341B41">
        <w:t xml:space="preserve">In the experienced group, </w:t>
      </w:r>
      <w:r w:rsidR="00DB2E1B" w:rsidRPr="00341B41">
        <w:t>anticipation accuracy was significantly positively correlated with years of formal tennis tuition (</w:t>
      </w:r>
      <w:r w:rsidR="00DB2E1B" w:rsidRPr="00341B41">
        <w:rPr>
          <w:i/>
        </w:rPr>
        <w:t xml:space="preserve">r </w:t>
      </w:r>
      <w:r w:rsidR="00DB2E1B" w:rsidRPr="00341B41">
        <w:t xml:space="preserve">= .66, </w:t>
      </w:r>
      <w:r w:rsidR="00DB2E1B" w:rsidRPr="00341B41">
        <w:rPr>
          <w:i/>
        </w:rPr>
        <w:t xml:space="preserve">p </w:t>
      </w:r>
      <w:r w:rsidR="00DB2E1B" w:rsidRPr="00341B41">
        <w:t>= .001), but not with years of tennis experience (</w:t>
      </w:r>
      <w:r w:rsidR="00DB2E1B" w:rsidRPr="00341B41">
        <w:rPr>
          <w:i/>
        </w:rPr>
        <w:t xml:space="preserve">r </w:t>
      </w:r>
      <w:r w:rsidR="00DB2E1B" w:rsidRPr="00341B41">
        <w:t xml:space="preserve">= .39, </w:t>
      </w:r>
      <w:r w:rsidR="00DB2E1B" w:rsidRPr="00341B41">
        <w:rPr>
          <w:i/>
        </w:rPr>
        <w:t xml:space="preserve">p </w:t>
      </w:r>
      <w:r w:rsidR="00DB2E1B" w:rsidRPr="00341B41">
        <w:t>= .08) or hours of play per week (</w:t>
      </w:r>
      <w:r w:rsidR="00DB2E1B" w:rsidRPr="00341B41">
        <w:rPr>
          <w:i/>
        </w:rPr>
        <w:t xml:space="preserve">r </w:t>
      </w:r>
      <w:r w:rsidR="00DB2E1B" w:rsidRPr="00341B41">
        <w:t xml:space="preserve">= .01, </w:t>
      </w:r>
      <w:r w:rsidR="00DB2E1B" w:rsidRPr="00341B41">
        <w:rPr>
          <w:i/>
        </w:rPr>
        <w:t xml:space="preserve">p </w:t>
      </w:r>
      <w:r w:rsidR="00DB2E1B" w:rsidRPr="00341B41">
        <w:t xml:space="preserve">= .98). </w:t>
      </w:r>
      <w:r w:rsidR="006935FC" w:rsidRPr="00341B41">
        <w:t>In the less experience</w:t>
      </w:r>
      <w:r w:rsidR="00FE2C92" w:rsidRPr="00341B41">
        <w:t>d</w:t>
      </w:r>
      <w:r w:rsidR="006935FC" w:rsidRPr="00341B41">
        <w:t xml:space="preserve"> group, none of the measures of tennis experience were correlated with anticipation accuracy (</w:t>
      </w:r>
      <w:r w:rsidR="00E66178" w:rsidRPr="00341B41">
        <w:t xml:space="preserve">years of tennis experience, </w:t>
      </w:r>
      <w:r w:rsidR="00E66178" w:rsidRPr="00341B41">
        <w:rPr>
          <w:i/>
        </w:rPr>
        <w:t xml:space="preserve">r </w:t>
      </w:r>
      <w:r w:rsidR="00E66178" w:rsidRPr="00341B41">
        <w:t xml:space="preserve">-.07, </w:t>
      </w:r>
      <w:r w:rsidR="00E66178" w:rsidRPr="00341B41">
        <w:rPr>
          <w:i/>
        </w:rPr>
        <w:t xml:space="preserve">p </w:t>
      </w:r>
      <w:r w:rsidR="00774691" w:rsidRPr="00341B41">
        <w:t xml:space="preserve">.78; hours of play per week, </w:t>
      </w:r>
      <w:r w:rsidR="00774691" w:rsidRPr="00341B41">
        <w:rPr>
          <w:i/>
        </w:rPr>
        <w:t xml:space="preserve">r </w:t>
      </w:r>
      <w:r w:rsidR="00774691" w:rsidRPr="00341B41">
        <w:t xml:space="preserve">= -.13, </w:t>
      </w:r>
      <w:r w:rsidR="00774691" w:rsidRPr="00341B41">
        <w:rPr>
          <w:i/>
        </w:rPr>
        <w:t xml:space="preserve">p </w:t>
      </w:r>
      <w:r w:rsidR="00774691" w:rsidRPr="00341B41">
        <w:t xml:space="preserve">= .64; and years of formal tennis tuition, </w:t>
      </w:r>
      <w:r w:rsidR="00774691" w:rsidRPr="00341B41">
        <w:rPr>
          <w:i/>
        </w:rPr>
        <w:t xml:space="preserve">r </w:t>
      </w:r>
      <w:r w:rsidR="00774691" w:rsidRPr="00341B41">
        <w:t xml:space="preserve">= -.35, </w:t>
      </w:r>
      <w:r w:rsidR="00774691" w:rsidRPr="00341B41">
        <w:rPr>
          <w:i/>
        </w:rPr>
        <w:t xml:space="preserve">p </w:t>
      </w:r>
      <w:r w:rsidR="00774691" w:rsidRPr="00341B41">
        <w:t>= .19</w:t>
      </w:r>
      <w:r w:rsidR="006935FC" w:rsidRPr="00341B41">
        <w:t xml:space="preserve">). </w:t>
      </w:r>
    </w:p>
    <w:p w14:paraId="4E6AA917" w14:textId="7A30BFDB" w:rsidR="00550605" w:rsidRPr="00341B41" w:rsidRDefault="00550605" w:rsidP="00550605">
      <w:pPr>
        <w:pStyle w:val="Heading3"/>
      </w:pPr>
      <w:bookmarkStart w:id="108" w:name="_Toc486260895"/>
      <w:r w:rsidRPr="00341B41">
        <w:t>5.3.2.</w:t>
      </w:r>
      <w:r w:rsidRPr="00341B41">
        <w:tab/>
        <w:t>EEG results</w:t>
      </w:r>
      <w:bookmarkEnd w:id="108"/>
    </w:p>
    <w:p w14:paraId="2E427213" w14:textId="77777777" w:rsidR="005C0530" w:rsidRPr="00341B41" w:rsidRDefault="005C0530" w:rsidP="005C0530"/>
    <w:p w14:paraId="46385564" w14:textId="6F679C19" w:rsidR="00550605" w:rsidRPr="00341B41" w:rsidRDefault="00550605" w:rsidP="00550605">
      <w:pPr>
        <w:pStyle w:val="Heading4"/>
      </w:pPr>
      <w:r w:rsidRPr="00341B41">
        <w:lastRenderedPageBreak/>
        <w:t>5.3.2.1.    Differences in sensorimotor activity during correctly anticipated trials compared to incorrectly anticipated trials</w:t>
      </w:r>
    </w:p>
    <w:p w14:paraId="0746DB9B" w14:textId="31A88909" w:rsidR="008D75E9" w:rsidRPr="00341B41" w:rsidRDefault="004C61EE" w:rsidP="002D0D93">
      <w:r w:rsidRPr="00341B41">
        <w:t xml:space="preserve">It was hypothesised that in the action observation period preceding a correct anticipation, there would be greater </w:t>
      </w:r>
      <w:r w:rsidR="000E7EC1" w:rsidRPr="00341B41">
        <w:t>ERD in sensorimotor clusters compared to ERD during the action observation period preceding an incorrect anticipation.</w:t>
      </w:r>
      <w:r w:rsidR="001C123D" w:rsidRPr="00341B41">
        <w:t xml:space="preserve"> </w:t>
      </w:r>
      <w:r w:rsidR="001C123D" w:rsidRPr="00341B41">
        <w:rPr>
          <w:b/>
        </w:rPr>
        <w:t xml:space="preserve">Figures 16 &amp; 17 </w:t>
      </w:r>
      <w:r w:rsidR="001C123D" w:rsidRPr="00341B41">
        <w:t xml:space="preserve">display differences between correctly anticipated and incorrectly anticipated </w:t>
      </w:r>
      <w:r w:rsidR="000354F6" w:rsidRPr="00341B41">
        <w:t xml:space="preserve">trials </w:t>
      </w:r>
      <w:r w:rsidR="001C123D" w:rsidRPr="00341B41">
        <w:t>for both the experienced and less experienced groups at the left and right sensorimotor clusters respectively.</w:t>
      </w:r>
      <w:r w:rsidR="007C03A5" w:rsidRPr="00341B41">
        <w:t xml:space="preserve"> </w:t>
      </w:r>
      <w:r w:rsidR="008D75E9" w:rsidRPr="00341B41">
        <w:rPr>
          <w:b/>
        </w:rPr>
        <w:t xml:space="preserve">Figure 18 </w:t>
      </w:r>
      <w:r w:rsidR="008D75E9" w:rsidRPr="00341B41">
        <w:t xml:space="preserve">shows mu and beta event-related power changes to both correct and incorrect trials in both groups for the left sensorimotor cluster. </w:t>
      </w:r>
      <w:r w:rsidR="008D75E9" w:rsidRPr="00341B41">
        <w:rPr>
          <w:b/>
        </w:rPr>
        <w:t>Figure 19</w:t>
      </w:r>
      <w:r w:rsidR="008D75E9" w:rsidRPr="00341B41">
        <w:t xml:space="preserve"> shows the same data for the right cluster.</w:t>
      </w:r>
      <w:r w:rsidR="001037F8" w:rsidRPr="00341B41">
        <w:br w:type="column"/>
      </w:r>
      <w:r w:rsidR="001037F8" w:rsidRPr="00341B41">
        <w:rPr>
          <w:noProof/>
          <w:lang w:val="en-US"/>
        </w:rPr>
        <w:lastRenderedPageBreak/>
        <w:drawing>
          <wp:inline distT="0" distB="0" distL="0" distR="0" wp14:anchorId="741089AD" wp14:editId="4D032A07">
            <wp:extent cx="5605780" cy="7792085"/>
            <wp:effectExtent l="0" t="0" r="7620" b="5715"/>
            <wp:docPr id="2" name="Picture 2" descr="../../Desktop/Correct%20vs%20incorrect%20left%20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orrect%20vs%20incorrect%20left%20cluster.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5780" cy="7792085"/>
                    </a:xfrm>
                    <a:prstGeom prst="rect">
                      <a:avLst/>
                    </a:prstGeom>
                    <a:noFill/>
                    <a:ln>
                      <a:noFill/>
                    </a:ln>
                  </pic:spPr>
                </pic:pic>
              </a:graphicData>
            </a:graphic>
          </wp:inline>
        </w:drawing>
      </w:r>
    </w:p>
    <w:p w14:paraId="4A63A369" w14:textId="6A47ECB5" w:rsidR="001037F8" w:rsidRPr="00341B41" w:rsidRDefault="001037F8" w:rsidP="001037F8">
      <w:pPr>
        <w:pStyle w:val="Caption"/>
      </w:pPr>
      <w:bookmarkStart w:id="109" w:name="_Toc488400765"/>
      <w:r w:rsidRPr="00341B41">
        <w:lastRenderedPageBreak/>
        <w:t xml:space="preserve">Figure </w:t>
      </w:r>
      <w:r w:rsidRPr="00341B41">
        <w:fldChar w:fldCharType="begin"/>
      </w:r>
      <w:r w:rsidRPr="00341B41">
        <w:instrText xml:space="preserve"> SEQ Figure \* ARABIC </w:instrText>
      </w:r>
      <w:r w:rsidRPr="00341B41">
        <w:fldChar w:fldCharType="separate"/>
      </w:r>
      <w:r w:rsidR="004B6B2B" w:rsidRPr="00341B41">
        <w:rPr>
          <w:noProof/>
        </w:rPr>
        <w:t>16</w:t>
      </w:r>
      <w:r w:rsidRPr="00341B41">
        <w:fldChar w:fldCharType="end"/>
      </w:r>
      <w:r w:rsidRPr="00341B41">
        <w:t>. Comparison of correct versus incorrect trials in the left sensorimotor cluster</w:t>
      </w:r>
      <w:bookmarkEnd w:id="109"/>
    </w:p>
    <w:p w14:paraId="48A0A568" w14:textId="39530663" w:rsidR="00871123" w:rsidRPr="00341B41" w:rsidRDefault="001037F8" w:rsidP="00871123">
      <w:pPr>
        <w:pStyle w:val="NoSpacing"/>
        <w:rPr>
          <w:i/>
        </w:rPr>
        <w:sectPr w:rsidR="00871123" w:rsidRPr="00341B41" w:rsidSect="00805FAB">
          <w:pgSz w:w="12240" w:h="15840"/>
          <w:pgMar w:top="1440" w:right="1138" w:bottom="1440" w:left="2275" w:header="720" w:footer="720" w:gutter="0"/>
          <w:cols w:space="720"/>
          <w:titlePg/>
          <w:docGrid w:linePitch="360"/>
        </w:sectPr>
      </w:pPr>
      <w:r w:rsidRPr="00341B41">
        <w:rPr>
          <w:b/>
          <w:i/>
        </w:rPr>
        <w:t>A</w:t>
      </w:r>
      <w:r w:rsidRPr="00341B41">
        <w:rPr>
          <w:i/>
        </w:rPr>
        <w:t xml:space="preserve"> – experienced group. ERSP time/frequency plots for (</w:t>
      </w:r>
      <w:r w:rsidR="00871123" w:rsidRPr="00341B41">
        <w:rPr>
          <w:b/>
          <w:i/>
        </w:rPr>
        <w:t>a</w:t>
      </w:r>
      <w:r w:rsidR="00871123" w:rsidRPr="00341B41">
        <w:rPr>
          <w:i/>
        </w:rPr>
        <w:t xml:space="preserve">) correctly anticipated trials, </w:t>
      </w:r>
      <w:r w:rsidRPr="00341B41">
        <w:rPr>
          <w:i/>
        </w:rPr>
        <w:t>(</w:t>
      </w:r>
      <w:r w:rsidRPr="00341B41">
        <w:rPr>
          <w:b/>
          <w:i/>
        </w:rPr>
        <w:t>b</w:t>
      </w:r>
      <w:r w:rsidRPr="00341B41">
        <w:rPr>
          <w:i/>
        </w:rPr>
        <w:t>) incorrectly anticipated trials</w:t>
      </w:r>
      <w:r w:rsidR="00871123" w:rsidRPr="00341B41">
        <w:rPr>
          <w:i/>
        </w:rPr>
        <w:t>, and (</w:t>
      </w:r>
      <w:r w:rsidR="00871123" w:rsidRPr="00341B41">
        <w:rPr>
          <w:b/>
          <w:i/>
        </w:rPr>
        <w:t>c</w:t>
      </w:r>
      <w:r w:rsidR="00871123" w:rsidRPr="00341B41">
        <w:rPr>
          <w:i/>
        </w:rPr>
        <w:t xml:space="preserve">) significant differences between correct and incorrect trials at the p &lt; .01 level, based on bootstrapped statistics with multiple comparisons controlled </w:t>
      </w:r>
      <w:r w:rsidR="000354F6" w:rsidRPr="00341B41">
        <w:rPr>
          <w:i/>
        </w:rPr>
        <w:t>using</w:t>
      </w:r>
      <w:r w:rsidR="00871123" w:rsidRPr="00341B41">
        <w:rPr>
          <w:i/>
        </w:rPr>
        <w:t xml:space="preserve"> the false discovery rate (FDR). </w:t>
      </w:r>
      <w:r w:rsidR="00871123" w:rsidRPr="00341B41">
        <w:rPr>
          <w:b/>
          <w:i/>
        </w:rPr>
        <w:t>B</w:t>
      </w:r>
      <w:r w:rsidR="00871123" w:rsidRPr="00341B41">
        <w:rPr>
          <w:i/>
        </w:rPr>
        <w:t xml:space="preserve"> – Less experienced group. Plots (</w:t>
      </w:r>
      <w:r w:rsidR="00871123" w:rsidRPr="00341B41">
        <w:rPr>
          <w:b/>
          <w:i/>
        </w:rPr>
        <w:t>d-f</w:t>
      </w:r>
      <w:r w:rsidR="00871123" w:rsidRPr="00341B41">
        <w:rPr>
          <w:i/>
        </w:rPr>
        <w:t>) reflect same data as plots (</w:t>
      </w:r>
      <w:r w:rsidR="00871123" w:rsidRPr="00341B41">
        <w:rPr>
          <w:b/>
          <w:i/>
        </w:rPr>
        <w:t>a-c</w:t>
      </w:r>
      <w:r w:rsidR="00871123" w:rsidRPr="00341B41">
        <w:rPr>
          <w:i/>
        </w:rPr>
        <w:t>), but for the less experienced group. Significant differences between the experienced and less experienced group for correct trials are displayed in (</w:t>
      </w:r>
      <w:r w:rsidR="00871123" w:rsidRPr="00341B41">
        <w:rPr>
          <w:b/>
          <w:i/>
        </w:rPr>
        <w:t>g</w:t>
      </w:r>
      <w:r w:rsidR="00871123" w:rsidRPr="00341B41">
        <w:rPr>
          <w:i/>
        </w:rPr>
        <w:t>). Significant differences between experienced and less experienced groups for incorrect trials are displayed in (</w:t>
      </w:r>
      <w:r w:rsidR="00871123" w:rsidRPr="00341B41">
        <w:rPr>
          <w:b/>
          <w:i/>
        </w:rPr>
        <w:t>h</w:t>
      </w:r>
      <w:r w:rsidR="00871123" w:rsidRPr="00341B41">
        <w:rPr>
          <w:i/>
        </w:rPr>
        <w:t>), and the interaction results are displayed in (</w:t>
      </w:r>
      <w:proofErr w:type="spellStart"/>
      <w:r w:rsidR="00871123" w:rsidRPr="00341B41">
        <w:rPr>
          <w:b/>
          <w:i/>
        </w:rPr>
        <w:t>i</w:t>
      </w:r>
      <w:proofErr w:type="spellEnd"/>
      <w:r w:rsidR="00871123" w:rsidRPr="00341B41">
        <w:rPr>
          <w:i/>
        </w:rPr>
        <w:t>).</w:t>
      </w:r>
    </w:p>
    <w:p w14:paraId="6450D8A8" w14:textId="00EC70AC" w:rsidR="001037F8" w:rsidRPr="00341B41" w:rsidRDefault="00A93F5F" w:rsidP="00871123">
      <w:pPr>
        <w:pStyle w:val="NoSpacing"/>
      </w:pPr>
      <w:r w:rsidRPr="00341B41">
        <w:rPr>
          <w:noProof/>
          <w:lang w:val="en-US"/>
        </w:rPr>
        <w:lastRenderedPageBreak/>
        <w:drawing>
          <wp:inline distT="0" distB="0" distL="0" distR="0" wp14:anchorId="2D9A0709" wp14:editId="1C8A4E59">
            <wp:extent cx="5605780" cy="7672705"/>
            <wp:effectExtent l="0" t="0" r="7620" b="0"/>
            <wp:docPr id="3" name="Picture 3" descr="../../Desktop/Correct%20vs%20incorrect%20right%20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orrect%20vs%20incorrect%20right%20cluster.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5780" cy="7672705"/>
                    </a:xfrm>
                    <a:prstGeom prst="rect">
                      <a:avLst/>
                    </a:prstGeom>
                    <a:noFill/>
                    <a:ln>
                      <a:noFill/>
                    </a:ln>
                  </pic:spPr>
                </pic:pic>
              </a:graphicData>
            </a:graphic>
          </wp:inline>
        </w:drawing>
      </w:r>
    </w:p>
    <w:p w14:paraId="09AB1CC7" w14:textId="77777777" w:rsidR="00A93F5F" w:rsidRPr="00341B41" w:rsidRDefault="00A93F5F" w:rsidP="00871123">
      <w:pPr>
        <w:pStyle w:val="NoSpacing"/>
      </w:pPr>
    </w:p>
    <w:p w14:paraId="5F40DC97" w14:textId="77777777" w:rsidR="00871123" w:rsidRPr="00341B41" w:rsidRDefault="00871123" w:rsidP="00871123">
      <w:pPr>
        <w:pStyle w:val="NoSpacing"/>
        <w:rPr>
          <w:i/>
        </w:rPr>
      </w:pPr>
    </w:p>
    <w:p w14:paraId="120A6399" w14:textId="77777777" w:rsidR="00871123" w:rsidRPr="00341B41" w:rsidRDefault="00871123" w:rsidP="00871123">
      <w:pPr>
        <w:pStyle w:val="NoSpacing"/>
        <w:rPr>
          <w:i/>
        </w:rPr>
      </w:pPr>
    </w:p>
    <w:p w14:paraId="047BAACE" w14:textId="2C8A76B1" w:rsidR="00A93F5F" w:rsidRPr="00341B41" w:rsidRDefault="00A93F5F" w:rsidP="00A93F5F">
      <w:pPr>
        <w:pStyle w:val="Caption"/>
      </w:pPr>
      <w:bookmarkStart w:id="110" w:name="_Toc488400766"/>
      <w:r w:rsidRPr="00341B41">
        <w:lastRenderedPageBreak/>
        <w:t xml:space="preserve">Figure </w:t>
      </w:r>
      <w:r w:rsidRPr="00341B41">
        <w:fldChar w:fldCharType="begin"/>
      </w:r>
      <w:r w:rsidRPr="00341B41">
        <w:instrText xml:space="preserve"> SEQ Figure \* ARABIC </w:instrText>
      </w:r>
      <w:r w:rsidRPr="00341B41">
        <w:fldChar w:fldCharType="separate"/>
      </w:r>
      <w:r w:rsidR="004B6B2B" w:rsidRPr="00341B41">
        <w:rPr>
          <w:noProof/>
        </w:rPr>
        <w:t>17</w:t>
      </w:r>
      <w:r w:rsidRPr="00341B41">
        <w:fldChar w:fldCharType="end"/>
      </w:r>
      <w:r w:rsidRPr="00341B41">
        <w:t xml:space="preserve">. Comparison of correct versus incorrect trials in the </w:t>
      </w:r>
      <w:r w:rsidR="000A0E1C">
        <w:t>right</w:t>
      </w:r>
      <w:r w:rsidRPr="00341B41">
        <w:t xml:space="preserve"> sensorimotor cluster</w:t>
      </w:r>
      <w:bookmarkEnd w:id="110"/>
    </w:p>
    <w:p w14:paraId="622A9B3A" w14:textId="3CB0BE57" w:rsidR="00A93F5F" w:rsidRPr="00341B41" w:rsidRDefault="00A93F5F" w:rsidP="00A93F5F">
      <w:pPr>
        <w:pStyle w:val="NoSpacing"/>
        <w:sectPr w:rsidR="00A93F5F" w:rsidRPr="00341B41" w:rsidSect="00805FAB">
          <w:pgSz w:w="12240" w:h="15840"/>
          <w:pgMar w:top="1440" w:right="1138" w:bottom="1440" w:left="2275" w:header="720" w:footer="720" w:gutter="0"/>
          <w:cols w:space="720"/>
          <w:titlePg/>
          <w:docGrid w:linePitch="360"/>
        </w:sectPr>
      </w:pPr>
      <w:r w:rsidRPr="00341B41">
        <w:rPr>
          <w:b/>
          <w:i/>
        </w:rPr>
        <w:t>A</w:t>
      </w:r>
      <w:r w:rsidRPr="00341B41">
        <w:rPr>
          <w:i/>
        </w:rPr>
        <w:t xml:space="preserve"> – experienced group. ERSP time/frequency plots for (</w:t>
      </w:r>
      <w:r w:rsidRPr="00341B41">
        <w:rPr>
          <w:b/>
          <w:i/>
        </w:rPr>
        <w:t>a</w:t>
      </w:r>
      <w:r w:rsidRPr="00341B41">
        <w:rPr>
          <w:i/>
        </w:rPr>
        <w:t>) correctly anticipated trials, (</w:t>
      </w:r>
      <w:r w:rsidRPr="00341B41">
        <w:rPr>
          <w:b/>
          <w:i/>
        </w:rPr>
        <w:t>b</w:t>
      </w:r>
      <w:r w:rsidRPr="00341B41">
        <w:rPr>
          <w:i/>
        </w:rPr>
        <w:t>) incorrectly anticipated trials, and (</w:t>
      </w:r>
      <w:r w:rsidRPr="00341B41">
        <w:rPr>
          <w:b/>
          <w:i/>
        </w:rPr>
        <w:t>c</w:t>
      </w:r>
      <w:r w:rsidRPr="00341B41">
        <w:rPr>
          <w:i/>
        </w:rPr>
        <w:t xml:space="preserve">) significant differences between correct and incorrect trials at the p &lt; .01 level, based on bootstrapped statistics with multiple comparisons controlled </w:t>
      </w:r>
      <w:r w:rsidR="000354F6" w:rsidRPr="00341B41">
        <w:rPr>
          <w:i/>
        </w:rPr>
        <w:t>using</w:t>
      </w:r>
      <w:r w:rsidRPr="00341B41">
        <w:rPr>
          <w:i/>
        </w:rPr>
        <w:t xml:space="preserve"> the false discovery rate (FDR). </w:t>
      </w:r>
      <w:r w:rsidRPr="00341B41">
        <w:rPr>
          <w:b/>
          <w:i/>
        </w:rPr>
        <w:t>B</w:t>
      </w:r>
      <w:r w:rsidRPr="00341B41">
        <w:rPr>
          <w:i/>
        </w:rPr>
        <w:t xml:space="preserve"> – Less experienced group. Plots (</w:t>
      </w:r>
      <w:r w:rsidRPr="00341B41">
        <w:rPr>
          <w:b/>
          <w:i/>
        </w:rPr>
        <w:t>d-f</w:t>
      </w:r>
      <w:r w:rsidRPr="00341B41">
        <w:rPr>
          <w:i/>
        </w:rPr>
        <w:t>) reflect same data as plots (</w:t>
      </w:r>
      <w:r w:rsidRPr="00341B41">
        <w:rPr>
          <w:b/>
          <w:i/>
        </w:rPr>
        <w:t>a-c</w:t>
      </w:r>
      <w:r w:rsidRPr="00341B41">
        <w:rPr>
          <w:i/>
        </w:rPr>
        <w:t>), but for the less experienced group. Significant differences between the experienced and less experienced group for correct trials are displayed in (</w:t>
      </w:r>
      <w:r w:rsidRPr="00341B41">
        <w:rPr>
          <w:b/>
          <w:i/>
        </w:rPr>
        <w:t>g</w:t>
      </w:r>
      <w:r w:rsidRPr="00341B41">
        <w:rPr>
          <w:i/>
        </w:rPr>
        <w:t>). Significant differences between experienced and less experienced groups for incorrect trials are displayed in (</w:t>
      </w:r>
      <w:r w:rsidRPr="00341B41">
        <w:rPr>
          <w:b/>
          <w:i/>
        </w:rPr>
        <w:t>h</w:t>
      </w:r>
      <w:r w:rsidRPr="00341B41">
        <w:rPr>
          <w:i/>
        </w:rPr>
        <w:t>), and the interaction results are displayed in (</w:t>
      </w:r>
      <w:proofErr w:type="spellStart"/>
      <w:r w:rsidRPr="00341B41">
        <w:rPr>
          <w:b/>
          <w:i/>
        </w:rPr>
        <w:t>i</w:t>
      </w:r>
      <w:proofErr w:type="spellEnd"/>
      <w:r w:rsidR="00EE33ED" w:rsidRPr="00341B41">
        <w:rPr>
          <w:i/>
        </w:rPr>
        <w:t>)</w:t>
      </w:r>
      <w:r w:rsidR="00EE33ED" w:rsidRPr="00341B41">
        <w:t>.</w:t>
      </w:r>
    </w:p>
    <w:p w14:paraId="29D57D23" w14:textId="2CEFB25E" w:rsidR="00933385" w:rsidRPr="00341B41" w:rsidRDefault="007C03A5" w:rsidP="00A93F5F">
      <w:pPr>
        <w:ind w:firstLine="720"/>
      </w:pPr>
      <w:r w:rsidRPr="00341B41">
        <w:lastRenderedPageBreak/>
        <w:t xml:space="preserve">In the left sensorimotor component cluster, there was a significant main effect of outcome </w:t>
      </w:r>
      <w:r w:rsidR="00EE33ED" w:rsidRPr="00341B41">
        <w:t>on</w:t>
      </w:r>
      <w:r w:rsidRPr="00341B41">
        <w:t xml:space="preserve"> mu ERD, </w:t>
      </w:r>
      <w:r w:rsidRPr="00341B41">
        <w:rPr>
          <w:i/>
        </w:rPr>
        <w:t xml:space="preserve">F </w:t>
      </w:r>
      <w:r w:rsidRPr="00341B41">
        <w:t xml:space="preserve">(1, </w:t>
      </w:r>
      <w:r w:rsidR="00283382" w:rsidRPr="00341B41">
        <w:t>32</w:t>
      </w:r>
      <w:r w:rsidRPr="00341B41">
        <w:t xml:space="preserve">) = 7.96, </w:t>
      </w:r>
      <w:r w:rsidRPr="00341B41">
        <w:rPr>
          <w:i/>
        </w:rPr>
        <w:t xml:space="preserve">p </w:t>
      </w:r>
      <w:r w:rsidRPr="00341B41">
        <w:t xml:space="preserve">= .009, </w:t>
      </w:r>
      <w:r w:rsidRPr="00341B41">
        <w:rPr>
          <w:i/>
        </w:rPr>
        <w:t>np</w:t>
      </w:r>
      <w:r w:rsidRPr="00341B41">
        <w:rPr>
          <w:i/>
          <w:vertAlign w:val="superscript"/>
        </w:rPr>
        <w:t>2</w:t>
      </w:r>
      <w:r w:rsidRPr="00341B41">
        <w:rPr>
          <w:i/>
        </w:rPr>
        <w:t xml:space="preserve"> </w:t>
      </w:r>
      <w:r w:rsidRPr="00341B41">
        <w:t>= .24, with correctly anticipated trials (M = -1.89</w:t>
      </w:r>
      <w:r w:rsidR="00A83E97" w:rsidRPr="00341B41">
        <w:t xml:space="preserve"> dB</w:t>
      </w:r>
      <w:r w:rsidRPr="00341B41">
        <w:t>, 95% CI = -2.72</w:t>
      </w:r>
      <w:r w:rsidR="00A83E97" w:rsidRPr="00341B41">
        <w:t xml:space="preserve"> dB</w:t>
      </w:r>
      <w:r w:rsidRPr="00341B41">
        <w:t xml:space="preserve"> – -1.06</w:t>
      </w:r>
      <w:r w:rsidR="00A83E97" w:rsidRPr="00341B41">
        <w:t xml:space="preserve"> dB</w:t>
      </w:r>
      <w:r w:rsidRPr="00341B41">
        <w:t xml:space="preserve">) showing significantly greater mu ERD than incorrect trials (M = </w:t>
      </w:r>
      <w:r w:rsidR="00D332D6" w:rsidRPr="00341B41">
        <w:t>-0.62</w:t>
      </w:r>
      <w:r w:rsidR="00A83E97" w:rsidRPr="00341B41">
        <w:t xml:space="preserve"> dB</w:t>
      </w:r>
      <w:r w:rsidR="00D332D6" w:rsidRPr="00341B41">
        <w:t>, 95% CI = -1.08</w:t>
      </w:r>
      <w:r w:rsidR="00A83E97" w:rsidRPr="00341B41">
        <w:t xml:space="preserve"> dB</w:t>
      </w:r>
      <w:r w:rsidR="00D332D6" w:rsidRPr="00341B41">
        <w:t xml:space="preserve"> – -0.15</w:t>
      </w:r>
      <w:r w:rsidR="00A83E97" w:rsidRPr="00341B41">
        <w:t xml:space="preserve"> dB</w:t>
      </w:r>
      <w:r w:rsidR="00D332D6" w:rsidRPr="00341B41">
        <w:t>)</w:t>
      </w:r>
      <w:r w:rsidRPr="00341B41">
        <w:t>.</w:t>
      </w:r>
      <w:r w:rsidR="00D332D6" w:rsidRPr="00341B41">
        <w:t xml:space="preserve"> </w:t>
      </w:r>
      <w:r w:rsidR="00A579ED" w:rsidRPr="00341B41">
        <w:t>There was a borderline main effect of expertise</w:t>
      </w:r>
      <w:r w:rsidR="00D332D6" w:rsidRPr="00341B41">
        <w:t xml:space="preserve">, </w:t>
      </w:r>
      <w:r w:rsidR="00D332D6" w:rsidRPr="00341B41">
        <w:rPr>
          <w:i/>
        </w:rPr>
        <w:t xml:space="preserve">F </w:t>
      </w:r>
      <w:r w:rsidR="00D332D6" w:rsidRPr="00341B41">
        <w:t xml:space="preserve">(1, </w:t>
      </w:r>
      <w:r w:rsidR="00283382" w:rsidRPr="00341B41">
        <w:t>32</w:t>
      </w:r>
      <w:r w:rsidR="00D332D6" w:rsidRPr="00341B41">
        <w:t xml:space="preserve">) = 3.29, </w:t>
      </w:r>
      <w:r w:rsidR="00D332D6" w:rsidRPr="00341B41">
        <w:rPr>
          <w:i/>
        </w:rPr>
        <w:t xml:space="preserve">p </w:t>
      </w:r>
      <w:r w:rsidR="00D332D6" w:rsidRPr="00341B41">
        <w:t>= .0</w:t>
      </w:r>
      <w:r w:rsidR="00A579ED" w:rsidRPr="00341B41">
        <w:t>6</w:t>
      </w:r>
      <w:r w:rsidR="00D332D6" w:rsidRPr="00341B41">
        <w:t xml:space="preserve">, </w:t>
      </w:r>
      <w:r w:rsidR="00D332D6" w:rsidRPr="00341B41">
        <w:rPr>
          <w:i/>
        </w:rPr>
        <w:t>np</w:t>
      </w:r>
      <w:r w:rsidR="00D332D6" w:rsidRPr="00341B41">
        <w:rPr>
          <w:i/>
          <w:vertAlign w:val="superscript"/>
        </w:rPr>
        <w:t>2</w:t>
      </w:r>
      <w:r w:rsidR="00D332D6" w:rsidRPr="00341B41">
        <w:rPr>
          <w:i/>
        </w:rPr>
        <w:t xml:space="preserve"> </w:t>
      </w:r>
      <w:r w:rsidR="00D332D6" w:rsidRPr="00341B41">
        <w:t xml:space="preserve">= </w:t>
      </w:r>
      <w:r w:rsidR="00A579ED" w:rsidRPr="00341B41">
        <w:t>.</w:t>
      </w:r>
      <w:r w:rsidR="00D332D6" w:rsidRPr="00341B41">
        <w:t>16</w:t>
      </w:r>
      <w:r w:rsidR="00A579ED" w:rsidRPr="00341B41">
        <w:t>, with greater ERD in expert group (M = -1.68</w:t>
      </w:r>
      <w:r w:rsidR="00A83E97" w:rsidRPr="00341B41">
        <w:t xml:space="preserve"> dB</w:t>
      </w:r>
      <w:r w:rsidR="00A579ED" w:rsidRPr="00341B41">
        <w:t>, 95% CI = -2.33</w:t>
      </w:r>
      <w:r w:rsidR="00A83E97" w:rsidRPr="00341B41">
        <w:t xml:space="preserve"> dB</w:t>
      </w:r>
      <w:r w:rsidR="00A579ED" w:rsidRPr="00341B41">
        <w:t xml:space="preserve"> – -1.03</w:t>
      </w:r>
      <w:r w:rsidR="00A83E97" w:rsidRPr="00341B41">
        <w:t xml:space="preserve"> dB</w:t>
      </w:r>
      <w:r w:rsidR="00A579ED" w:rsidRPr="00341B41">
        <w:t>) compared to the less experienced group (M = -0.82</w:t>
      </w:r>
      <w:r w:rsidR="00A83E97" w:rsidRPr="00341B41">
        <w:t xml:space="preserve"> dB</w:t>
      </w:r>
      <w:r w:rsidR="00A579ED" w:rsidRPr="00341B41">
        <w:t>, 95% CI = -1.55</w:t>
      </w:r>
      <w:r w:rsidR="00A83E97" w:rsidRPr="00341B41">
        <w:t xml:space="preserve"> dB</w:t>
      </w:r>
      <w:r w:rsidR="00A579ED" w:rsidRPr="00341B41">
        <w:t xml:space="preserve"> – -</w:t>
      </w:r>
      <w:r w:rsidR="00A83E97" w:rsidRPr="00341B41">
        <w:t>0</w:t>
      </w:r>
      <w:r w:rsidR="00A579ED" w:rsidRPr="00341B41">
        <w:t>.10</w:t>
      </w:r>
      <w:r w:rsidR="00A83E97" w:rsidRPr="00341B41">
        <w:t xml:space="preserve"> dB</w:t>
      </w:r>
      <w:r w:rsidR="00A579ED" w:rsidRPr="00341B41">
        <w:t xml:space="preserve">). The outcome x expertise interaction was not significant, </w:t>
      </w:r>
      <w:r w:rsidR="00A579ED" w:rsidRPr="00341B41">
        <w:rPr>
          <w:i/>
        </w:rPr>
        <w:t xml:space="preserve">F </w:t>
      </w:r>
      <w:r w:rsidR="00283382" w:rsidRPr="00341B41">
        <w:t>(1, 32</w:t>
      </w:r>
      <w:r w:rsidR="00A579ED" w:rsidRPr="00341B41">
        <w:t xml:space="preserve">) = 0.24, </w:t>
      </w:r>
      <w:r w:rsidR="00A579ED" w:rsidRPr="00341B41">
        <w:rPr>
          <w:i/>
        </w:rPr>
        <w:t xml:space="preserve">p </w:t>
      </w:r>
      <w:r w:rsidR="00A579ED" w:rsidRPr="00341B41">
        <w:t xml:space="preserve">= .63, </w:t>
      </w:r>
      <w:r w:rsidR="00A579ED" w:rsidRPr="00341B41">
        <w:rPr>
          <w:i/>
        </w:rPr>
        <w:t>np</w:t>
      </w:r>
      <w:r w:rsidR="00A579ED" w:rsidRPr="00341B41">
        <w:rPr>
          <w:i/>
          <w:vertAlign w:val="superscript"/>
        </w:rPr>
        <w:t>2</w:t>
      </w:r>
      <w:r w:rsidR="00A579ED" w:rsidRPr="00341B41">
        <w:rPr>
          <w:i/>
        </w:rPr>
        <w:t xml:space="preserve"> </w:t>
      </w:r>
      <w:r w:rsidR="00A579ED" w:rsidRPr="00341B41">
        <w:t xml:space="preserve">= .01. </w:t>
      </w:r>
    </w:p>
    <w:p w14:paraId="5F21F8A6" w14:textId="7F1B23B8" w:rsidR="00D65865" w:rsidRPr="00341B41" w:rsidRDefault="00550764" w:rsidP="00933385">
      <w:pPr>
        <w:ind w:firstLine="720"/>
      </w:pPr>
      <w:r w:rsidRPr="00341B41">
        <w:t>Compared to baseline, the experienced group showed a significant reduction in mu ERD during the action observation period for both correct (</w:t>
      </w:r>
      <w:r w:rsidRPr="00341B41">
        <w:rPr>
          <w:i/>
        </w:rPr>
        <w:t xml:space="preserve">t </w:t>
      </w:r>
      <w:r w:rsidRPr="00341B41">
        <w:t xml:space="preserve">(16) = 7.26, </w:t>
      </w:r>
      <w:r w:rsidRPr="00341B41">
        <w:rPr>
          <w:i/>
        </w:rPr>
        <w:t xml:space="preserve">p </w:t>
      </w:r>
      <w:r w:rsidRPr="00341B41">
        <w:t>&lt; .001) and incorrect (</w:t>
      </w:r>
      <w:r w:rsidRPr="00341B41">
        <w:rPr>
          <w:i/>
        </w:rPr>
        <w:t xml:space="preserve">t </w:t>
      </w:r>
      <w:r w:rsidRPr="00341B41">
        <w:t xml:space="preserve">(16) = 2.76, </w:t>
      </w:r>
      <w:r w:rsidRPr="00341B41">
        <w:rPr>
          <w:i/>
        </w:rPr>
        <w:t xml:space="preserve">p </w:t>
      </w:r>
      <w:r w:rsidRPr="00341B41">
        <w:t xml:space="preserve">= .02) trials. The less experienced </w:t>
      </w:r>
      <w:r w:rsidR="000354F6" w:rsidRPr="00341B41">
        <w:t xml:space="preserve">group </w:t>
      </w:r>
      <w:r w:rsidRPr="00341B41">
        <w:t>di</w:t>
      </w:r>
      <w:r w:rsidR="00F152E3" w:rsidRPr="00341B41">
        <w:t>d not s</w:t>
      </w:r>
      <w:r w:rsidRPr="00341B41">
        <w:t>how an event-related change in mu power compared to baseline for either correctly (</w:t>
      </w:r>
      <w:r w:rsidRPr="00341B41">
        <w:rPr>
          <w:i/>
        </w:rPr>
        <w:t xml:space="preserve">t </w:t>
      </w:r>
      <w:r w:rsidRPr="00341B41">
        <w:t xml:space="preserve">(16) = 1.15, </w:t>
      </w:r>
      <w:r w:rsidRPr="00341B41">
        <w:rPr>
          <w:i/>
        </w:rPr>
        <w:t xml:space="preserve">p </w:t>
      </w:r>
      <w:r w:rsidRPr="00341B41">
        <w:t>= .26) or incorrectly (</w:t>
      </w:r>
      <w:r w:rsidRPr="00341B41">
        <w:rPr>
          <w:i/>
        </w:rPr>
        <w:t xml:space="preserve">t </w:t>
      </w:r>
      <w:r w:rsidRPr="00341B41">
        <w:t xml:space="preserve">(16) = 1.06, </w:t>
      </w:r>
      <w:r w:rsidRPr="00341B41">
        <w:rPr>
          <w:i/>
        </w:rPr>
        <w:t xml:space="preserve">p </w:t>
      </w:r>
      <w:r w:rsidRPr="00341B41">
        <w:t>= .31) anticipated trials.</w:t>
      </w:r>
    </w:p>
    <w:p w14:paraId="46CFB955" w14:textId="76539C64" w:rsidR="002D0D93" w:rsidRPr="00341B41" w:rsidRDefault="00A579ED" w:rsidP="002D0D93">
      <w:r w:rsidRPr="00341B41">
        <w:tab/>
        <w:t xml:space="preserve">In the beta band, there was a significant main effect of outcome </w:t>
      </w:r>
      <w:r w:rsidR="00066704" w:rsidRPr="00341B41">
        <w:t xml:space="preserve">on ERD, </w:t>
      </w:r>
      <w:r w:rsidR="00A83E97" w:rsidRPr="00341B41">
        <w:rPr>
          <w:i/>
        </w:rPr>
        <w:t xml:space="preserve">F </w:t>
      </w:r>
      <w:r w:rsidR="00283382" w:rsidRPr="00341B41">
        <w:t>(1, 32</w:t>
      </w:r>
      <w:r w:rsidR="00A83E97" w:rsidRPr="00341B41">
        <w:t xml:space="preserve">) = 7.00, </w:t>
      </w:r>
      <w:r w:rsidR="00A83E97" w:rsidRPr="00341B41">
        <w:rPr>
          <w:i/>
        </w:rPr>
        <w:t xml:space="preserve">p </w:t>
      </w:r>
      <w:r w:rsidR="00A83E97" w:rsidRPr="00341B41">
        <w:t xml:space="preserve">= .01, </w:t>
      </w:r>
      <w:r w:rsidR="00A83E97" w:rsidRPr="00341B41">
        <w:rPr>
          <w:i/>
        </w:rPr>
        <w:t>np</w:t>
      </w:r>
      <w:r w:rsidR="00A83E97" w:rsidRPr="00341B41">
        <w:rPr>
          <w:i/>
          <w:vertAlign w:val="superscript"/>
        </w:rPr>
        <w:t>2</w:t>
      </w:r>
      <w:r w:rsidR="00A83E97" w:rsidRPr="00341B41">
        <w:rPr>
          <w:i/>
        </w:rPr>
        <w:t xml:space="preserve"> </w:t>
      </w:r>
      <w:r w:rsidR="00A83E97" w:rsidRPr="00341B41">
        <w:t xml:space="preserve">= .22, with correctly anticipated trials showing significantly greater beta ERD (M = -1.14, 95% CI = -1.48 – -0.81) than incorrectly anticipated trials (M = -0.59 dB, 95% CI = -0.82 dB – -0.36 dB). There was a significant main effect of expertise, </w:t>
      </w:r>
      <w:r w:rsidR="00A83E97" w:rsidRPr="00341B41">
        <w:rPr>
          <w:i/>
        </w:rPr>
        <w:t xml:space="preserve">F </w:t>
      </w:r>
      <w:r w:rsidR="00283382" w:rsidRPr="00341B41">
        <w:t>(1, 32</w:t>
      </w:r>
      <w:r w:rsidR="00A83E97" w:rsidRPr="00341B41">
        <w:t xml:space="preserve">) = 17.66, </w:t>
      </w:r>
      <w:r w:rsidR="00A83E97" w:rsidRPr="00341B41">
        <w:rPr>
          <w:i/>
        </w:rPr>
        <w:t xml:space="preserve">p </w:t>
      </w:r>
      <w:r w:rsidR="00A83E97" w:rsidRPr="00341B41">
        <w:t xml:space="preserve">&lt; .001, </w:t>
      </w:r>
      <w:r w:rsidR="00A83E97" w:rsidRPr="00341B41">
        <w:rPr>
          <w:i/>
        </w:rPr>
        <w:t>np</w:t>
      </w:r>
      <w:r w:rsidR="00A83E97" w:rsidRPr="00341B41">
        <w:rPr>
          <w:i/>
          <w:vertAlign w:val="superscript"/>
        </w:rPr>
        <w:t>2</w:t>
      </w:r>
      <w:r w:rsidR="00A83E97" w:rsidRPr="00341B41">
        <w:rPr>
          <w:i/>
        </w:rPr>
        <w:t xml:space="preserve"> </w:t>
      </w:r>
      <w:r w:rsidR="00A83E97" w:rsidRPr="00341B41">
        <w:t>= .41. Beta ERD was significantly lower in the experienced group (</w:t>
      </w:r>
      <w:r w:rsidR="00BC053A" w:rsidRPr="00341B41">
        <w:t xml:space="preserve">M = -1.25 dB, 95% CI = -1.48 dB – -0.81 dB) compared to the less experienced group, M = 0.58 dB, 95% CI = -0.82 dB – -0.36 </w:t>
      </w:r>
      <w:proofErr w:type="spellStart"/>
      <w:r w:rsidR="00BC053A" w:rsidRPr="00341B41">
        <w:t>dB.</w:t>
      </w:r>
      <w:proofErr w:type="spellEnd"/>
      <w:r w:rsidR="00BC053A" w:rsidRPr="00341B41">
        <w:t xml:space="preserve"> </w:t>
      </w:r>
      <w:r w:rsidR="002D0D93" w:rsidRPr="00341B41">
        <w:t xml:space="preserve">There was a significant outcome x expertise interaction, </w:t>
      </w:r>
      <w:r w:rsidR="002D0D93" w:rsidRPr="00341B41">
        <w:rPr>
          <w:i/>
        </w:rPr>
        <w:t xml:space="preserve">F </w:t>
      </w:r>
      <w:r w:rsidR="00283382" w:rsidRPr="00341B41">
        <w:t>(1, 32</w:t>
      </w:r>
      <w:r w:rsidR="002D0D93" w:rsidRPr="00341B41">
        <w:t xml:space="preserve">) = 4.48, </w:t>
      </w:r>
      <w:r w:rsidR="002D0D93" w:rsidRPr="00341B41">
        <w:rPr>
          <w:i/>
        </w:rPr>
        <w:t xml:space="preserve">p </w:t>
      </w:r>
      <w:r w:rsidR="002D0D93" w:rsidRPr="00341B41">
        <w:t xml:space="preserve">= .04, </w:t>
      </w:r>
      <w:r w:rsidR="002D0D93" w:rsidRPr="00341B41">
        <w:rPr>
          <w:i/>
        </w:rPr>
        <w:t>np</w:t>
      </w:r>
      <w:r w:rsidR="002D0D93" w:rsidRPr="00341B41">
        <w:rPr>
          <w:i/>
          <w:vertAlign w:val="superscript"/>
        </w:rPr>
        <w:t>2</w:t>
      </w:r>
      <w:r w:rsidR="002D0D93" w:rsidRPr="00341B41">
        <w:t xml:space="preserve"> = .13. Follow-up t-tests revealed that in the experienced group, there was significantly greater ERD in correctly anticipated trials compared to incorrectly anticipated trials</w:t>
      </w:r>
      <w:r w:rsidR="00D31F56" w:rsidRPr="00341B41">
        <w:t xml:space="preserve">, </w:t>
      </w:r>
      <w:r w:rsidR="00D31F56" w:rsidRPr="00341B41">
        <w:rPr>
          <w:i/>
        </w:rPr>
        <w:t xml:space="preserve">t </w:t>
      </w:r>
      <w:r w:rsidR="00D31F56" w:rsidRPr="00341B41">
        <w:t xml:space="preserve">(16) = 2.82, </w:t>
      </w:r>
      <w:r w:rsidR="00D31F56" w:rsidRPr="00341B41">
        <w:rPr>
          <w:i/>
        </w:rPr>
        <w:t xml:space="preserve">p </w:t>
      </w:r>
      <w:r w:rsidR="00D31F56" w:rsidRPr="00341B41">
        <w:t>= .01</w:t>
      </w:r>
      <w:r w:rsidR="002D0D93" w:rsidRPr="00341B41">
        <w:t xml:space="preserve"> (correct: M = -1.62 dB, </w:t>
      </w:r>
      <w:r w:rsidR="002D0D93" w:rsidRPr="00341B41">
        <w:lastRenderedPageBreak/>
        <w:t>95% CI = -2.06 dB – -1.27 dB; incorrect: M = -0.88 dB, 95% CI = -1.19 dB – -0.57 dB). There was no difference in ERD for the less experienced group</w:t>
      </w:r>
      <w:r w:rsidR="00D31F56" w:rsidRPr="00341B41">
        <w:t xml:space="preserve">, </w:t>
      </w:r>
      <w:r w:rsidR="00D31F56" w:rsidRPr="00341B41">
        <w:rPr>
          <w:i/>
        </w:rPr>
        <w:t xml:space="preserve">t </w:t>
      </w:r>
      <w:r w:rsidR="00D31F56" w:rsidRPr="00341B41">
        <w:t xml:space="preserve">(16) = -1.12, </w:t>
      </w:r>
      <w:r w:rsidR="00D31F56" w:rsidRPr="00341B41">
        <w:rPr>
          <w:i/>
        </w:rPr>
        <w:t xml:space="preserve">p </w:t>
      </w:r>
      <w:r w:rsidR="00D31F56" w:rsidRPr="00341B41">
        <w:t>= .28</w:t>
      </w:r>
      <w:r w:rsidR="002D0D93" w:rsidRPr="00341B41">
        <w:t xml:space="preserve"> (correct: M = -0.67 dB, 95% CI = -1.17 dB – -0.17; incorrect: M = -0.29 dB, 95% CI = -0.63 dB – 0.05 dB).</w:t>
      </w:r>
    </w:p>
    <w:p w14:paraId="545EAD9C" w14:textId="5128259A" w:rsidR="00933385" w:rsidRPr="00341B41" w:rsidRDefault="00933385" w:rsidP="002D0D93">
      <w:r w:rsidRPr="00341B41">
        <w:tab/>
        <w:t>There were significant changes from baseline in terms of beta ERD during the action observation period for the experienced group during both correct (</w:t>
      </w:r>
      <w:r w:rsidRPr="00341B41">
        <w:rPr>
          <w:i/>
        </w:rPr>
        <w:t xml:space="preserve">t </w:t>
      </w:r>
      <w:r w:rsidRPr="00341B41">
        <w:t xml:space="preserve">(16) = 9.31, </w:t>
      </w:r>
      <w:r w:rsidRPr="00341B41">
        <w:rPr>
          <w:i/>
        </w:rPr>
        <w:t xml:space="preserve">p </w:t>
      </w:r>
      <w:r w:rsidRPr="00341B41">
        <w:t>&lt; .001) and incorrect (</w:t>
      </w:r>
      <w:r w:rsidRPr="00341B41">
        <w:rPr>
          <w:i/>
        </w:rPr>
        <w:t xml:space="preserve">t </w:t>
      </w:r>
      <w:r w:rsidRPr="00341B41">
        <w:t xml:space="preserve">(16) = 5.77, </w:t>
      </w:r>
      <w:r w:rsidRPr="00341B41">
        <w:rPr>
          <w:i/>
        </w:rPr>
        <w:t xml:space="preserve">p </w:t>
      </w:r>
      <w:r w:rsidRPr="00341B41">
        <w:t xml:space="preserve">&lt; .001) trials. </w:t>
      </w:r>
      <w:r w:rsidR="003B25D0" w:rsidRPr="00341B41">
        <w:t xml:space="preserve">This was also the case for the less experienced group (correct trials: </w:t>
      </w:r>
      <w:r w:rsidR="003B25D0" w:rsidRPr="00341B41">
        <w:rPr>
          <w:i/>
        </w:rPr>
        <w:t xml:space="preserve">t </w:t>
      </w:r>
      <w:r w:rsidR="003B25D0" w:rsidRPr="00341B41">
        <w:t xml:space="preserve">(16) = 2.35, </w:t>
      </w:r>
      <w:r w:rsidR="003B25D0" w:rsidRPr="00341B41">
        <w:rPr>
          <w:i/>
        </w:rPr>
        <w:t xml:space="preserve">p </w:t>
      </w:r>
      <w:r w:rsidR="003B25D0" w:rsidRPr="00341B41">
        <w:t xml:space="preserve">= .03, incorrect trials: </w:t>
      </w:r>
      <w:r w:rsidR="003B25D0" w:rsidRPr="00341B41">
        <w:rPr>
          <w:i/>
        </w:rPr>
        <w:t xml:space="preserve">t </w:t>
      </w:r>
      <w:r w:rsidR="003B25D0" w:rsidRPr="00341B41">
        <w:t xml:space="preserve">(16) = 2.62, </w:t>
      </w:r>
      <w:r w:rsidR="003B25D0" w:rsidRPr="00341B41">
        <w:rPr>
          <w:i/>
        </w:rPr>
        <w:t xml:space="preserve">p </w:t>
      </w:r>
      <w:r w:rsidR="003B25D0" w:rsidRPr="00341B41">
        <w:t xml:space="preserve">= .02). </w:t>
      </w:r>
    </w:p>
    <w:p w14:paraId="73E4F6E7" w14:textId="75B339C5" w:rsidR="005F1E74" w:rsidRPr="00341B41" w:rsidRDefault="002D0D93" w:rsidP="002D0D93">
      <w:r w:rsidRPr="00341B41">
        <w:tab/>
        <w:t>In the right sensorimotor cluster</w:t>
      </w:r>
      <w:r w:rsidR="00283382" w:rsidRPr="00341B41">
        <w:t>,</w:t>
      </w:r>
      <w:r w:rsidRPr="00341B41">
        <w:t xml:space="preserve"> similar results were found. </w:t>
      </w:r>
      <w:r w:rsidR="00A83E97" w:rsidRPr="00341B41">
        <w:t xml:space="preserve"> </w:t>
      </w:r>
      <w:r w:rsidR="00283382" w:rsidRPr="00341B41">
        <w:t xml:space="preserve">For mu ERD, there was a significant main effect of expertise, </w:t>
      </w:r>
      <w:r w:rsidR="00283382" w:rsidRPr="00341B41">
        <w:rPr>
          <w:i/>
        </w:rPr>
        <w:t>F</w:t>
      </w:r>
      <w:r w:rsidR="00283382" w:rsidRPr="00341B41">
        <w:t xml:space="preserve"> (1, 31) = 42.72, </w:t>
      </w:r>
      <w:r w:rsidR="00283382" w:rsidRPr="00341B41">
        <w:rPr>
          <w:i/>
        </w:rPr>
        <w:t xml:space="preserve">p </w:t>
      </w:r>
      <w:r w:rsidR="00283382" w:rsidRPr="00341B41">
        <w:t xml:space="preserve">&lt; .001, </w:t>
      </w:r>
      <w:r w:rsidR="00283382" w:rsidRPr="00341B41">
        <w:rPr>
          <w:i/>
        </w:rPr>
        <w:t>np</w:t>
      </w:r>
      <w:r w:rsidR="00283382" w:rsidRPr="00341B41">
        <w:rPr>
          <w:i/>
          <w:vertAlign w:val="superscript"/>
        </w:rPr>
        <w:t>2</w:t>
      </w:r>
      <w:r w:rsidR="00283382" w:rsidRPr="00341B41">
        <w:rPr>
          <w:i/>
        </w:rPr>
        <w:t xml:space="preserve"> </w:t>
      </w:r>
      <w:r w:rsidR="00283382" w:rsidRPr="00341B41">
        <w:t xml:space="preserve">= .58. There was significantly greater mu ERD in the experienced group (M = -1.13 dB, 95% CI = -1.49 dB – -0.75 dB) compared to the less experienced group </w:t>
      </w:r>
      <w:r w:rsidR="005F1E74" w:rsidRPr="00341B41">
        <w:t xml:space="preserve">(M = 0.49 dB, 95% CI = 0.15 dB – 0.84 dB). There was no main effect of outcome, </w:t>
      </w:r>
      <w:r w:rsidR="005F1E74" w:rsidRPr="00341B41">
        <w:rPr>
          <w:i/>
        </w:rPr>
        <w:t xml:space="preserve">F </w:t>
      </w:r>
      <w:r w:rsidR="005F1E74" w:rsidRPr="00341B41">
        <w:t xml:space="preserve">(1, 31) = 1.17, </w:t>
      </w:r>
      <w:r w:rsidR="005F1E74" w:rsidRPr="00341B41">
        <w:rPr>
          <w:i/>
        </w:rPr>
        <w:t xml:space="preserve">p </w:t>
      </w:r>
      <w:r w:rsidR="005F1E74" w:rsidRPr="00341B41">
        <w:t xml:space="preserve">= .29, </w:t>
      </w:r>
      <w:r w:rsidR="005F1E74" w:rsidRPr="00341B41">
        <w:rPr>
          <w:i/>
        </w:rPr>
        <w:t>np</w:t>
      </w:r>
      <w:r w:rsidR="005F1E74" w:rsidRPr="00341B41">
        <w:rPr>
          <w:i/>
          <w:vertAlign w:val="superscript"/>
        </w:rPr>
        <w:t>2</w:t>
      </w:r>
      <w:r w:rsidR="005F1E74" w:rsidRPr="00341B41">
        <w:rPr>
          <w:i/>
        </w:rPr>
        <w:t xml:space="preserve"> </w:t>
      </w:r>
      <w:r w:rsidR="005F1E74" w:rsidRPr="00341B41">
        <w:t xml:space="preserve">= .04, and the outcome x expertise interaction was also not significant, </w:t>
      </w:r>
      <w:r w:rsidR="005F1E74" w:rsidRPr="00341B41">
        <w:rPr>
          <w:i/>
        </w:rPr>
        <w:t xml:space="preserve">F </w:t>
      </w:r>
      <w:r w:rsidR="005F1E74" w:rsidRPr="00341B41">
        <w:t xml:space="preserve">(1, 31) = 0.69, </w:t>
      </w:r>
      <w:r w:rsidR="005F1E74" w:rsidRPr="00341B41">
        <w:rPr>
          <w:i/>
        </w:rPr>
        <w:t xml:space="preserve">p </w:t>
      </w:r>
      <w:r w:rsidR="005F1E74" w:rsidRPr="00341B41">
        <w:t xml:space="preserve">= .42, </w:t>
      </w:r>
      <w:r w:rsidR="005F1E74" w:rsidRPr="00341B41">
        <w:rPr>
          <w:i/>
        </w:rPr>
        <w:t>np</w:t>
      </w:r>
      <w:r w:rsidR="005F1E74" w:rsidRPr="00341B41">
        <w:rPr>
          <w:i/>
          <w:vertAlign w:val="superscript"/>
        </w:rPr>
        <w:t>2</w:t>
      </w:r>
      <w:r w:rsidR="005F1E74" w:rsidRPr="00341B41">
        <w:rPr>
          <w:i/>
        </w:rPr>
        <w:t xml:space="preserve"> </w:t>
      </w:r>
      <w:r w:rsidR="00EA4CB2" w:rsidRPr="00341B41">
        <w:t>= .03.</w:t>
      </w:r>
    </w:p>
    <w:p w14:paraId="5217CA28" w14:textId="5CCFAD96" w:rsidR="00EA4CB2" w:rsidRPr="00341B41" w:rsidRDefault="00EA4CB2" w:rsidP="002D0D93">
      <w:r w:rsidRPr="00341B41">
        <w:tab/>
        <w:t>The experienced group showed a significant decrease in mu power during the action observation period compared to baseline for both correctly (</w:t>
      </w:r>
      <w:r w:rsidRPr="00341B41">
        <w:rPr>
          <w:i/>
        </w:rPr>
        <w:t xml:space="preserve">t </w:t>
      </w:r>
      <w:r w:rsidRPr="00341B41">
        <w:t xml:space="preserve">(16) = 5.08, </w:t>
      </w:r>
      <w:r w:rsidRPr="00341B41">
        <w:rPr>
          <w:i/>
        </w:rPr>
        <w:t xml:space="preserve">p </w:t>
      </w:r>
      <w:r w:rsidRPr="00341B41">
        <w:t>&lt; .001) and incorrectly (</w:t>
      </w:r>
      <w:r w:rsidRPr="00341B41">
        <w:rPr>
          <w:i/>
        </w:rPr>
        <w:t xml:space="preserve">t </w:t>
      </w:r>
      <w:r w:rsidRPr="00341B41">
        <w:t xml:space="preserve">(16) = 3.12, </w:t>
      </w:r>
      <w:r w:rsidRPr="00341B41">
        <w:rPr>
          <w:i/>
        </w:rPr>
        <w:t xml:space="preserve">p </w:t>
      </w:r>
      <w:r w:rsidRPr="00341B41">
        <w:t xml:space="preserve">= .007) anticipated trials. For the less experienced group, there was a significant </w:t>
      </w:r>
      <w:r w:rsidR="00EE6FE8" w:rsidRPr="00341B41">
        <w:t>increase in mu power (ERS) during correctly anticipated trials compared to baseline (</w:t>
      </w:r>
      <w:r w:rsidR="00EE6FE8" w:rsidRPr="00341B41">
        <w:rPr>
          <w:i/>
        </w:rPr>
        <w:t xml:space="preserve">t </w:t>
      </w:r>
      <w:r w:rsidR="00EE6FE8" w:rsidRPr="00341B41">
        <w:t xml:space="preserve">(15) = 2.99, </w:t>
      </w:r>
      <w:r w:rsidR="00EE6FE8" w:rsidRPr="00341B41">
        <w:rPr>
          <w:i/>
        </w:rPr>
        <w:t xml:space="preserve">p </w:t>
      </w:r>
      <w:r w:rsidR="00EE6FE8" w:rsidRPr="00341B41">
        <w:t>= .008). There was no significant change from baseline for incorrect trials (</w:t>
      </w:r>
      <w:r w:rsidR="00EE6FE8" w:rsidRPr="00341B41">
        <w:rPr>
          <w:i/>
        </w:rPr>
        <w:t xml:space="preserve">t </w:t>
      </w:r>
      <w:r w:rsidR="00EE6FE8" w:rsidRPr="00341B41">
        <w:t xml:space="preserve">(15) = 1.68, </w:t>
      </w:r>
      <w:r w:rsidR="00EE6FE8" w:rsidRPr="00341B41">
        <w:rPr>
          <w:i/>
        </w:rPr>
        <w:t xml:space="preserve">p </w:t>
      </w:r>
      <w:r w:rsidR="00EE6FE8" w:rsidRPr="00341B41">
        <w:t xml:space="preserve">= .11). </w:t>
      </w:r>
    </w:p>
    <w:p w14:paraId="5D423E3D" w14:textId="0B1AAEA3" w:rsidR="005F1E74" w:rsidRPr="00341B41" w:rsidRDefault="005F1E74" w:rsidP="002D0D93">
      <w:r w:rsidRPr="00341B41">
        <w:lastRenderedPageBreak/>
        <w:tab/>
        <w:t xml:space="preserve">For beta ERD in the right sensorimotor cluster, there was a significant main effect of expertise, </w:t>
      </w:r>
      <w:r w:rsidRPr="00341B41">
        <w:rPr>
          <w:i/>
        </w:rPr>
        <w:t xml:space="preserve">F </w:t>
      </w:r>
      <w:r w:rsidRPr="00341B41">
        <w:t xml:space="preserve">(1, 31) = 27.24, </w:t>
      </w:r>
      <w:r w:rsidRPr="00341B41">
        <w:rPr>
          <w:i/>
        </w:rPr>
        <w:t xml:space="preserve">p </w:t>
      </w:r>
      <w:r w:rsidRPr="00341B41">
        <w:t xml:space="preserve">&lt; .001, </w:t>
      </w:r>
      <w:r w:rsidRPr="00341B41">
        <w:rPr>
          <w:i/>
        </w:rPr>
        <w:t>np</w:t>
      </w:r>
      <w:r w:rsidRPr="00341B41">
        <w:rPr>
          <w:i/>
          <w:vertAlign w:val="superscript"/>
        </w:rPr>
        <w:t>2</w:t>
      </w:r>
      <w:r w:rsidRPr="00341B41">
        <w:rPr>
          <w:i/>
        </w:rPr>
        <w:t xml:space="preserve"> </w:t>
      </w:r>
      <w:r w:rsidRPr="00341B41">
        <w:t xml:space="preserve">= .48, with correct trials showing significantly greater beta ERD than incorrect trails (correct: M = -0.89 dB, 95% CI = -1.09 dB – -0.69 dB; incorrect: M = -0.30 dB, 95% CI = -0.26 dB – 0.08 dB). There was a significant main effect of expertise, </w:t>
      </w:r>
      <w:r w:rsidRPr="00341B41">
        <w:rPr>
          <w:i/>
        </w:rPr>
        <w:t xml:space="preserve">F </w:t>
      </w:r>
      <w:r w:rsidRPr="00341B41">
        <w:t xml:space="preserve">(1, 31) = 67.58, </w:t>
      </w:r>
      <w:r w:rsidRPr="00341B41">
        <w:rPr>
          <w:i/>
        </w:rPr>
        <w:t xml:space="preserve">p </w:t>
      </w:r>
      <w:r w:rsidRPr="00341B41">
        <w:t xml:space="preserve">&lt; .001, </w:t>
      </w:r>
      <w:r w:rsidRPr="00341B41">
        <w:rPr>
          <w:i/>
        </w:rPr>
        <w:t>np</w:t>
      </w:r>
      <w:r w:rsidRPr="00341B41">
        <w:rPr>
          <w:i/>
          <w:vertAlign w:val="superscript"/>
        </w:rPr>
        <w:t>2</w:t>
      </w:r>
      <w:r w:rsidRPr="00341B41">
        <w:rPr>
          <w:i/>
        </w:rPr>
        <w:t xml:space="preserve"> </w:t>
      </w:r>
      <w:r w:rsidRPr="00341B41">
        <w:t xml:space="preserve">= .69. Beta ERD was significantly greater in the experienced group (M = -1.11 dB, 95% CI = -1.29 dB – -0.92 dB), compared to the less experienced group (M = -0.09 dB, 95% CI = -0.26 dB – 0.08 dB). The outcome x expertise interaction was also significant, </w:t>
      </w:r>
      <w:r w:rsidRPr="00341B41">
        <w:rPr>
          <w:i/>
        </w:rPr>
        <w:t xml:space="preserve">F </w:t>
      </w:r>
      <w:r w:rsidRPr="00341B41">
        <w:t xml:space="preserve">(1, 31) = 8.56, </w:t>
      </w:r>
      <w:r w:rsidRPr="00341B41">
        <w:rPr>
          <w:i/>
        </w:rPr>
        <w:t xml:space="preserve">p </w:t>
      </w:r>
      <w:r w:rsidRPr="00341B41">
        <w:t xml:space="preserve">= .006, </w:t>
      </w:r>
      <w:r w:rsidRPr="00341B41">
        <w:rPr>
          <w:i/>
        </w:rPr>
        <w:t>np</w:t>
      </w:r>
      <w:r w:rsidRPr="00341B41">
        <w:rPr>
          <w:i/>
          <w:vertAlign w:val="superscript"/>
        </w:rPr>
        <w:t>2</w:t>
      </w:r>
      <w:r w:rsidRPr="00341B41">
        <w:rPr>
          <w:i/>
        </w:rPr>
        <w:t xml:space="preserve"> </w:t>
      </w:r>
      <w:r w:rsidRPr="00341B41">
        <w:t>= .22. Follow-up t-tests revealed that in the experienced group, there was significantly greater ERD in correctly anticipated trials compared to incorrectly anticipated trials</w:t>
      </w:r>
      <w:r w:rsidR="00D31F56" w:rsidRPr="00341B41">
        <w:t xml:space="preserve">, </w:t>
      </w:r>
      <w:r w:rsidR="00D31F56" w:rsidRPr="00341B41">
        <w:rPr>
          <w:i/>
        </w:rPr>
        <w:t xml:space="preserve">t </w:t>
      </w:r>
      <w:r w:rsidR="00B43274" w:rsidRPr="00341B41">
        <w:t>(16</w:t>
      </w:r>
      <w:r w:rsidR="00D31F56" w:rsidRPr="00341B41">
        <w:t xml:space="preserve">) = 4.60, </w:t>
      </w:r>
      <w:r w:rsidR="00D31F56" w:rsidRPr="00341B41">
        <w:rPr>
          <w:i/>
        </w:rPr>
        <w:t xml:space="preserve">p </w:t>
      </w:r>
      <w:r w:rsidR="00D31F56" w:rsidRPr="00341B41">
        <w:t>&lt; .001</w:t>
      </w:r>
      <w:r w:rsidRPr="00341B41">
        <w:t xml:space="preserve"> (correct: M = -1.57 dB, 95% CI = -1.87 dB – -1.28 dB; incorrect: M = -0.64 dB, 95% CI = -0.84 dB – -0.45 dB). There was no difference in ERD for the less experienced group</w:t>
      </w:r>
      <w:r w:rsidR="00D31F56" w:rsidRPr="00341B41">
        <w:t xml:space="preserve">, </w:t>
      </w:r>
      <w:r w:rsidR="00D31F56" w:rsidRPr="00341B41">
        <w:rPr>
          <w:i/>
        </w:rPr>
        <w:t xml:space="preserve">t </w:t>
      </w:r>
      <w:r w:rsidR="00B43274" w:rsidRPr="00341B41">
        <w:t>(15</w:t>
      </w:r>
      <w:r w:rsidR="00D31F56" w:rsidRPr="00341B41">
        <w:t xml:space="preserve">) = -1.89, </w:t>
      </w:r>
      <w:r w:rsidR="00D31F56" w:rsidRPr="00341B41">
        <w:rPr>
          <w:i/>
        </w:rPr>
        <w:t xml:space="preserve">p </w:t>
      </w:r>
      <w:r w:rsidR="00D31F56" w:rsidRPr="00341B41">
        <w:t>= .08</w:t>
      </w:r>
      <w:r w:rsidRPr="00341B41">
        <w:t xml:space="preserve"> (correct: M = -0.22 dB, 95% CI = -49 dB – 0.06; incorrect: M = 0.04 dB, 95% CI = -0.14 dB – 0.22 dB). </w:t>
      </w:r>
    </w:p>
    <w:p w14:paraId="0DDE567F" w14:textId="65B7E00A" w:rsidR="005D582D" w:rsidRPr="00341B41" w:rsidRDefault="005D582D" w:rsidP="002D0D93">
      <w:r w:rsidRPr="00341B41">
        <w:tab/>
        <w:t>Beta ERD during action observation differed significantly from baseline in the experienced group for both correct (</w:t>
      </w:r>
      <w:r w:rsidRPr="00341B41">
        <w:rPr>
          <w:i/>
        </w:rPr>
        <w:t xml:space="preserve">t </w:t>
      </w:r>
      <w:r w:rsidRPr="00341B41">
        <w:t xml:space="preserve">(16) = 9.28, </w:t>
      </w:r>
      <w:r w:rsidRPr="00341B41">
        <w:rPr>
          <w:i/>
        </w:rPr>
        <w:t xml:space="preserve">p </w:t>
      </w:r>
      <w:r w:rsidRPr="00341B41">
        <w:t>&lt; .001) and incorrect trials (</w:t>
      </w:r>
      <w:r w:rsidRPr="00341B41">
        <w:rPr>
          <w:i/>
        </w:rPr>
        <w:t xml:space="preserve">t </w:t>
      </w:r>
      <w:r w:rsidRPr="00341B41">
        <w:t xml:space="preserve">(16) = 7.25, </w:t>
      </w:r>
      <w:r w:rsidRPr="00341B41">
        <w:rPr>
          <w:i/>
        </w:rPr>
        <w:t xml:space="preserve">p </w:t>
      </w:r>
      <w:r w:rsidRPr="00341B41">
        <w:t>&lt; .001). There were no significant changes from baseline in the less experienced group for either correct (</w:t>
      </w:r>
      <w:r w:rsidRPr="00341B41">
        <w:rPr>
          <w:i/>
        </w:rPr>
        <w:t xml:space="preserve">t </w:t>
      </w:r>
      <w:r w:rsidRPr="00341B41">
        <w:t xml:space="preserve">(15) = 1.89, </w:t>
      </w:r>
      <w:r w:rsidRPr="00341B41">
        <w:rPr>
          <w:i/>
        </w:rPr>
        <w:t xml:space="preserve">p </w:t>
      </w:r>
      <w:r w:rsidRPr="00341B41">
        <w:t>= .08) or incorrect trials (</w:t>
      </w:r>
      <w:r w:rsidRPr="00341B41">
        <w:rPr>
          <w:i/>
        </w:rPr>
        <w:t xml:space="preserve">t </w:t>
      </w:r>
      <w:r w:rsidRPr="00341B41">
        <w:t xml:space="preserve">(15) = 0.43, </w:t>
      </w:r>
      <w:r w:rsidRPr="00341B41">
        <w:rPr>
          <w:i/>
        </w:rPr>
        <w:t xml:space="preserve">p </w:t>
      </w:r>
      <w:r w:rsidRPr="00341B41">
        <w:t xml:space="preserve">= .67). </w:t>
      </w:r>
    </w:p>
    <w:p w14:paraId="22CD5254" w14:textId="5981261C" w:rsidR="00271A48" w:rsidRPr="00341B41" w:rsidRDefault="00B406B1" w:rsidP="00B406B1">
      <w:pPr>
        <w:ind w:firstLine="720"/>
        <w:sectPr w:rsidR="00271A48" w:rsidRPr="00341B41" w:rsidSect="00805FAB">
          <w:pgSz w:w="12240" w:h="15840"/>
          <w:pgMar w:top="1440" w:right="1138" w:bottom="1440" w:left="2275" w:header="720" w:footer="720" w:gutter="0"/>
          <w:cols w:space="720"/>
          <w:titlePg/>
          <w:docGrid w:linePitch="360"/>
        </w:sectPr>
      </w:pPr>
      <w:r w:rsidRPr="00341B41">
        <w:t>Differences</w:t>
      </w:r>
      <w:r w:rsidR="007A360E" w:rsidRPr="00341B41">
        <w:t xml:space="preserve"> </w:t>
      </w:r>
      <w:r w:rsidRPr="00341B41">
        <w:t xml:space="preserve">between correctly and incorrectly anticipated trials in other component clusters were also investigated. There were no differences at any of the clusters (all </w:t>
      </w:r>
      <w:r w:rsidRPr="00341B41">
        <w:rPr>
          <w:i/>
        </w:rPr>
        <w:t xml:space="preserve">p </w:t>
      </w:r>
      <w:r w:rsidRPr="00341B41">
        <w:t xml:space="preserve">&gt; .12). </w:t>
      </w:r>
    </w:p>
    <w:p w14:paraId="7290951E" w14:textId="06446EB1" w:rsidR="00B406B1" w:rsidRPr="00341B41" w:rsidRDefault="009F0365" w:rsidP="00271A48">
      <w:r w:rsidRPr="00341B41">
        <w:rPr>
          <w:noProof/>
          <w:lang w:val="en-US"/>
        </w:rPr>
        <w:lastRenderedPageBreak/>
        <w:drawing>
          <wp:inline distT="0" distB="0" distL="0" distR="0" wp14:anchorId="330EC36E" wp14:editId="21F9C698">
            <wp:extent cx="5605780" cy="7646670"/>
            <wp:effectExtent l="0" t="0" r="7620" b="0"/>
            <wp:docPr id="19" name="Picture 19" descr="../../Desktop/Correct%20vs%20incorrect%20anticipation%20left%20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orrect%20vs%20incorrect%20anticipation%20left%20cluster.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5780" cy="7646670"/>
                    </a:xfrm>
                    <a:prstGeom prst="rect">
                      <a:avLst/>
                    </a:prstGeom>
                    <a:noFill/>
                    <a:ln>
                      <a:noFill/>
                    </a:ln>
                  </pic:spPr>
                </pic:pic>
              </a:graphicData>
            </a:graphic>
          </wp:inline>
        </w:drawing>
      </w:r>
    </w:p>
    <w:p w14:paraId="0A573BFE" w14:textId="77777777" w:rsidR="009F0365" w:rsidRPr="00341B41" w:rsidRDefault="009F0365" w:rsidP="00271A48"/>
    <w:p w14:paraId="4FA541E2" w14:textId="2C5EF0C2" w:rsidR="009F0365" w:rsidRPr="00341B41" w:rsidRDefault="009F0365" w:rsidP="009F0365">
      <w:pPr>
        <w:pStyle w:val="Caption"/>
      </w:pPr>
      <w:bookmarkStart w:id="111" w:name="_Toc488400767"/>
      <w:r w:rsidRPr="00341B41">
        <w:lastRenderedPageBreak/>
        <w:t xml:space="preserve">Figure </w:t>
      </w:r>
      <w:r w:rsidRPr="00341B41">
        <w:fldChar w:fldCharType="begin"/>
      </w:r>
      <w:r w:rsidRPr="00341B41">
        <w:instrText xml:space="preserve"> SEQ Figure \* ARABIC </w:instrText>
      </w:r>
      <w:r w:rsidRPr="00341B41">
        <w:fldChar w:fldCharType="separate"/>
      </w:r>
      <w:r w:rsidR="004B6B2B" w:rsidRPr="00341B41">
        <w:rPr>
          <w:noProof/>
        </w:rPr>
        <w:t>18</w:t>
      </w:r>
      <w:r w:rsidRPr="00341B41">
        <w:fldChar w:fldCharType="end"/>
      </w:r>
      <w:r w:rsidRPr="00341B41">
        <w:t>. Differences between mu (8-13Hz) and beta (15-25Hz) power during successful and unsuccessful anticipation in the experienced and less experienced group</w:t>
      </w:r>
      <w:r w:rsidR="00570BEA" w:rsidRPr="00341B41">
        <w:t xml:space="preserve"> in the left sensorimotor cluster</w:t>
      </w:r>
      <w:bookmarkEnd w:id="111"/>
    </w:p>
    <w:p w14:paraId="766427F4" w14:textId="2FF68286" w:rsidR="00570BEA" w:rsidRPr="00341B41" w:rsidRDefault="009F0365" w:rsidP="009F0365">
      <w:pPr>
        <w:pStyle w:val="NoSpacing"/>
        <w:sectPr w:rsidR="00570BEA" w:rsidRPr="00341B41" w:rsidSect="00805FAB">
          <w:pgSz w:w="12240" w:h="15840"/>
          <w:pgMar w:top="1440" w:right="1138" w:bottom="1440" w:left="2275" w:header="720" w:footer="720" w:gutter="0"/>
          <w:cols w:space="720"/>
          <w:titlePg/>
          <w:docGrid w:linePitch="360"/>
        </w:sectPr>
      </w:pPr>
      <w:r w:rsidRPr="00341B41">
        <w:rPr>
          <w:b/>
        </w:rPr>
        <w:t>A</w:t>
      </w:r>
      <w:r w:rsidRPr="00341B41">
        <w:t xml:space="preserve"> &amp; </w:t>
      </w:r>
      <w:r w:rsidRPr="00341B41">
        <w:rPr>
          <w:b/>
        </w:rPr>
        <w:t>C</w:t>
      </w:r>
      <w:r w:rsidRPr="00341B41">
        <w:t xml:space="preserve"> – Differences in mu (8-13Hz) frequency band during successful and unsuccessful anticipation in the experienced group. </w:t>
      </w:r>
      <w:r w:rsidRPr="00341B41">
        <w:rPr>
          <w:b/>
        </w:rPr>
        <w:t>B</w:t>
      </w:r>
      <w:r w:rsidRPr="00341B41">
        <w:t xml:space="preserve"> &amp; </w:t>
      </w:r>
      <w:r w:rsidRPr="00341B41">
        <w:rPr>
          <w:b/>
        </w:rPr>
        <w:t>D</w:t>
      </w:r>
      <w:r w:rsidRPr="00341B41">
        <w:t xml:space="preserve"> – Differences in mu (8-13Hz) frequency band during successful and unsuccessful anticipation in the less experienced group. </w:t>
      </w:r>
      <w:r w:rsidRPr="00341B41">
        <w:rPr>
          <w:b/>
        </w:rPr>
        <w:t>E</w:t>
      </w:r>
      <w:r w:rsidRPr="00341B41">
        <w:t xml:space="preserve"> &amp; </w:t>
      </w:r>
      <w:r w:rsidRPr="00341B41">
        <w:rPr>
          <w:b/>
        </w:rPr>
        <w:t>G</w:t>
      </w:r>
      <w:r w:rsidRPr="00341B41">
        <w:t xml:space="preserve"> - Differences in beta (15-25Hz) frequency band during successful and unsuccessful anticipation in the experienced group. </w:t>
      </w:r>
      <w:r w:rsidRPr="00341B41">
        <w:rPr>
          <w:b/>
        </w:rPr>
        <w:t>F</w:t>
      </w:r>
      <w:r w:rsidRPr="00341B41">
        <w:t xml:space="preserve"> &amp; </w:t>
      </w:r>
      <w:r w:rsidRPr="00341B41">
        <w:rPr>
          <w:b/>
        </w:rPr>
        <w:t>H</w:t>
      </w:r>
      <w:r w:rsidRPr="00341B41">
        <w:t xml:space="preserve"> - Differences in beta (15-25Hz) frequency band during successful and unsuccessful anticipation in the experienced group. Error bars represent 95% confidence intervals. * = </w:t>
      </w:r>
      <w:r w:rsidRPr="00341B41">
        <w:rPr>
          <w:i/>
        </w:rPr>
        <w:t xml:space="preserve">p </w:t>
      </w:r>
      <w:r w:rsidRPr="00341B41">
        <w:t>&lt; .05.</w:t>
      </w:r>
    </w:p>
    <w:p w14:paraId="1D3F1723" w14:textId="3191B56B" w:rsidR="009F0365" w:rsidRPr="00341B41" w:rsidRDefault="00570BEA" w:rsidP="009F0365">
      <w:pPr>
        <w:pStyle w:val="NoSpacing"/>
      </w:pPr>
      <w:r w:rsidRPr="00341B41">
        <w:rPr>
          <w:noProof/>
          <w:lang w:val="en-US"/>
        </w:rPr>
        <w:lastRenderedPageBreak/>
        <w:drawing>
          <wp:inline distT="0" distB="0" distL="0" distR="0" wp14:anchorId="2E9FE612" wp14:editId="21180558">
            <wp:extent cx="5605780" cy="7872095"/>
            <wp:effectExtent l="0" t="0" r="7620" b="1905"/>
            <wp:docPr id="20" name="Picture 20" descr="../../Desktop/Correct%20vs%20incorrect%20anticipation%20right%20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orrect%20vs%20incorrect%20anticipation%20right%20cluster.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5780" cy="7872095"/>
                    </a:xfrm>
                    <a:prstGeom prst="rect">
                      <a:avLst/>
                    </a:prstGeom>
                    <a:noFill/>
                    <a:ln>
                      <a:noFill/>
                    </a:ln>
                  </pic:spPr>
                </pic:pic>
              </a:graphicData>
            </a:graphic>
          </wp:inline>
        </w:drawing>
      </w:r>
    </w:p>
    <w:p w14:paraId="054D6D92" w14:textId="77777777" w:rsidR="00570BEA" w:rsidRPr="00341B41" w:rsidRDefault="00570BEA" w:rsidP="009F0365">
      <w:pPr>
        <w:pStyle w:val="NoSpacing"/>
      </w:pPr>
    </w:p>
    <w:p w14:paraId="06712055" w14:textId="77777777" w:rsidR="00570BEA" w:rsidRPr="00341B41" w:rsidRDefault="00570BEA" w:rsidP="009F0365">
      <w:pPr>
        <w:pStyle w:val="NoSpacing"/>
      </w:pPr>
    </w:p>
    <w:p w14:paraId="3CF20963" w14:textId="7F0CF6D3" w:rsidR="00570BEA" w:rsidRPr="00341B41" w:rsidRDefault="00570BEA" w:rsidP="00570BEA">
      <w:pPr>
        <w:pStyle w:val="Caption"/>
      </w:pPr>
      <w:bookmarkStart w:id="112" w:name="_Toc488400768"/>
      <w:r w:rsidRPr="00341B41">
        <w:lastRenderedPageBreak/>
        <w:t xml:space="preserve">Figure </w:t>
      </w:r>
      <w:r w:rsidRPr="00341B41">
        <w:fldChar w:fldCharType="begin"/>
      </w:r>
      <w:r w:rsidRPr="00341B41">
        <w:instrText xml:space="preserve"> SEQ Figure \* ARABIC </w:instrText>
      </w:r>
      <w:r w:rsidRPr="00341B41">
        <w:fldChar w:fldCharType="separate"/>
      </w:r>
      <w:r w:rsidR="004B6B2B" w:rsidRPr="00341B41">
        <w:rPr>
          <w:noProof/>
        </w:rPr>
        <w:t>19</w:t>
      </w:r>
      <w:r w:rsidRPr="00341B41">
        <w:fldChar w:fldCharType="end"/>
      </w:r>
      <w:r w:rsidRPr="00341B41">
        <w:t>. Differences between mu (8-13Hz) and beta (15-25Hz) power during successful and unsuccessful anticipation in the experienced and less experienced group in the right sensorimotor cluster</w:t>
      </w:r>
      <w:bookmarkEnd w:id="112"/>
    </w:p>
    <w:p w14:paraId="6E698C3D" w14:textId="3C0DC698" w:rsidR="00570BEA" w:rsidRPr="00341B41" w:rsidRDefault="00570BEA" w:rsidP="00570BEA">
      <w:pPr>
        <w:pStyle w:val="NoSpacing"/>
        <w:sectPr w:rsidR="00570BEA" w:rsidRPr="00341B41" w:rsidSect="00805FAB">
          <w:pgSz w:w="12240" w:h="15840"/>
          <w:pgMar w:top="1440" w:right="1138" w:bottom="1440" w:left="2275" w:header="720" w:footer="720" w:gutter="0"/>
          <w:cols w:space="720"/>
          <w:titlePg/>
          <w:docGrid w:linePitch="360"/>
        </w:sectPr>
      </w:pPr>
      <w:r w:rsidRPr="00341B41">
        <w:rPr>
          <w:b/>
          <w:i/>
        </w:rPr>
        <w:t>A</w:t>
      </w:r>
      <w:r w:rsidRPr="00341B41">
        <w:rPr>
          <w:i/>
        </w:rPr>
        <w:t xml:space="preserve"> &amp; </w:t>
      </w:r>
      <w:r w:rsidRPr="00341B41">
        <w:rPr>
          <w:b/>
          <w:i/>
        </w:rPr>
        <w:t>C</w:t>
      </w:r>
      <w:r w:rsidRPr="00341B41">
        <w:rPr>
          <w:i/>
        </w:rPr>
        <w:t xml:space="preserve"> – Differences in mu (8-13Hz) frequency band during successful and unsuccessful anticipation in the experienced group. </w:t>
      </w:r>
      <w:r w:rsidRPr="00341B41">
        <w:rPr>
          <w:b/>
          <w:i/>
        </w:rPr>
        <w:t>B</w:t>
      </w:r>
      <w:r w:rsidRPr="00341B41">
        <w:rPr>
          <w:i/>
        </w:rPr>
        <w:t xml:space="preserve"> &amp; </w:t>
      </w:r>
      <w:r w:rsidRPr="00341B41">
        <w:rPr>
          <w:b/>
          <w:i/>
        </w:rPr>
        <w:t>D</w:t>
      </w:r>
      <w:r w:rsidRPr="00341B41">
        <w:rPr>
          <w:i/>
        </w:rPr>
        <w:t xml:space="preserve"> – Differences in mu (8-13Hz) frequency band during successful and unsuccessful anticipation in the less experienced group. </w:t>
      </w:r>
      <w:r w:rsidRPr="00341B41">
        <w:rPr>
          <w:b/>
          <w:i/>
        </w:rPr>
        <w:t>E</w:t>
      </w:r>
      <w:r w:rsidRPr="00341B41">
        <w:rPr>
          <w:i/>
        </w:rPr>
        <w:t xml:space="preserve"> &amp; </w:t>
      </w:r>
      <w:r w:rsidRPr="00341B41">
        <w:rPr>
          <w:b/>
          <w:i/>
        </w:rPr>
        <w:t>G</w:t>
      </w:r>
      <w:r w:rsidRPr="00341B41">
        <w:rPr>
          <w:i/>
        </w:rPr>
        <w:t xml:space="preserve"> - Differences in beta (15-25Hz) frequency band during successful and unsuccessful anticipation in the experienced group. </w:t>
      </w:r>
      <w:r w:rsidRPr="00341B41">
        <w:rPr>
          <w:b/>
          <w:i/>
        </w:rPr>
        <w:t>F</w:t>
      </w:r>
      <w:r w:rsidRPr="00341B41">
        <w:rPr>
          <w:i/>
        </w:rPr>
        <w:t xml:space="preserve"> &amp; </w:t>
      </w:r>
      <w:r w:rsidRPr="00341B41">
        <w:rPr>
          <w:b/>
          <w:i/>
        </w:rPr>
        <w:t>H</w:t>
      </w:r>
      <w:r w:rsidRPr="00341B41">
        <w:rPr>
          <w:i/>
        </w:rPr>
        <w:t xml:space="preserve"> - Differences in beta (15-25Hz) frequency band during successful and unsuccessful anticipation in the experienced group. Error bars represent 95% confidence intervals. *** = p &lt; .001</w:t>
      </w:r>
      <w:r w:rsidR="004366AD" w:rsidRPr="00341B41">
        <w:t>.</w:t>
      </w:r>
    </w:p>
    <w:p w14:paraId="62310E9D" w14:textId="77777777" w:rsidR="009F0365" w:rsidRPr="00341B41" w:rsidRDefault="009F0365" w:rsidP="009F0365">
      <w:pPr>
        <w:pStyle w:val="NoSpacing"/>
      </w:pPr>
    </w:p>
    <w:p w14:paraId="687E6230" w14:textId="510E287F" w:rsidR="004C2407" w:rsidRPr="00341B41" w:rsidRDefault="005D29A2" w:rsidP="004C2407">
      <w:pPr>
        <w:pStyle w:val="Heading4"/>
      </w:pPr>
      <w:r w:rsidRPr="00341B41">
        <w:t>5.3.2.2</w:t>
      </w:r>
      <w:r w:rsidR="004C2407" w:rsidRPr="00341B41">
        <w:t xml:space="preserve">.    Individual level </w:t>
      </w:r>
      <w:r w:rsidR="008727F5" w:rsidRPr="00341B41">
        <w:t>analysis investigating associations between sensorimotor skill, anticipation performance, and tennis experience</w:t>
      </w:r>
    </w:p>
    <w:p w14:paraId="374EE375" w14:textId="734B0D10" w:rsidR="006304C5" w:rsidRPr="00341B41" w:rsidRDefault="00D41DFE" w:rsidP="006304C5">
      <w:r w:rsidRPr="00341B41">
        <w:t>Correlations between mu</w:t>
      </w:r>
      <w:r w:rsidR="00693B83" w:rsidRPr="00341B41">
        <w:t xml:space="preserve"> and</w:t>
      </w:r>
      <w:r w:rsidRPr="00341B41">
        <w:t xml:space="preserve"> beta power and individual participant anticipation accuracy are displayed in </w:t>
      </w:r>
      <w:r w:rsidR="008D75E9" w:rsidRPr="00341B41">
        <w:rPr>
          <w:b/>
        </w:rPr>
        <w:t>Figure 20</w:t>
      </w:r>
      <w:r w:rsidR="008D75E9" w:rsidRPr="00341B41">
        <w:t xml:space="preserve">. In the left component cluster, there was a significant negative correlation </w:t>
      </w:r>
      <w:r w:rsidR="00693B83" w:rsidRPr="00341B41">
        <w:t xml:space="preserve">in the experienced group </w:t>
      </w:r>
      <w:r w:rsidR="008D75E9" w:rsidRPr="00341B41">
        <w:t xml:space="preserve">between </w:t>
      </w:r>
      <w:r w:rsidR="00693B83" w:rsidRPr="00341B41">
        <w:t>anticipation accuracy and both mu (</w:t>
      </w:r>
      <w:r w:rsidR="00693B83" w:rsidRPr="00341B41">
        <w:rPr>
          <w:i/>
        </w:rPr>
        <w:t xml:space="preserve">r </w:t>
      </w:r>
      <w:r w:rsidR="00693B83" w:rsidRPr="00341B41">
        <w:t xml:space="preserve">= -.57, </w:t>
      </w:r>
      <w:r w:rsidR="00693B83" w:rsidRPr="00341B41">
        <w:rPr>
          <w:i/>
        </w:rPr>
        <w:t xml:space="preserve">p </w:t>
      </w:r>
      <w:r w:rsidR="00693B83" w:rsidRPr="00341B41">
        <w:t>= .01) and beta (</w:t>
      </w:r>
      <w:r w:rsidR="00693B83" w:rsidRPr="00341B41">
        <w:rPr>
          <w:i/>
        </w:rPr>
        <w:t xml:space="preserve">r </w:t>
      </w:r>
      <w:r w:rsidR="00693B83" w:rsidRPr="00341B41">
        <w:t xml:space="preserve">= -.56, </w:t>
      </w:r>
      <w:r w:rsidR="00693B83" w:rsidRPr="00341B41">
        <w:rPr>
          <w:i/>
        </w:rPr>
        <w:t xml:space="preserve">p </w:t>
      </w:r>
      <w:r w:rsidR="00693B83" w:rsidRPr="00341B41">
        <w:t>= .01) ERD. In the right component cluster, there was a significant negative correlation between anticipation accuracy and mu ERD (</w:t>
      </w:r>
      <w:r w:rsidR="00693B83" w:rsidRPr="00341B41">
        <w:rPr>
          <w:i/>
        </w:rPr>
        <w:t xml:space="preserve">r </w:t>
      </w:r>
      <w:r w:rsidR="00693B83" w:rsidRPr="00341B41">
        <w:t xml:space="preserve">= -.48, </w:t>
      </w:r>
      <w:r w:rsidR="00693B83" w:rsidRPr="00341B41">
        <w:rPr>
          <w:i/>
        </w:rPr>
        <w:t xml:space="preserve">p </w:t>
      </w:r>
      <w:r w:rsidR="00693B83" w:rsidRPr="00341B41">
        <w:t>= .04) but not beta ERD (</w:t>
      </w:r>
      <w:r w:rsidR="00693B83" w:rsidRPr="00341B41">
        <w:rPr>
          <w:i/>
        </w:rPr>
        <w:t xml:space="preserve">r </w:t>
      </w:r>
      <w:r w:rsidR="00693B83" w:rsidRPr="00341B41">
        <w:t xml:space="preserve">= -.28, </w:t>
      </w:r>
      <w:r w:rsidR="00693B83" w:rsidRPr="00341B41">
        <w:rPr>
          <w:i/>
        </w:rPr>
        <w:t>p</w:t>
      </w:r>
      <w:r w:rsidR="00693B83" w:rsidRPr="00341B41">
        <w:t xml:space="preserve"> = .29). There were no significant correlations between anticipation accuracy and ERD in the less experienced group (closest </w:t>
      </w:r>
      <w:r w:rsidR="00693B83" w:rsidRPr="00341B41">
        <w:rPr>
          <w:i/>
        </w:rPr>
        <w:t xml:space="preserve">p </w:t>
      </w:r>
      <w:r w:rsidR="00693B83" w:rsidRPr="00341B41">
        <w:t>= .17).</w:t>
      </w:r>
    </w:p>
    <w:p w14:paraId="4F242C43" w14:textId="6CDB5FCD" w:rsidR="00C55FE4" w:rsidRPr="00341B41" w:rsidRDefault="00693B83" w:rsidP="00173F85">
      <w:pPr>
        <w:sectPr w:rsidR="00C55FE4" w:rsidRPr="00341B41" w:rsidSect="00805FAB">
          <w:pgSz w:w="12240" w:h="15840"/>
          <w:pgMar w:top="1440" w:right="1138" w:bottom="1440" w:left="2275" w:header="720" w:footer="720" w:gutter="0"/>
          <w:cols w:space="720"/>
          <w:titlePg/>
          <w:docGrid w:linePitch="360"/>
        </w:sectPr>
      </w:pPr>
      <w:r w:rsidRPr="00341B41">
        <w:tab/>
        <w:t xml:space="preserve">Associations between mu and beta power and measures of tennis playing experience are shown in </w:t>
      </w:r>
      <w:r w:rsidR="007534B8" w:rsidRPr="00341B41">
        <w:rPr>
          <w:b/>
        </w:rPr>
        <w:t>Figure</w:t>
      </w:r>
      <w:r w:rsidRPr="00341B41">
        <w:rPr>
          <w:b/>
        </w:rPr>
        <w:t xml:space="preserve"> 21 </w:t>
      </w:r>
      <w:r w:rsidRPr="00341B41">
        <w:t xml:space="preserve">(left component) and </w:t>
      </w:r>
      <w:r w:rsidR="007534B8" w:rsidRPr="00341B41">
        <w:rPr>
          <w:b/>
        </w:rPr>
        <w:t>Figure 2</w:t>
      </w:r>
      <w:r w:rsidRPr="00341B41">
        <w:rPr>
          <w:b/>
        </w:rPr>
        <w:t xml:space="preserve">2 </w:t>
      </w:r>
      <w:r w:rsidRPr="00341B41">
        <w:t xml:space="preserve">(right component). There were no significant correlations between mu/beta ERD and any of the measures of tennis experience (years of experience, hours played per week, years of formal instruction) </w:t>
      </w:r>
      <w:r w:rsidR="00173F85" w:rsidRPr="00341B41">
        <w:t>in either group.</w:t>
      </w:r>
    </w:p>
    <w:p w14:paraId="6ECF7DCD" w14:textId="5AE6F320" w:rsidR="00173F85" w:rsidRPr="00341B41" w:rsidRDefault="00C55FE4" w:rsidP="00173F85">
      <w:r w:rsidRPr="00341B41">
        <w:rPr>
          <w:noProof/>
          <w:lang w:val="en-US"/>
        </w:rPr>
        <w:lastRenderedPageBreak/>
        <w:drawing>
          <wp:inline distT="0" distB="0" distL="0" distR="0" wp14:anchorId="07273EEF" wp14:editId="52A68FC9">
            <wp:extent cx="5592445" cy="6162040"/>
            <wp:effectExtent l="0" t="0" r="0" b="10160"/>
            <wp:docPr id="21" name="Picture 21" descr="../../Desktop/Mu%20and%20beta%20correlations%20with%20accura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u%20and%20beta%20correlations%20with%20accuracy.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2445" cy="6162040"/>
                    </a:xfrm>
                    <a:prstGeom prst="rect">
                      <a:avLst/>
                    </a:prstGeom>
                    <a:noFill/>
                    <a:ln>
                      <a:noFill/>
                    </a:ln>
                  </pic:spPr>
                </pic:pic>
              </a:graphicData>
            </a:graphic>
          </wp:inline>
        </w:drawing>
      </w:r>
    </w:p>
    <w:p w14:paraId="3F174801" w14:textId="0CFDD64C" w:rsidR="00C55FE4" w:rsidRPr="00341B41" w:rsidRDefault="00C55FE4" w:rsidP="00C55FE4">
      <w:pPr>
        <w:pStyle w:val="Caption"/>
      </w:pPr>
      <w:bookmarkStart w:id="113" w:name="_Toc488400769"/>
      <w:r w:rsidRPr="00341B41">
        <w:t xml:space="preserve">Figure </w:t>
      </w:r>
      <w:r w:rsidRPr="00341B41">
        <w:fldChar w:fldCharType="begin"/>
      </w:r>
      <w:r w:rsidRPr="00341B41">
        <w:instrText xml:space="preserve"> SEQ Figure \* ARABIC </w:instrText>
      </w:r>
      <w:r w:rsidRPr="00341B41">
        <w:fldChar w:fldCharType="separate"/>
      </w:r>
      <w:r w:rsidR="004B6B2B" w:rsidRPr="00341B41">
        <w:rPr>
          <w:noProof/>
        </w:rPr>
        <w:t>20</w:t>
      </w:r>
      <w:r w:rsidRPr="00341B41">
        <w:fldChar w:fldCharType="end"/>
      </w:r>
      <w:r w:rsidRPr="00341B41">
        <w:t>. Correlations between relative power change in sensorimotor activity and individual anticipation accuracy</w:t>
      </w:r>
      <w:bookmarkEnd w:id="113"/>
    </w:p>
    <w:p w14:paraId="0ECD8E35" w14:textId="77777777" w:rsidR="004E48C2" w:rsidRPr="00341B41" w:rsidRDefault="00C55FE4" w:rsidP="004E48C2">
      <w:pPr>
        <w:pStyle w:val="NoSpacing"/>
        <w:rPr>
          <w:i/>
        </w:rPr>
        <w:sectPr w:rsidR="004E48C2" w:rsidRPr="00341B41" w:rsidSect="00805FAB">
          <w:pgSz w:w="12240" w:h="15840"/>
          <w:pgMar w:top="1440" w:right="1138" w:bottom="1440" w:left="2275" w:header="720" w:footer="720" w:gutter="0"/>
          <w:cols w:space="720"/>
          <w:titlePg/>
          <w:docGrid w:linePitch="360"/>
        </w:sectPr>
      </w:pPr>
      <w:r w:rsidRPr="00341B41">
        <w:rPr>
          <w:i/>
        </w:rPr>
        <w:t>Corre</w:t>
      </w:r>
      <w:r w:rsidR="004E48C2" w:rsidRPr="00341B41">
        <w:rPr>
          <w:i/>
        </w:rPr>
        <w:t>lations between individual anticipation accuracy and (</w:t>
      </w:r>
      <w:r w:rsidR="004E48C2" w:rsidRPr="00341B41">
        <w:rPr>
          <w:b/>
          <w:i/>
        </w:rPr>
        <w:t>A-B</w:t>
      </w:r>
      <w:r w:rsidR="004E48C2" w:rsidRPr="00341B41">
        <w:rPr>
          <w:i/>
        </w:rPr>
        <w:t>) mu (8-13 Hz) and (</w:t>
      </w:r>
      <w:r w:rsidR="004E48C2" w:rsidRPr="00341B41">
        <w:rPr>
          <w:b/>
          <w:i/>
        </w:rPr>
        <w:t>C-D</w:t>
      </w:r>
      <w:r w:rsidR="004E48C2" w:rsidRPr="00341B41">
        <w:rPr>
          <w:i/>
        </w:rPr>
        <w:t xml:space="preserve">) beta (15-25Hz) overall relative power change for the experienced and less experienced groups. </w:t>
      </w:r>
    </w:p>
    <w:p w14:paraId="119F822F" w14:textId="4F4DF51D" w:rsidR="00C55FE4" w:rsidRPr="00341B41" w:rsidRDefault="004E48C2" w:rsidP="004E48C2">
      <w:pPr>
        <w:pStyle w:val="NoSpacing"/>
        <w:rPr>
          <w:i/>
        </w:rPr>
      </w:pPr>
      <w:r w:rsidRPr="00341B41">
        <w:rPr>
          <w:i/>
          <w:noProof/>
          <w:lang w:val="en-US"/>
        </w:rPr>
        <w:lastRenderedPageBreak/>
        <w:drawing>
          <wp:inline distT="0" distB="0" distL="0" distR="0" wp14:anchorId="55D6229F" wp14:editId="345C2D98">
            <wp:extent cx="4267200" cy="8229600"/>
            <wp:effectExtent l="0" t="0" r="0" b="0"/>
            <wp:docPr id="22" name="Picture 22" descr="../../Desktop/Left%20Mu%20and%20beta%20correlations%20with%20experienc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eft%20Mu%20and%20beta%20correlations%20with%20experience.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7200" cy="8229600"/>
                    </a:xfrm>
                    <a:prstGeom prst="rect">
                      <a:avLst/>
                    </a:prstGeom>
                    <a:noFill/>
                    <a:ln>
                      <a:noFill/>
                    </a:ln>
                  </pic:spPr>
                </pic:pic>
              </a:graphicData>
            </a:graphic>
          </wp:inline>
        </w:drawing>
      </w:r>
    </w:p>
    <w:p w14:paraId="0E237F2E" w14:textId="5E5FACA4" w:rsidR="00C94B2A" w:rsidRPr="00341B41" w:rsidRDefault="003778BD" w:rsidP="003778BD">
      <w:pPr>
        <w:pStyle w:val="Caption"/>
      </w:pPr>
      <w:bookmarkStart w:id="114" w:name="_Toc488400770"/>
      <w:r w:rsidRPr="00341B41">
        <w:lastRenderedPageBreak/>
        <w:t xml:space="preserve">Figure </w:t>
      </w:r>
      <w:r w:rsidRPr="00341B41">
        <w:fldChar w:fldCharType="begin"/>
      </w:r>
      <w:r w:rsidRPr="00341B41">
        <w:instrText xml:space="preserve"> SEQ Figure \* ARABIC </w:instrText>
      </w:r>
      <w:r w:rsidRPr="00341B41">
        <w:fldChar w:fldCharType="separate"/>
      </w:r>
      <w:r w:rsidR="004B6B2B" w:rsidRPr="00341B41">
        <w:rPr>
          <w:noProof/>
        </w:rPr>
        <w:t>21</w:t>
      </w:r>
      <w:r w:rsidRPr="00341B41">
        <w:fldChar w:fldCharType="end"/>
      </w:r>
      <w:r w:rsidRPr="00341B41">
        <w:t>.  Correlations between relative power change in sensorimotor activity in the left cluster and tennis experience</w:t>
      </w:r>
      <w:bookmarkEnd w:id="114"/>
    </w:p>
    <w:p w14:paraId="38E03BBF" w14:textId="77777777" w:rsidR="004B6B2B" w:rsidRPr="00341B41" w:rsidRDefault="003778BD" w:rsidP="003778BD">
      <w:pPr>
        <w:pStyle w:val="NoSpacing"/>
        <w:rPr>
          <w:i/>
        </w:rPr>
        <w:sectPr w:rsidR="004B6B2B" w:rsidRPr="00341B41" w:rsidSect="00805FAB">
          <w:pgSz w:w="12240" w:h="15840"/>
          <w:pgMar w:top="1440" w:right="1138" w:bottom="1440" w:left="2275" w:header="720" w:footer="720" w:gutter="0"/>
          <w:cols w:space="720"/>
          <w:titlePg/>
          <w:docGrid w:linePitch="360"/>
        </w:sectPr>
      </w:pPr>
      <w:r w:rsidRPr="00341B41">
        <w:rPr>
          <w:i/>
        </w:rPr>
        <w:t>Correlations between relative changes in mu (8-13Hz) power and (</w:t>
      </w:r>
      <w:r w:rsidRPr="00341B41">
        <w:rPr>
          <w:b/>
          <w:i/>
        </w:rPr>
        <w:t>A</w:t>
      </w:r>
      <w:r w:rsidRPr="00341B41">
        <w:rPr>
          <w:i/>
        </w:rPr>
        <w:t>) years of tennis experience, (</w:t>
      </w:r>
      <w:r w:rsidRPr="00341B41">
        <w:rPr>
          <w:b/>
          <w:i/>
        </w:rPr>
        <w:t>B</w:t>
      </w:r>
      <w:r w:rsidRPr="00341B41">
        <w:rPr>
          <w:i/>
        </w:rPr>
        <w:t>) hours of tennis played per week, and (</w:t>
      </w:r>
      <w:r w:rsidRPr="00341B41">
        <w:rPr>
          <w:b/>
          <w:i/>
        </w:rPr>
        <w:t>C</w:t>
      </w:r>
      <w:r w:rsidRPr="00341B41">
        <w:rPr>
          <w:i/>
        </w:rPr>
        <w:t>) years of formal tuition. Correlations between relative changes in beta (15-25Hz) power and (</w:t>
      </w:r>
      <w:r w:rsidRPr="00341B41">
        <w:rPr>
          <w:b/>
          <w:i/>
        </w:rPr>
        <w:t>D</w:t>
      </w:r>
      <w:r w:rsidRPr="00341B41">
        <w:rPr>
          <w:i/>
        </w:rPr>
        <w:t>) years of tennis experience, (</w:t>
      </w:r>
      <w:r w:rsidRPr="00341B41">
        <w:rPr>
          <w:b/>
          <w:i/>
        </w:rPr>
        <w:t>E</w:t>
      </w:r>
      <w:r w:rsidRPr="00341B41">
        <w:rPr>
          <w:i/>
        </w:rPr>
        <w:t>) hours of tennis played per week, and (</w:t>
      </w:r>
      <w:r w:rsidRPr="00341B41">
        <w:rPr>
          <w:b/>
          <w:i/>
        </w:rPr>
        <w:t>F</w:t>
      </w:r>
      <w:r w:rsidRPr="00341B41">
        <w:rPr>
          <w:i/>
        </w:rPr>
        <w:t>) years of formal tuition.</w:t>
      </w:r>
      <w:r w:rsidR="004B6B2B" w:rsidRPr="00341B41">
        <w:rPr>
          <w:i/>
        </w:rPr>
        <w:t xml:space="preserve"> </w:t>
      </w:r>
    </w:p>
    <w:p w14:paraId="13621319" w14:textId="77777777" w:rsidR="004B6B2B" w:rsidRPr="00341B41" w:rsidRDefault="004B6B2B" w:rsidP="003778BD">
      <w:pPr>
        <w:pStyle w:val="NoSpacing"/>
        <w:rPr>
          <w:i/>
        </w:rPr>
      </w:pPr>
      <w:r w:rsidRPr="00341B41">
        <w:rPr>
          <w:i/>
          <w:noProof/>
          <w:lang w:val="en-US"/>
        </w:rPr>
        <w:lastRenderedPageBreak/>
        <w:drawing>
          <wp:inline distT="0" distB="0" distL="0" distR="0" wp14:anchorId="56F0EAD0" wp14:editId="0A5D9B3D">
            <wp:extent cx="4338955" cy="8229600"/>
            <wp:effectExtent l="0" t="0" r="4445" b="0"/>
            <wp:docPr id="23" name="Picture 23" descr="../../Desktop/Right%20Mu%20and%20beta%20correlations%20with%20experienc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ight%20Mu%20and%20beta%20correlations%20with%20experience.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38955" cy="8229600"/>
                    </a:xfrm>
                    <a:prstGeom prst="rect">
                      <a:avLst/>
                    </a:prstGeom>
                    <a:noFill/>
                    <a:ln>
                      <a:noFill/>
                    </a:ln>
                  </pic:spPr>
                </pic:pic>
              </a:graphicData>
            </a:graphic>
          </wp:inline>
        </w:drawing>
      </w:r>
    </w:p>
    <w:p w14:paraId="30825B9F" w14:textId="565C249E" w:rsidR="003778BD" w:rsidRPr="00341B41" w:rsidRDefault="003778BD" w:rsidP="004B6B2B">
      <w:pPr>
        <w:pStyle w:val="Caption"/>
      </w:pPr>
      <w:r w:rsidRPr="00341B41">
        <w:rPr>
          <w:i w:val="0"/>
        </w:rPr>
        <w:lastRenderedPageBreak/>
        <w:t xml:space="preserve"> </w:t>
      </w:r>
      <w:bookmarkStart w:id="115" w:name="_Toc488400771"/>
      <w:r w:rsidR="004B6B2B" w:rsidRPr="00341B41">
        <w:t xml:space="preserve">Figure </w:t>
      </w:r>
      <w:r w:rsidR="004B6B2B" w:rsidRPr="00341B41">
        <w:fldChar w:fldCharType="begin"/>
      </w:r>
      <w:r w:rsidR="004B6B2B" w:rsidRPr="00341B41">
        <w:instrText xml:space="preserve"> SEQ Figure \* ARABIC </w:instrText>
      </w:r>
      <w:r w:rsidR="004B6B2B" w:rsidRPr="00341B41">
        <w:fldChar w:fldCharType="separate"/>
      </w:r>
      <w:r w:rsidR="004B6B2B" w:rsidRPr="00341B41">
        <w:rPr>
          <w:noProof/>
        </w:rPr>
        <w:t>22</w:t>
      </w:r>
      <w:r w:rsidR="004B6B2B" w:rsidRPr="00341B41">
        <w:fldChar w:fldCharType="end"/>
      </w:r>
      <w:r w:rsidR="004B6B2B" w:rsidRPr="00341B41">
        <w:t>. Correlations between relative power change in sensorimotor activity in the right cluster and tennis experience</w:t>
      </w:r>
      <w:bookmarkEnd w:id="115"/>
    </w:p>
    <w:p w14:paraId="25D9C9FE" w14:textId="6A8EF982" w:rsidR="004B6B2B" w:rsidRPr="00341B41" w:rsidRDefault="004B6B2B" w:rsidP="004B6B2B">
      <w:pPr>
        <w:pStyle w:val="NoSpacing"/>
        <w:rPr>
          <w:i/>
        </w:rPr>
        <w:sectPr w:rsidR="004B6B2B" w:rsidRPr="00341B41" w:rsidSect="00805FAB">
          <w:pgSz w:w="12240" w:h="15840"/>
          <w:pgMar w:top="1440" w:right="1138" w:bottom="1440" w:left="2275" w:header="720" w:footer="720" w:gutter="0"/>
          <w:cols w:space="720"/>
          <w:titlePg/>
          <w:docGrid w:linePitch="360"/>
        </w:sectPr>
      </w:pPr>
      <w:r w:rsidRPr="00341B41">
        <w:rPr>
          <w:i/>
        </w:rPr>
        <w:t>Correlations between relative changes in mu (8-13Hz) power and (</w:t>
      </w:r>
      <w:r w:rsidRPr="00341B41">
        <w:rPr>
          <w:b/>
          <w:i/>
        </w:rPr>
        <w:t>A</w:t>
      </w:r>
      <w:r w:rsidRPr="00341B41">
        <w:rPr>
          <w:i/>
        </w:rPr>
        <w:t>) years of tennis experience, (</w:t>
      </w:r>
      <w:r w:rsidRPr="00341B41">
        <w:rPr>
          <w:b/>
          <w:i/>
        </w:rPr>
        <w:t>B</w:t>
      </w:r>
      <w:r w:rsidRPr="00341B41">
        <w:rPr>
          <w:i/>
        </w:rPr>
        <w:t>) hours of tennis played per week, and (</w:t>
      </w:r>
      <w:r w:rsidRPr="00341B41">
        <w:rPr>
          <w:b/>
          <w:i/>
        </w:rPr>
        <w:t>C</w:t>
      </w:r>
      <w:r w:rsidRPr="00341B41">
        <w:rPr>
          <w:i/>
        </w:rPr>
        <w:t>) years of formal tuition. Correlations between relative changes in beta (15-25Hz) power and (</w:t>
      </w:r>
      <w:r w:rsidRPr="00341B41">
        <w:rPr>
          <w:b/>
          <w:i/>
        </w:rPr>
        <w:t>D</w:t>
      </w:r>
      <w:r w:rsidRPr="00341B41">
        <w:rPr>
          <w:i/>
        </w:rPr>
        <w:t>) years of tennis experience, (</w:t>
      </w:r>
      <w:r w:rsidRPr="00341B41">
        <w:rPr>
          <w:b/>
          <w:i/>
        </w:rPr>
        <w:t>E</w:t>
      </w:r>
      <w:r w:rsidRPr="00341B41">
        <w:rPr>
          <w:i/>
        </w:rPr>
        <w:t>) hours of tennis played per week, and (</w:t>
      </w:r>
      <w:r w:rsidRPr="00341B41">
        <w:rPr>
          <w:b/>
          <w:i/>
        </w:rPr>
        <w:t>F</w:t>
      </w:r>
      <w:r w:rsidRPr="00341B41">
        <w:rPr>
          <w:i/>
        </w:rPr>
        <w:t>) years of formal tuition</w:t>
      </w:r>
    </w:p>
    <w:p w14:paraId="6720E2E8" w14:textId="4EA09C4F" w:rsidR="00173F85" w:rsidRPr="00341B41" w:rsidRDefault="00173F85" w:rsidP="00173F85">
      <w:pPr>
        <w:pStyle w:val="Heading2"/>
      </w:pPr>
      <w:bookmarkStart w:id="116" w:name="_Toc486260896"/>
      <w:r w:rsidRPr="00341B41">
        <w:lastRenderedPageBreak/>
        <w:t>5.4.</w:t>
      </w:r>
      <w:r w:rsidRPr="00341B41">
        <w:tab/>
        <w:t>Discussion</w:t>
      </w:r>
      <w:bookmarkEnd w:id="116"/>
    </w:p>
    <w:p w14:paraId="316AD401" w14:textId="0F55482C" w:rsidR="002C0708" w:rsidRPr="00341B41" w:rsidRDefault="002C0708" w:rsidP="002C0708">
      <w:r w:rsidRPr="00341B41">
        <w:t xml:space="preserve">This chapter built on the findings of Chapters 3 and 4 by investigating differences in sensorimotor activity to trials that were subsequently anticipated correctly compared with trials that were subsequently anticipated incorrectly. The main finding was that, in experienced tennis players, there was significantly greater beta ERD during </w:t>
      </w:r>
      <w:r w:rsidR="005949B5" w:rsidRPr="00341B41">
        <w:t>trials that were correctly anticipated compared with trials that were anticipated incorrectly.</w:t>
      </w:r>
      <w:r w:rsidR="00D707E0" w:rsidRPr="00341B41">
        <w:t xml:space="preserve"> This was not found in the mu band, with differences in mu ERD observed between correct and incorrect anticipation.</w:t>
      </w:r>
      <w:r w:rsidR="005949B5" w:rsidRPr="00341B41">
        <w:t xml:space="preserve"> </w:t>
      </w:r>
      <w:r w:rsidRPr="00341B41">
        <w:t xml:space="preserve"> </w:t>
      </w:r>
    </w:p>
    <w:p w14:paraId="78D936BE" w14:textId="720387B2" w:rsidR="00B85AA6" w:rsidRPr="00341B41" w:rsidRDefault="00B85AA6" w:rsidP="002C0708">
      <w:r w:rsidRPr="00341B41">
        <w:tab/>
        <w:t xml:space="preserve">As discussed previously, there is evidence suggesting that </w:t>
      </w:r>
      <w:r w:rsidR="00384056" w:rsidRPr="00341B41">
        <w:t xml:space="preserve">sensorimotor beta ERD may be related to action outcome uncertainty </w:t>
      </w:r>
      <w:r w:rsidR="00384056" w:rsidRPr="00341B41">
        <w:fldChar w:fldCharType="begin" w:fldLock="1"/>
      </w:r>
      <w:r w:rsidR="00907792" w:rsidRPr="00341B41">
        <w:instrText>ADDIN CSL_CITATION { "citationItems" : [ { "id" : "ITEM-1", "itemData" : { "DOI" : "10.3389/fnins.2015.00246", "ISBN" : "1662-453X", "ISSN" : "1662-453X", "PMID" : "26257597", "abstract" : "In time-constraint activities, such as sports, it is advantageous to be prepared to act even before knowing precisely what action will be needed. Here, we studied the relation between neural oscillations during motor preparation and amount of uncertainty about the direction of the upcoming target. Ten right-handed volunteers participated in a cued center-out task. A brief visual cue identified the region of space in which the target would appear. Three cue sizes were used to vary the amount of information about the direction of the upcoming target. The target appeared at a random location within the region indicated by the cue, and the participants moved a joystick-controlled cursor toward it. Time-frequency analyses showed phasic increases of power in low (delta/theta: &lt;7 Hz) and high (gamma: &gt;30 Hz) frequency-bands in relation to the onset of visual stimuli and of the motor response. More importantly in regard to motor preparation, there was a tonic reduction of power in the alpha (8-12 Hz) and beta (14-30 Hz) bands during the period between cue presentation and target onset. During motor preparation, the main source of change of power of the alpha band was localized over the contralateral sensorimotor region and both parietal cortices, whereas for the beta-band the main source was the contralateral sensorimotor region. During cue presentation, the reduction of power of the alpha-band in the occipital lobe showed a brief differentiation of condition: the wider the visual cue, the more the power of the alpha-band decreased. However, during motor preparation, only the power of the beta-band was dependent on directional uncertainty: the less the directional uncertainty, the more the power of the beta-band decreased. In conclusion, the results indicate that the power in the alpha-band is associated briefly with cue size, but is otherwise an undifferentiated indication of neural activation, whereas the power of the beta-band reflects the level of motor preparation", "author" : [ { "dropping-particle" : "", "family" : "Tzagarakis", "given" : "C", "non-dropping-particle" : "", "parse-names" : false, "suffix" : "" }, { "dropping-particle" : "", "family" : "West", "given" : "S", "non-dropping-particle" : "", "parse-names" : false, "suffix" : "" }, { "dropping-particle" : "", "family" : "Pellizzer", "given" : "G", "non-dropping-particle" : "", "parse-names" : false, "suffix" : "" } ], "container-title" : "Frontiers in Neuroscience", "id" : "ITEM-1", "issue" : "1662-4548 (Print)", "issued" : { "date-parts" : [ [ "2015" ] ] }, "page" : "246", "title" : "Brain oscillatory activity during motor preparation: effect of directional uncertainty on beta, but not alpha, frequency band", "type" : "article-journal", "volume" : "9" }, "uris" : [ "http://www.mendeley.com/documents/?uuid=da6443ba-532e-4383-af2a-d8c265be9d20" ] }, { "id" : "ITEM-2", "itemData" : { "DOI" : "10.1523/JNEUROSCI.6026-09.2010", "ISBN" : "1529-2401 (Electronic) 0270-6474 (Linking)", "ISSN" : "0270-6474", "PMID" : "20739547", "abstract" : "It has been known for many years that the power of beta-band oscillatory activity in motor-related brain regions decreases during the preparation and execution of voluntary movements. However, it is not clear yet whether the amplitude of this desynchronization is modulated by any parameter of the motor task. Here, we examined whether the degree of uncertainty about the upcoming movement direction modulated beta-band desynchronization during motor preparation. To this end, we recorded whole-head neuromagnetic signals while human subjects performed an instructed-delay reaching task with one, two, or three possible target directions. We found that the reduction of power of beta-band activity (16-28 Hz) during motor preparation was scaled relative to directional uncertainty. Furthermore, we show that the change of beta-band power correlates with the change of latency of response associated with response uncertainty. Finally, we show that the main source of beta-band desynchronization was located in the peri-Rolandic region. The results establish directional uncertainty as an important determinant of beta-band power during motor preparation and indicate that neural activity in the sensorimotor cortex during motor preparation covaries with directional uncertainty.", "author" : [ { "dropping-particle" : "", "family" : "Tzagarakis", "given" : "C.", "non-dropping-particle" : "", "parse-names" : false, "suffix" : "" }, { "dropping-particle" : "", "family" : "Ince", "given" : "N. F.", "non-dropping-particle" : "", "parse-names" : false, "suffix" : "" }, { "dropping-particle" : "", "family" : "Leuthold", "given" : "A. C.", "non-dropping-particle" : "", "parse-names" : false, "suffix" : "" }, { "dropping-particle" : "", "family" : "Pellizzer", "given" : "G.", "non-dropping-particle" : "", "parse-names" : false, "suffix" : "" } ], "container-title" : "The Journal of Neuroscience", "id" : "ITEM-2", "issue" : "34", "issued" : { "date-parts" : [ [ "2010" ] ] }, "page" : "11270-11277", "title" : "Beta-Band Activity during Motor Planning Reflects Response Uncertainty", "type" : "article-journal", "volume" : "30" }, "uris" : [ "http://www.mendeley.com/documents/?uuid=229e907a-96f8-4949-8a23-b3a18c60c49e" ] } ], "mendeley" : { "formattedCitation" : "(Tzagarakis et al., 2010, 2015)", "plainTextFormattedCitation" : "(Tzagarakis et al., 2010, 2015)", "previouslyFormattedCitation" : "(Tzagarakis et al., 2010, 2015)" }, "properties" : { "noteIndex" : 0 }, "schema" : "https://github.com/citation-style-language/schema/raw/master/csl-citation.json" }</w:instrText>
      </w:r>
      <w:r w:rsidR="00384056" w:rsidRPr="00341B41">
        <w:fldChar w:fldCharType="separate"/>
      </w:r>
      <w:r w:rsidR="00384056" w:rsidRPr="00341B41">
        <w:rPr>
          <w:noProof/>
        </w:rPr>
        <w:t>(Tzagarakis et al., 2010, 2015)</w:t>
      </w:r>
      <w:r w:rsidR="00384056" w:rsidRPr="00341B41">
        <w:fldChar w:fldCharType="end"/>
      </w:r>
      <w:r w:rsidR="00384056" w:rsidRPr="00341B41">
        <w:t xml:space="preserve">. Other studies have found that beta ERD is reduced when the outcome of an action is uncertain, compared to </w:t>
      </w:r>
      <w:r w:rsidR="00960088" w:rsidRPr="00341B41">
        <w:t xml:space="preserve">occasions where </w:t>
      </w:r>
      <w:r w:rsidR="00384056" w:rsidRPr="00341B41">
        <w:t>the action outcome is known. These findings suggest a possible interpretation o</w:t>
      </w:r>
      <w:r w:rsidR="004702AA" w:rsidRPr="00341B41">
        <w:t xml:space="preserve">f the findings reported in this Chapter. The greater beta band ERD observed in the experienced group </w:t>
      </w:r>
      <w:r w:rsidR="006F10EA" w:rsidRPr="00341B41">
        <w:t xml:space="preserve">during correct anticipation could reflect </w:t>
      </w:r>
      <w:r w:rsidR="00960088" w:rsidRPr="00341B41">
        <w:t>greater</w:t>
      </w:r>
      <w:r w:rsidR="006F10EA" w:rsidRPr="00341B41">
        <w:t xml:space="preserve"> certain</w:t>
      </w:r>
      <w:r w:rsidR="00F9429B" w:rsidRPr="00341B41">
        <w:t>ty</w:t>
      </w:r>
      <w:r w:rsidR="006F10EA" w:rsidRPr="00341B41">
        <w:t xml:space="preserve"> about the outcome of trials that were subsequently anticipated correctly. When trials were </w:t>
      </w:r>
      <w:r w:rsidR="00960088" w:rsidRPr="00341B41">
        <w:t>not accurately</w:t>
      </w:r>
      <w:r w:rsidR="006F10EA" w:rsidRPr="00341B41">
        <w:t xml:space="preserve"> anticipated, it would be expected that participants were </w:t>
      </w:r>
      <w:r w:rsidR="00960088" w:rsidRPr="00341B41">
        <w:t xml:space="preserve">less </w:t>
      </w:r>
      <w:r w:rsidR="006F10EA" w:rsidRPr="00341B41">
        <w:t xml:space="preserve">sure </w:t>
      </w:r>
      <w:r w:rsidR="00E9522C" w:rsidRPr="00341B41">
        <w:t>about the outcome of th</w:t>
      </w:r>
      <w:r w:rsidR="00960088" w:rsidRPr="00341B41">
        <w:t>e presented</w:t>
      </w:r>
      <w:r w:rsidR="00E9522C" w:rsidRPr="00341B41">
        <w:t xml:space="preserve"> shots. </w:t>
      </w:r>
    </w:p>
    <w:p w14:paraId="06E975C2" w14:textId="47A1784D" w:rsidR="009E0D23" w:rsidRPr="00341B41" w:rsidRDefault="00E9522C" w:rsidP="009E0D23">
      <w:r w:rsidRPr="00341B41">
        <w:tab/>
      </w:r>
      <w:r w:rsidR="00960088" w:rsidRPr="00341B41">
        <w:t>T</w:t>
      </w:r>
      <w:r w:rsidRPr="00341B41">
        <w:t xml:space="preserve">he experienced group showed no differences in mu band ERD </w:t>
      </w:r>
      <w:r w:rsidR="002443F6" w:rsidRPr="00341B41">
        <w:t xml:space="preserve">during correct and incorrect anticipation. This implies that the degree of mu ERD during </w:t>
      </w:r>
      <w:r w:rsidR="0004045F" w:rsidRPr="00341B41">
        <w:t xml:space="preserve">action observation does not indicate whether that action will be successfully anticipated or not, and as such, may not be a good measure of action understanding. </w:t>
      </w:r>
      <w:r w:rsidR="00960088" w:rsidRPr="00341B41">
        <w:t xml:space="preserve">While it was shown in </w:t>
      </w:r>
      <w:r w:rsidR="0004045F" w:rsidRPr="00341B41">
        <w:t>Chapters 3 and 4</w:t>
      </w:r>
      <w:r w:rsidR="00960088" w:rsidRPr="00341B41">
        <w:t xml:space="preserve"> that</w:t>
      </w:r>
      <w:r w:rsidR="0004045F" w:rsidRPr="00341B41">
        <w:t xml:space="preserve"> mu ERD is effective at distinguishing experienced from less experienced </w:t>
      </w:r>
      <w:r w:rsidR="0004045F" w:rsidRPr="00341B41">
        <w:lastRenderedPageBreak/>
        <w:t>participants</w:t>
      </w:r>
      <w:r w:rsidR="00960088" w:rsidRPr="00341B41">
        <w:t>, the current results indicate</w:t>
      </w:r>
      <w:r w:rsidR="0004045F" w:rsidRPr="00341B41">
        <w:t xml:space="preserve"> it is not effective at distinguishing </w:t>
      </w:r>
      <w:r w:rsidR="00E60597" w:rsidRPr="00341B41">
        <w:t xml:space="preserve">correct from incorrect anticipations. This suggests that mu power may not be as useful index of successful action anticipation </w:t>
      </w:r>
      <w:r w:rsidR="00934E22" w:rsidRPr="00341B41">
        <w:t>as beta ERD.</w:t>
      </w:r>
      <w:r w:rsidR="00E938E9" w:rsidRPr="00341B41">
        <w:t xml:space="preserve"> Interestingly, both beta and mu ERD was correlated with individual scores in the experienced group, suggesting those with the highest levels of accuracy show the greatest sensorimotor engagement during action observation.</w:t>
      </w:r>
      <w:r w:rsidR="00686A2E" w:rsidRPr="00341B41">
        <w:t xml:space="preserve"> A caveat of this finding is the small sample size of the groups. Because of this, the results of all correlational analyses should be interpreted with caution. </w:t>
      </w:r>
      <w:r w:rsidR="00E938E9" w:rsidRPr="00341B41">
        <w:t>When directly contrasting correct and incorrect trials across all participants however, only the beta band distinguishes correct anticipation.</w:t>
      </w:r>
    </w:p>
    <w:p w14:paraId="32EE7E2F" w14:textId="51D4283E" w:rsidR="00E9522C" w:rsidRPr="00341B41" w:rsidRDefault="001235A7" w:rsidP="002C0708">
      <w:r w:rsidRPr="00341B41">
        <w:tab/>
        <w:t xml:space="preserve">Whilst further research is warranted to </w:t>
      </w:r>
      <w:r w:rsidR="00960088" w:rsidRPr="00341B41">
        <w:t xml:space="preserve">continue to </w:t>
      </w:r>
      <w:r w:rsidRPr="00341B41">
        <w:t xml:space="preserve">uncover functional differences between sensorimotor activity in the </w:t>
      </w:r>
      <w:proofErr w:type="spellStart"/>
      <w:r w:rsidRPr="00341B41">
        <w:t>mu</w:t>
      </w:r>
      <w:proofErr w:type="spellEnd"/>
      <w:r w:rsidRPr="00341B41">
        <w:t xml:space="preserve"> and beta frequency ranges, the results reported here suggest that activity in the beta band is key in distinguishing correct from incorrect anticipation, and thus successful from unsuccessful action understanding. The lack of differences in the mu band may suggest that it </w:t>
      </w:r>
      <w:r w:rsidR="009E0D23" w:rsidRPr="00341B41">
        <w:t xml:space="preserve">does not </w:t>
      </w:r>
      <w:r w:rsidRPr="00341B41">
        <w:t xml:space="preserve">play a role in action understanding. The </w:t>
      </w:r>
      <w:r w:rsidR="00960088" w:rsidRPr="00341B41">
        <w:t xml:space="preserve">finding </w:t>
      </w:r>
      <w:r w:rsidRPr="00341B41">
        <w:t xml:space="preserve">that there are clear group differences </w:t>
      </w:r>
      <w:r w:rsidR="00991BF8" w:rsidRPr="00341B41">
        <w:t xml:space="preserve">when all trials </w:t>
      </w:r>
      <w:r w:rsidR="0024090C" w:rsidRPr="00341B41">
        <w:t>are considered together in this</w:t>
      </w:r>
      <w:r w:rsidR="0091302B" w:rsidRPr="00341B41">
        <w:t xml:space="preserve"> frequency band (see Chapter 4) does however suggest it reflects differing levels of </w:t>
      </w:r>
      <w:r w:rsidR="009E0D23" w:rsidRPr="00341B41">
        <w:t>anticipatory skill</w:t>
      </w:r>
      <w:r w:rsidR="00157C8F" w:rsidRPr="00341B41">
        <w:t>.</w:t>
      </w:r>
      <w:r w:rsidR="0091302B" w:rsidRPr="00341B41">
        <w:t xml:space="preserve"> It is possible then that mu ERD primarily reflects associations between sensory and motor areas that have arisen through associative learning i.e. the associative account of motor system function during action observation </w:t>
      </w:r>
      <w:r w:rsidR="00907792" w:rsidRPr="00341B41">
        <w:fldChar w:fldCharType="begin" w:fldLock="1"/>
      </w:r>
      <w:r w:rsidR="00E7595F" w:rsidRPr="00341B41">
        <w:instrText>ADDIN CSL_CITATION { "citationItems" : [ { "id" : "ITEM-1", "itemData" : { "DOI" : "10.1016/j.neubiorev.2009.11.007", "ISBN" : "1873-7528 (Electronic)\\r0149-7634 (Linking)", "ISSN" : "01497634", "PMID" : "19914284", "abstract" : "Debates about the evolution of the 'mirror neuron system' imply that it is an adaptation for action understanding. Alternatively, mirror neurons may be a byproduct of associative learning. Here I argue that the adaptation and associative hypotheses both offer plausible accounts of the origin of mirror neurons, but the associative hypothesis has three advantages. First, it provides a straightforward, testable explanation for the differences between monkeys and humans that have led some researchers to question the existence of a mirror neuron system. Second, it is consistent with emerging evidence that mirror neurons contribute to a range of social cognitive functions, but do not play a dominant, specialised role in action understanding. Finally, the associative hypothesis is supported by recent data showing that, even in adulthood, the mirror neuron system can be transformed by sensorimotor learning. The associative account implies that mirror neurons come from sensorimotor experience, and that much of this experience is obtained through interaction with others. Therefore, if the associative account is correct, the mirror neuron system is a product, as well as a process, of social interaction. \u00a9 2009 Elsevier Ltd.", "author" : [ { "dropping-particle" : "", "family" : "Heyes", "given" : "Cecilia", "non-dropping-particle" : "", "parse-names" : false, "suffix" : "" } ], "container-title" : "Neuroscience and Biobehavioral Reviews", "id" : "ITEM-1", "issue" : "4", "issued" : { "date-parts" : [ [ "2010" ] ] }, "page" : "575-583", "publisher" : "Elsevier Ltd", "title" : "Where do mirror neurons come from?", "type" : "article-journal", "volume" : "34" }, "uris" : [ "http://www.mendeley.com/documents/?uuid=030bf6cf-472b-4935-9b66-be3c085dcb45" ] } ], "mendeley" : { "formattedCitation" : "(Heyes, 2010b)", "plainTextFormattedCitation" : "(Heyes, 2010b)", "previouslyFormattedCitation" : "(Heyes, 2010b)" }, "properties" : { "noteIndex" : 0 }, "schema" : "https://github.com/citation-style-language/schema/raw/master/csl-citation.json" }</w:instrText>
      </w:r>
      <w:r w:rsidR="00907792" w:rsidRPr="00341B41">
        <w:fldChar w:fldCharType="separate"/>
      </w:r>
      <w:r w:rsidR="00907792" w:rsidRPr="00341B41">
        <w:rPr>
          <w:noProof/>
        </w:rPr>
        <w:t>(Heyes, 2010b)</w:t>
      </w:r>
      <w:r w:rsidR="00907792" w:rsidRPr="00341B41">
        <w:fldChar w:fldCharType="end"/>
      </w:r>
      <w:r w:rsidR="00907792" w:rsidRPr="00341B41">
        <w:t xml:space="preserve">. This theory suggests that motor </w:t>
      </w:r>
      <w:r w:rsidR="00803064" w:rsidRPr="00341B41">
        <w:t>activity</w:t>
      </w:r>
      <w:r w:rsidR="00907792" w:rsidRPr="00341B41">
        <w:t xml:space="preserve"> occurs during action observation due to a strengthening of associations</w:t>
      </w:r>
      <w:r w:rsidR="000B208C" w:rsidRPr="00341B41">
        <w:t xml:space="preserve"> between</w:t>
      </w:r>
      <w:r w:rsidR="00907792" w:rsidRPr="00341B41">
        <w:t xml:space="preserve"> sensory and motor areas that arises through experience. As the experienced group have greater exposure to both performing and observing </w:t>
      </w:r>
      <w:r w:rsidR="00803064" w:rsidRPr="00341B41">
        <w:t xml:space="preserve">tennis actions, they would be predicted to have stronger associations between sensory and motor neurons </w:t>
      </w:r>
      <w:r w:rsidR="00803064" w:rsidRPr="00341B41">
        <w:lastRenderedPageBreak/>
        <w:t xml:space="preserve">related to tennis actions. As the associative hypothesis does not suggest a direct role for the motor system in action understanding, it would be hypothesised that there would be no differences </w:t>
      </w:r>
      <w:r w:rsidR="00193C2B" w:rsidRPr="00341B41">
        <w:t xml:space="preserve">between whether an action is successfully understood (anticipated) or not. This is </w:t>
      </w:r>
      <w:r w:rsidR="000B208C" w:rsidRPr="00341B41">
        <w:t xml:space="preserve">compatible with the findings regarding </w:t>
      </w:r>
      <w:r w:rsidR="00193C2B" w:rsidRPr="00341B41">
        <w:t xml:space="preserve">mu frequency band </w:t>
      </w:r>
      <w:r w:rsidR="000B208C" w:rsidRPr="00341B41">
        <w:t xml:space="preserve">reported </w:t>
      </w:r>
      <w:r w:rsidR="00193C2B" w:rsidRPr="00341B41">
        <w:t>in this Chapter.</w:t>
      </w:r>
    </w:p>
    <w:p w14:paraId="2CCD5407" w14:textId="775E7AE6" w:rsidR="00C668E9" w:rsidRPr="00341B41" w:rsidRDefault="00193C2B" w:rsidP="00173F85">
      <w:r w:rsidRPr="00341B41">
        <w:tab/>
      </w:r>
      <w:r w:rsidR="003A777A" w:rsidRPr="00341B41">
        <w:t>There were no associations between sensorimotor activation and amount of tennis experience. T</w:t>
      </w:r>
      <w:r w:rsidR="007664C3" w:rsidRPr="00341B41">
        <w:t>his suggests that those who play more tenni</w:t>
      </w:r>
      <w:r w:rsidR="009E0D23" w:rsidRPr="00341B41">
        <w:t>s do not s</w:t>
      </w:r>
      <w:r w:rsidR="007664C3" w:rsidRPr="00341B41">
        <w:t>how greater activation of the sensorimotor system during action anticipation. However, the sensitivity of the measure of tennis experience needs to be considered.</w:t>
      </w:r>
      <w:r w:rsidR="00402A12" w:rsidRPr="00341B41">
        <w:t xml:space="preserve"> For instance, only one measure of tennis experience, years of formal </w:t>
      </w:r>
      <w:r w:rsidR="00552AE1" w:rsidRPr="00341B41">
        <w:t>tuition, significantly correlated with the behavioural measures (</w:t>
      </w:r>
      <w:r w:rsidR="00C668E9" w:rsidRPr="00341B41">
        <w:t xml:space="preserve">anticipation accuracy). The lack of behavioural associations may then explain why the EEG measures were not correlated with years of tennis experience or hours of play per week. </w:t>
      </w:r>
    </w:p>
    <w:p w14:paraId="4D3957CA" w14:textId="5C1D5A02" w:rsidR="00173F85" w:rsidRPr="00341B41" w:rsidRDefault="007664C3" w:rsidP="00C668E9">
      <w:pPr>
        <w:ind w:firstLine="720"/>
        <w:sectPr w:rsidR="00173F85" w:rsidRPr="00341B41" w:rsidSect="00805FAB">
          <w:pgSz w:w="12240" w:h="15840"/>
          <w:pgMar w:top="1440" w:right="1138" w:bottom="1440" w:left="2275" w:header="720" w:footer="720" w:gutter="0"/>
          <w:cols w:space="720"/>
          <w:titlePg/>
          <w:docGrid w:linePitch="360"/>
        </w:sectPr>
      </w:pPr>
      <w:r w:rsidRPr="00341B41">
        <w:t xml:space="preserve">It </w:t>
      </w:r>
      <w:r w:rsidR="00FC4E92" w:rsidRPr="00341B41">
        <w:t>may be</w:t>
      </w:r>
      <w:r w:rsidRPr="00341B41">
        <w:t xml:space="preserve"> that </w:t>
      </w:r>
      <w:r w:rsidR="00FC4E92" w:rsidRPr="00341B41">
        <w:t xml:space="preserve">the </w:t>
      </w:r>
      <w:r w:rsidRPr="00341B41">
        <w:t xml:space="preserve">measures of tennis experience taken (years of experience, hours of practice per week, years of formal tuition) are not the most optimal way to measure tennis </w:t>
      </w:r>
      <w:r w:rsidR="00FC4E92" w:rsidRPr="00341B41">
        <w:t>ability</w:t>
      </w:r>
      <w:r w:rsidRPr="00341B41">
        <w:t xml:space="preserve">. An alternative could be to measure success in tournaments (such as how many times has a player reached a final of a national competition). A second consideration </w:t>
      </w:r>
      <w:r w:rsidR="003E00ED" w:rsidRPr="00341B41">
        <w:t xml:space="preserve">is that </w:t>
      </w:r>
      <w:r w:rsidR="00D335AF" w:rsidRPr="00341B41">
        <w:t>all</w:t>
      </w:r>
      <w:r w:rsidR="003E00ED" w:rsidRPr="00341B41">
        <w:t xml:space="preserve"> the tennis players were recruited from the same level of competition (university level). More meaningful </w:t>
      </w:r>
      <w:r w:rsidR="00D335AF" w:rsidRPr="00341B41">
        <w:t>comparisons</w:t>
      </w:r>
      <w:r w:rsidR="003E00ED" w:rsidRPr="00341B41">
        <w:t xml:space="preserve"> </w:t>
      </w:r>
      <w:r w:rsidR="00D335AF" w:rsidRPr="00341B41">
        <w:t xml:space="preserve">between sensorimotor activity during action anticipation and tennis experience may be made by contrasting </w:t>
      </w:r>
      <w:r w:rsidR="00856D74" w:rsidRPr="00341B41">
        <w:t xml:space="preserve">players of different levels of competition (e.g. recreational players vs national level players vs international elites). Recruiting groups </w:t>
      </w:r>
      <w:r w:rsidR="00E7595F" w:rsidRPr="00341B41">
        <w:t xml:space="preserve">of different levels of expertise as according to </w:t>
      </w:r>
      <w:r w:rsidR="001846B6" w:rsidRPr="00341B41">
        <w:t xml:space="preserve">systematic frameworks </w:t>
      </w:r>
      <w:r w:rsidR="00E7595F" w:rsidRPr="00341B41">
        <w:t>could be one possibility</w:t>
      </w:r>
      <w:r w:rsidR="001846B6" w:rsidRPr="00341B41">
        <w:t xml:space="preserve"> </w:t>
      </w:r>
      <w:r w:rsidR="001846B6" w:rsidRPr="00341B41">
        <w:fldChar w:fldCharType="begin" w:fldLock="1"/>
      </w:r>
      <w:r w:rsidR="001846B6" w:rsidRPr="00341B41">
        <w:instrText>ADDIN CSL_CITATION { "citationItems" : [ { "id" : "ITEM-1", "itemData" : { "DOI" : "10.1016/j.psychsport.2014.07.004", "ISBN" : "http://eprints.lincoln.ac.uk/14589/1/Defining%20Elite%20Athletes_Issues%20in%20the%20Study%20of%20Expert%20Performance%20in%20Sport%20Psychology_ACCEPTED%20VERSION.docx", "ISSN" : "14690292", "abstract" : "Objectives: There has been considerable inconsistency and confusion in the definition of elite/expert athletes in sport psychology research, which has implications for studies conducted in this area and for the field as a whole. This study aimed to: (i) critically evaluate the ways in which recent research in sport psychology has defined elite/expert athletes; (ii) explore the rationale for using such athletes; and (iii) evaluate the conclusions that research in this field draws about the nature of expertise. Design: Conventional systematic review principles were employed to conduct a rigorous search and synthesise findings. Methods: A comprehensive literature search of SPORTDiscus, Academic Search Complete, PsycINFO, and PsycARTICLES was completed in September, 2013 which yielded 91 empirical studies published between 2010 and 2013. The primarily qualitative findings were analysed thematically. Results: Eight ways of defining elite/expert athletes were identified, ranging from Olympic champions to regional level competitors and those with as little as two years of experience in their sport. Three types of rationale were evident in these studies (i.e., \"necessity\", \"exploratory\" and \"superior\"); while findings also indicated that some elite athletes are psychologically idiosyncratic and perhaps even dysfunctional in their behaviour. Finally, only 19 of the 91 included studies provided conclusions about the nature of expertise in sport. Conclusions: This study suggests that the definitions of elite athletes vary on a continuum of validity, and the findings are translated into a taxonomy for classifying expert samples in sport psychology research in future. Recommendations are provided for researchers in this area.", "author" : [ { "dropping-particle" : "", "family" : "Swann", "given" : "Christian", "non-dropping-particle" : "", "parse-names" : false, "suffix" : "" }, { "dropping-particle" : "", "family" : "Moran", "given" : "Aidan", "non-dropping-particle" : "", "parse-names" : false, "suffix" : "" }, { "dropping-particle" : "", "family" : "Piggott", "given" : "David", "non-dropping-particle" : "", "parse-names" : false, "suffix" : "" } ], "container-title" : "Psychology of Sport and Exercise", "id" : "ITEM-1", "issue" : "P1", "issued" : { "date-parts" : [ [ "2015" ] ] }, "page" : "3-14", "publisher" : "Elsevier Ltd", "title" : "Defining elite athletes: Issues in the study of expert performance in sport psychology", "type" : "article-journal", "volume" : "16" }, "uris" : [ "http://www.mendeley.com/documents/?uuid=357ffbc4-313b-458d-a5dc-9533d349d34c" ] } ], "mendeley" : { "formattedCitation" : "(Swann et al., 2015)", "plainTextFormattedCitation" : "(Swann et al., 2015)" }, "properties" : { "noteIndex" : 0 }, "schema" : "https://github.com/citation-style-language/schema/raw/master/csl-citation.json" }</w:instrText>
      </w:r>
      <w:r w:rsidR="001846B6" w:rsidRPr="00341B41">
        <w:fldChar w:fldCharType="separate"/>
      </w:r>
      <w:r w:rsidR="001846B6" w:rsidRPr="00341B41">
        <w:rPr>
          <w:noProof/>
        </w:rPr>
        <w:t>(Swann et al., 2015)</w:t>
      </w:r>
      <w:r w:rsidR="001846B6" w:rsidRPr="00341B41">
        <w:fldChar w:fldCharType="end"/>
      </w:r>
      <w:r w:rsidR="00E7595F" w:rsidRPr="00341B41">
        <w:t>.</w:t>
      </w:r>
    </w:p>
    <w:p w14:paraId="0DBA29F9" w14:textId="2FB9A5B4" w:rsidR="00753772" w:rsidRPr="00341B41" w:rsidRDefault="007664C3" w:rsidP="00173F85">
      <w:pPr>
        <w:pStyle w:val="Heading1"/>
      </w:pPr>
      <w:bookmarkStart w:id="117" w:name="_Toc486260897"/>
      <w:r w:rsidRPr="00341B41">
        <w:lastRenderedPageBreak/>
        <w:t>Chapter 6 – The neural</w:t>
      </w:r>
      <w:r w:rsidR="002C7017" w:rsidRPr="00341B41">
        <w:t xml:space="preserve"> basis of action anticipation in real-world skills: General discussion</w:t>
      </w:r>
      <w:bookmarkEnd w:id="117"/>
    </w:p>
    <w:p w14:paraId="17CB7EF6" w14:textId="3E89062D" w:rsidR="002C7017" w:rsidRPr="00341B41" w:rsidRDefault="00173F85" w:rsidP="002C7017">
      <w:pPr>
        <w:pStyle w:val="Heading2"/>
      </w:pPr>
      <w:bookmarkStart w:id="118" w:name="_Toc486260898"/>
      <w:r w:rsidRPr="00341B41">
        <w:t>6</w:t>
      </w:r>
      <w:r w:rsidR="002C7017" w:rsidRPr="00341B41">
        <w:t>.1.</w:t>
      </w:r>
      <w:r w:rsidR="002C7017" w:rsidRPr="00341B41">
        <w:tab/>
        <w:t>Summary of findings</w:t>
      </w:r>
      <w:bookmarkEnd w:id="118"/>
    </w:p>
    <w:p w14:paraId="5D0D00AB" w14:textId="4802903D" w:rsidR="002C7017" w:rsidRPr="00341B41" w:rsidRDefault="002C7017" w:rsidP="002C7017">
      <w:r w:rsidRPr="00341B41">
        <w:t xml:space="preserve">The major aim of this thesis was to investigate the neural activity underpinning expertise-related differences in action anticipation skill. The domain focused upon here was tennis, one of many sports where players are able to quickly and accurately anticipate the actions of their opponents. Behavioural evidence shows that tennis players are able to observe and understand their opponent’s actions using kinematic cues present in their movement patterns in order to successfully anticipate the end goal/outcome of the action. </w:t>
      </w:r>
      <w:r w:rsidRPr="00341B41">
        <w:fldChar w:fldCharType="begin" w:fldLock="1"/>
      </w:r>
      <w:r w:rsidR="007A7E98" w:rsidRPr="00341B41">
        <w:instrText>ADDIN CSL_CITATION { "citationItems" : [ { "id" : "ITEM-1", "itemData" : { "author" : [ { "dropping-particle" : "", "family" : "Rowe", "given" : "Richard", "non-dropping-particle" : "", "parse-names" : false, "suffix" : "" }, { "dropping-particle" : "", "family" : "McKenna", "given" : "Frank P", "non-dropping-particle" : "", "parse-names" : false, "suffix" : "" } ], "container-title" : "Journal of Experimental Psychology: Applied", "id" : "ITEM-1", "issue" : "1", "issued" : { "date-parts" : [ [ "2001" ] ] }, "page" : "60-67", "title" : "Skilled anticipation in real-world tasks: Measurement of attentional demands in the domain of tennis", "type" : "article-journal", "volume" : "7" }, "uris" : [ "http://www.mendeley.com/documents/?uuid=25d0285b-f160-4cb8-a199-2fcbe666f3a6" ] }, { "id" : "ITEM-2", "itemData" : { "DOI" : "10.1080/10413200902785811", "ISSN" : "1041-3200", "author" : [ { "dropping-particle" : "", "family" : "Rowe", "given" : "Richard", "non-dropping-particle" : "", "parse-names" : false, "suffix" : "" }, { "dropping-particle" : "", "family" : "Horswill", "given" : "Mark S.", "non-dropping-particle" : "", "parse-names" : false, "suffix" : "" }, { "dropping-particle" : "", "family" : "Kronvall-Parkinson", "given" : "Mette", "non-dropping-particle" : "", "parse-names" : false, "suffix" : "" }, { "dropping-particle" : "", "family" : "Poulter", "given" : "Damian R.", "non-dropping-particle" : "", "parse-names" : false, "suffix" : "" }, { "dropping-particle" : "", "family" : "McKenna", "given" : "Frank P.", "non-dropping-particle" : "", "parse-names" : false, "suffix" : "" } ], "container-title" : "Journal of Applied Sport Psychology", "id" : "ITEM-2", "issue" : "2", "issued" : { "date-parts" : [ [ "2009" ] ] }, "page" : "178-185", "title" : "The Effect of Disguise on Novice and Expert Tennis Players\u2019 Anticipation Ability", "type" : "article-journal", "volume" : "21" }, "uris" : [ "http://www.mendeley.com/documents/?uuid=abe5db58-f10e-46ff-919e-c1dd0e743ba3" ] }, { "id" : "ITEM-3", "itemData" : { "DOI" : "10.3200/JMBR.41.2.158-171", "ISSN" : "0022-2895", "PMID" : "19201686", "abstract" : "The authors examined the importance of local dynamical information when anticipating tennis shot direction. In separate experiments, they occluded the arm and racket, shoulders, hips, trunk, and legs and locally neutralized dynamical differences between shot directions, respectively. The authors examined the impact of these manipulations on resulting (display) dynamics and the ability of participants with varying perceptual skills to anticipate shot direction. The occlusion manipulation affected the display dynamics to a larger extent than did the neutralization manipulation. Although the authors observed a decrement in performance when local information from the arm and racket was occluded or neutralized and when information from the trunk and legs was neutralized, the results generally suggest that participants anticipated shot direction through a more global perceptual approach, particularly in perceptually skilled participants.", "author" : [ { "dropping-particle" : "", "family" : "Huys", "given" : "Raoul", "non-dropping-particle" : "", "parse-names" : false, "suffix" : "" }, { "dropping-particle" : "", "family" : "Ca\u00f1al-Bruland", "given" : "Rouwen", "non-dropping-particle" : "", "parse-names" : false, "suffix" : "" }, { "dropping-particle" : "", "family" : "Hagemann", "given" : "N", "non-dropping-particle" : "", "parse-names" : false, "suffix" : "" }, { "dropping-particle" : "", "family" : "Beek", "given" : "Peter J", "non-dropping-particle" : "", "parse-names" : false, "suffix" : "" }, { "dropping-particle" : "", "family" : "Smeeton", "given" : "Nicholas J", "non-dropping-particle" : "", "parse-names" : false, "suffix" : "" }, { "dropping-particle" : "", "family" : "Williams", "given" : "Andrew Mark", "non-dropping-particle" : "", "parse-names" : false, "suffix" : "" } ], "container-title" : "Journal of Motor Behaviour", "id" : "ITEM-3", "issue" : "2", "issued" : { "date-parts" : [ [ "2009", "3" ] ] }, "page" : "158-71", "title" : "Global information pickup underpins anticipation of tennis shot direction.", "type" : "article-journal", "volume" : "41" }, "uris" : [ "http://www.mendeley.com/documents/?uuid=918cfc33-8edd-4bb1-89bd-0e26435768cc" ] }, { "id" : "ITEM-4", "itemData" : { "DOI" : "10.1016/j.humov.2008.10.006", "ISBN" : "1872-7646 (Electronic)\\r0167-9457 (Linking)", "ISSN" : "01679457", "PMID" : "19081648", "abstract" : "We examined the mechanisms underpinning anticipation of ground strokes in tennis by perturbing the dynamical information presented at different body regions (+ racket). We interchanged the dynamics at selected regions with those from strokes played to the opposite side of the court. Skilled and less skilled tennis players were required to anticipate stroke direction when presented with filmed sequences in stick figure format. There was a significant Skill \u00d7 Condition interaction. Skilled players reported lower accuracy scores when both proximal (i.e., shoulders, hips, and legs) and distal (i.e., arm + racket) cues were interchanged, whereas the less skilled players showed a significant decrement only in the arm + racket condition. Findings suggest that skilled players rely on a more 'global' than 'local' perceptual strategy. The greatest decrement in performance and lowest response accuracy scores were reported in the arm + racket condition, highlighting the importance of end-effector information when anticipating opponents' intentions. \u00a9 2008 Elsevier B.V. All rights reserved.", "author" : [ { "dropping-particle" : "", "family" : "Williams", "given" : "Andrew Mark", "non-dropping-particle" : "", "parse-names" : false, "suffix" : "" }, { "dropping-particle" : "", "family" : "Huys", "given" : "Raoul", "non-dropping-particle" : "", "parse-names" : false, "suffix" : "" }, { "dropping-particle" : "", "family" : "Ca\u00f1al-Bruland", "given" : "Rouwen", "non-dropping-particle" : "", "parse-names" : false, "suffix" : "" }, { "dropping-particle" : "", "family" : "Hagemann", "given" : "Norbert", "non-dropping-particle" : "", "parse-names" : false, "suffix" : "" } ], "container-title" : "Human Movement Science", "id" : "ITEM-4", "issue" : "3", "issued" : { "date-parts" : [ [ "2009" ] ] }, "page" : "362-370", "title" : "The dynamical information underpinning anticipation skill", "type" : "article-journal", "volume" : "28" }, "uris" : [ "http://www.mendeley.com/documents/?uuid=435d06fb-f876-4f89-9160-59e4d9321a92" ] } ], "mendeley" : { "formattedCitation" : "(Huys et al., 2009; Rowe et al., 2009; Rowe &amp; McKenna, 2001; Williams et al., 2009)", "manualFormatting" : "(Huys et al., 2009; Rowe et al., 2009; Rowe &amp; McKenna, 2001; Williams et al., 2009)", "plainTextFormattedCitation" : "(Huys et al., 2009; Rowe et al., 2009; Rowe &amp; McKenna, 2001; Williams et al., 2009)", "previouslyFormattedCitation" : "(Huys et al., 2009; Rowe et al., 2009; Rowe &amp; McKenna, 2001; Williams et al., 2009)" }, "properties" : { "noteIndex" : 0 }, "schema" : "https://github.com/citation-style-language/schema/raw/master/csl-citation.json" }</w:instrText>
      </w:r>
      <w:r w:rsidRPr="00341B41">
        <w:fldChar w:fldCharType="separate"/>
      </w:r>
      <w:r w:rsidRPr="00341B41">
        <w:rPr>
          <w:noProof/>
        </w:rPr>
        <w:t>(Huys et al., 2009; Rowe et al., 2009; Rowe &amp; McKenna, 2001; Williams et al., 2009)</w:t>
      </w:r>
      <w:r w:rsidRPr="00341B41">
        <w:fldChar w:fldCharType="end"/>
      </w:r>
      <w:r w:rsidRPr="00341B41">
        <w:t>. This thesis aimed to investigate the neural basis of this skill.</w:t>
      </w:r>
    </w:p>
    <w:p w14:paraId="6373E67D" w14:textId="6B0480C6" w:rsidR="002C7017" w:rsidRPr="00341B41" w:rsidRDefault="002C7017" w:rsidP="002C7017">
      <w:r w:rsidRPr="00341B41">
        <w:tab/>
        <w:t>A large body of evidence suggests that</w:t>
      </w:r>
      <w:r w:rsidR="0071002F" w:rsidRPr="00341B41">
        <w:t xml:space="preserve"> the sensorimotor motor system may play a role</w:t>
      </w:r>
      <w:r w:rsidRPr="00341B41">
        <w:t xml:space="preserve"> in action understanding. Due to this proposed role, and the need for rapid action understanding to facilitate action anticipation, a series of experiments and analyses were designed to test the role of the sensorimotor system in action anticipation in tennis. </w:t>
      </w:r>
    </w:p>
    <w:p w14:paraId="5AB73C6B" w14:textId="382C8194" w:rsidR="002C7017" w:rsidRPr="00341B41" w:rsidRDefault="002C7017" w:rsidP="002C7017">
      <w:pPr>
        <w:ind w:firstLine="720"/>
      </w:pPr>
      <w:r w:rsidRPr="00341B41">
        <w:t xml:space="preserve">In Chapter 2, two behavioural experiments aided in the design of a suitable test of anticipation skill in tennis, by creating a set of stimuli that were able to accurately and reliably distinguish tennis players from novices based upon their anticipation accuracy. This meant the test satisfied the criteria of the expert performance approach, which states that to be informative on the processes underlying expert performance, the tasks must clearly distinguish experts from novices </w:t>
      </w:r>
      <w:r w:rsidRPr="00341B41">
        <w:fldChar w:fldCharType="begin" w:fldLock="1"/>
      </w:r>
      <w:r w:rsidR="007A7E98"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 xml:space="preserve">. With a task that </w:t>
      </w:r>
      <w:r w:rsidRPr="00341B41">
        <w:lastRenderedPageBreak/>
        <w:t xml:space="preserve">satisfied </w:t>
      </w:r>
      <w:proofErr w:type="gramStart"/>
      <w:r w:rsidRPr="00341B41">
        <w:t>this criteria</w:t>
      </w:r>
      <w:proofErr w:type="gramEnd"/>
      <w:r w:rsidRPr="00341B41">
        <w:t>, it was then possible to investigate the role of the sensorimotor system in facilitating this expert advantage.</w:t>
      </w:r>
    </w:p>
    <w:p w14:paraId="44088776" w14:textId="25DFA805" w:rsidR="002C7017" w:rsidRPr="00341B41" w:rsidRDefault="002C7017" w:rsidP="002C7017">
      <w:pPr>
        <w:ind w:firstLine="720"/>
      </w:pPr>
      <w:r w:rsidRPr="00341B41">
        <w:t xml:space="preserve">In Chapter 3, the role of the sensorimotor system in expert action anticipation was investigated using an EEG paradigm. Event-related power changes in the mu (8-13Hz) and beta (15-25Hz) frequency bands at central electrode sites were investigated, as they are both EEG indices of sensorimotor activity </w:t>
      </w:r>
      <w:r w:rsidRPr="00341B41">
        <w:fldChar w:fldCharType="begin" w:fldLock="1"/>
      </w:r>
      <w:r w:rsidRPr="00341B41">
        <w:instrText>ADDIN CSL_CITATION { "citationItems" : [ { "id" : "ITEM-1", "itemData" : { "DOI" : "10.1016/j.brainresrev.2005.04.005", "PMID" : "15925412", "abstract" : "Existing evidence indicates that mu and other alpha-like rhythms are independent phenomena because of differences in source generation, sensitivity to sensory events, bilateral coherence, frequency, and power. Although mu suppression and enhancement echo sensorimotor processing in frontoparietal networks, they are also sensitive to cognitive and affective influences and likely reflect more than an idling brain state. Mu rhythms are present at early stages of human development and in other mammalian species. They exhibit adaptive and dynamically changing properties, including frequency acceleration and posterior-to-anterior shifts in focus. Furthermore, individuals can learn to control mu rhythms volitionally in a very short period of time. This raises questions about the mu rhythm's open neural architecture and ability to respond to cognitive, affective, and motor imagery, implying an even greater developmental and functional role than has previously been ascribed to it. Recent studies have suggested that mu rhythms reflect downstream modulation of motor cortex by prefrontal mirror neurons, i.e., cells that may play a critical role in imitation learning and the ability to understand the actions of others. It is proposed that mu rhythms represent an important information processing function that links perception and action-specifically, the transformation of \"seeing\" and \"hearing\" into \"doing.\" In a broader context, this transformation function results from an entrainment/gating mechanism in which multiple alpha networks (visual-, auditory-, and somatosensory-centered domains), typically producing rhythmic oscillations in a locally independent manner, become coupled and entrained. A global or 'diffuse and distributed alpha system' comes into existence when these independent sources of alpha become coherently engaged in transforming perception to action.", "author" : [ { "dropping-particle" : "", "family" : "Pineda", "given" : "J. A", "non-dropping-particle" : "", "parse-names" : false, "suffix" : "" } ], "container-title" : "Brain Research Reviews", "id" : "ITEM-1", "issue" : "1", "issued" : { "date-parts" : [ [ "2005", "12", "1" ] ] }, "page" : "57-68", "title" : "The functional significance of mu rhythms: translating \"seeing\" and \"hearing\" into \"doing\".", "type" : "article-journal", "volume" : "50" }, "uris" : [ "http://www.mendeley.com/documents/?uuid=7e856d86-32af-4cdd-8f64-6b8f40f48b6b" ] } ], "mendeley" : { "formattedCitation" : "(Pineda, 2005)", "plainTextFormattedCitation" : "(Pineda, 2005)", "previouslyFormattedCitation" : "(Pineda, 2005)" }, "properties" : { "noteIndex" : 0 }, "schema" : "https://github.com/citation-style-language/schema/raw/master/csl-citation.json" }</w:instrText>
      </w:r>
      <w:r w:rsidRPr="00341B41">
        <w:fldChar w:fldCharType="separate"/>
      </w:r>
      <w:r w:rsidRPr="00341B41">
        <w:rPr>
          <w:noProof/>
        </w:rPr>
        <w:t>(Pineda, 2005)</w:t>
      </w:r>
      <w:r w:rsidRPr="00341B41">
        <w:fldChar w:fldCharType="end"/>
      </w:r>
      <w:r w:rsidRPr="00341B41">
        <w:t xml:space="preserve">. Results showed that event-related </w:t>
      </w:r>
      <w:proofErr w:type="spellStart"/>
      <w:r w:rsidRPr="00341B41">
        <w:t>desynchronisation</w:t>
      </w:r>
      <w:proofErr w:type="spellEnd"/>
      <w:r w:rsidRPr="00341B41">
        <w:t xml:space="preserve"> (ERD) was greater in both frequency bands in a group of </w:t>
      </w:r>
      <w:r w:rsidR="009120AD" w:rsidRPr="00341B41">
        <w:t>experienced</w:t>
      </w:r>
      <w:r w:rsidRPr="00341B41">
        <w:t xml:space="preserve"> tennis players, compared to </w:t>
      </w:r>
      <w:r w:rsidR="009120AD" w:rsidRPr="00341B41">
        <w:t>less experienced</w:t>
      </w:r>
      <w:r w:rsidRPr="00341B41">
        <w:t xml:space="preserve"> participants, in the observation period prior to making an anticipatory judgment. This difference in the EEG activity was accompanied by significantly greater anticipation accuracy in the tennis player group. This result suggests that there was greater sensorimotor activity in the experienced tennis players in the observation window prior to anticipation compared to the less experienced group, and this may facilitate their higher anticipation accuracy. </w:t>
      </w:r>
    </w:p>
    <w:p w14:paraId="624C3862" w14:textId="622491F8" w:rsidR="002C7017" w:rsidRPr="00341B41" w:rsidRDefault="002C7017" w:rsidP="002C7017">
      <w:pPr>
        <w:ind w:firstLine="720"/>
      </w:pPr>
      <w:r w:rsidRPr="00341B41">
        <w:t xml:space="preserve">Further evidence for greater sensorimotor engagement in tennis players was found in that only the tennis player group showed ERD in the high-mu (11-13Hz) frequency band. Other research has shown that the high-mu frequency band is related to specific, goal-directed action execution </w:t>
      </w:r>
      <w:r w:rsidRPr="00341B41">
        <w:fldChar w:fldCharType="begin" w:fldLock="1"/>
      </w:r>
      <w:r w:rsidRPr="00341B41">
        <w:instrText>ADDIN CSL_CITATION { "citationItems" : [ { "id" : "ITEM-1",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"ITEM-1",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"id" : "ITEM-2",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"ITEM-2", "issue" : "10", "issued" : { "date-parts" : [ [ "2000" ] ] }, "page" : "1873-1879", "title" : "Functional dissociation of lower and upper frequency mu rhythms in relation to voluntary limb movement", "type" : "article-journal", "volume" : "111" }, "uris" : [ "http://www.mendeley.com/documents/?uuid=535673cf-0fff-42e5-97cd-a6e8bd9853f0"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xml:space="preserve">. Applied to an action observation paradigm, the finding suggests that only experienced tennis players are able to activate specific representations when observing another tennis player performing a shot. </w:t>
      </w:r>
    </w:p>
    <w:p w14:paraId="621738A0" w14:textId="15A3A2BC" w:rsidR="002C7017" w:rsidRPr="00341B41" w:rsidRDefault="002C7017" w:rsidP="002C7017">
      <w:pPr>
        <w:ind w:firstLine="720"/>
      </w:pPr>
      <w:r w:rsidRPr="00341B41">
        <w:t xml:space="preserve">One of the limitations of channel-based EEG analyses is that due to volume conduction, it is impossible to know the generator of the EEG activity being recorded at the </w:t>
      </w:r>
      <w:r w:rsidRPr="00341B41">
        <w:lastRenderedPageBreak/>
        <w:t>scalp. This is particularly problematic when studying mu activity, as it is possible</w:t>
      </w:r>
      <w:r w:rsidR="00F21B58" w:rsidRPr="00341B41">
        <w:t xml:space="preserve"> that sensorimotor mu activity</w:t>
      </w:r>
      <w:r w:rsidRPr="00341B41">
        <w:t xml:space="preserve">, can become contaminated by non-mu alpha activity generated posteriorly, that occupies the same frequency band, but represents more general attentional demand </w:t>
      </w:r>
      <w:r w:rsidRPr="00341B41">
        <w:fldChar w:fldCharType="begin" w:fldLock="1"/>
      </w:r>
      <w:r w:rsidR="00CE520B" w:rsidRPr="00341B41">
        <w:instrText>ADDIN CSL_CITATION { "citationItems" : [ { "id" : "ITEM-1", "itemData" : { "DOI" : "10.1016/j.cortex.2016.03.019", "ISSN" : "19738102", "PMID" : "27180217", "abstract" : "Mu suppression has been proposed as a signature of the activity of the human mirror neuron system (MNS). However the mu frequency band (8\u201313\u00a0Hz) overlaps with the alpha frequency band, which is sensitive to attentional fluctuation, and thus mu suppression could potentially be confounded by changes in attentional engagement. The specific baseline against which mu suppression is assessed may be crucial, yet there is little consistency in how this is defined. We examined mu suppression in 61 typical adults, the largest mu suppression study so far conducted. We compared different methods of baselining, and examined activity at central and occipital electrodes, to both biological (hands) and non-biological (kaleidoscope) moving stimuli, to investigate the involvement of attention and alpha activity in mu suppression. We also examined changes in beta power, another candidate index of MNS engagement. We observed strong mu suppression restricted to central electrodes when participants performed hand movements, demonstrating that mu is indeed responsive to the activity of the motor cortex. However, when we looked for a similar signature of mu suppression to passively observed stimuli, the baselining method proved to be crucial. Selective suppression for biological versus non-biological stimuli was seen at central electrodes only when we used a within-trial baseline based on a static stimulus: this method greatly reduced trial-by-trial variation in the suppression measure compared with baselines based on blank trials presented in separate blocks. Even in this optimal condition, 16\u201321% of participants showed no mu suppression. Changes in beta power also did not match our predicted pattern for MNS engagement, and did not seem to offer a better measure than mu. Our conclusions are in contrast to those of a recent meta-analysis, which concluded that mu suppression is a valid means to examine mirror neuron activity. We argue that mu suppression can be used to index the human MNS, but the effect is weak and unreliable and easily confounded with alpha suppression.", "author" : [ { "dropping-particle" : "", "family" : "Hobson", "given" : "Hannah M.", "non-dropping-particle" : "", "parse-names" : false, "suffix" : "" }, { "dropping-particle" : "", "family" : "Bishop", "given" : "Dorothy V M", "non-dropping-particle" : "", "parse-names" : false, "suffix" : "" } ], "container-title" : "Cortex", "id" : "ITEM-1", "issued" : { "date-parts" : [ [ "2016" ] ] }, "page" : "290-310", "publisher" : "Elsevier Ltd", "title" : "Mu suppression \u2013 A good measure of the human mirror neuron system?", "type" : "article-journal", "volume" : "82" }, "uris" : [ "http://www.mendeley.com/documents/?uuid=e03b7da9-d3d3-4b5c-9c33-af1ba9b59c8e" ] }, { "id" : "ITEM-2", "itemData" : { "DOI" : "10.1016/j.brainres.2009.05.059", "ISSN" : "1872-6240", "PMID" : "19500557", "abstract" : "Mu (mu) rhythms are EEG oscillations between 8-13 Hz distinguished from alpha by having more anterior distribution and being desynchronized by motor rather than visual activity. Evidence accumulating during the last decade suggests that the desynchronization of mu rhythms (mu suppression) might be also a manifestation of a human Mirror Neuron System (MNS). To further explore this hypothesis we used a paradigm that, in a previous fMRI study, successfully activated this putative MNS in humans. Our direct goal was to provide further support for a link between modulation of mu rhythms and the MNS, by finding parallels between the reported patterns of fMRI activations and patterns of mu suppression. The EEG power in the mu range has been recorded while participants passively observed either a left or a right hand, reaching to and grasping objects, and compared it with that recorded while participants observed the movement of a ball, and while observing static grasping scenes or still objects. Mirroring fMRI results (Shmuelof, L., Zohary, E., 2005. Dissociation between ventral and dorsal fMRI activation during object and action recognition. Neuron 47, 457-470), mu suppression was larger in the hemisphere contra-lateral to the moving hand and larger when the hands grasped different objects in different ways than when the movement was repetitive. No suppression was found while participants observed still objects but mu suppression was also found while seeing static grasping postures. These data are discussed in light of similar parallels between modulations of alpha waves and fMRI while recording EEG in the magnet. The present data support a link between mu suppression and a human MNS.", "author" : [ { "dropping-particle" : "", "family" : "Perry", "given" : "Anat", "non-dropping-particle" : "", "parse-names" : false, "suffix" : "" }, { "dropping-particle" : "", "family" : "Bentin", "given" : "Shlomo", "non-dropping-particle" : "", "parse-names" : false, "suffix" : "" } ], "container-title" : "Brain Research", "id" : "ITEM-2", "issued" : { "date-parts" : [ [ "2009", "7", "28" ] ] }, "page" : "126-32", "publisher" : "Elsevier B.V.", "title" : "Mirror activity in the human brain while observing hand movements: a comparison between EEG desynchronization in the mu-range and previous fMRI results.", "type" : "article-journal", "volume" : "1282" }, "uris" : [ "http://www.mendeley.com/documents/?uuid=f18cc55a-3d22-46a0-9f29-c3ca211757ff" ] } ], "mendeley" : { "formattedCitation" : "(Hobson &amp; Bishop, 2016; Perry &amp; Bentin, 2009)", "plainTextFormattedCitation" : "(Hobson &amp; Bishop, 2016; Perry &amp; Bentin, 2009)", "previouslyFormattedCitation" : "(Hobson &amp; Bishop, 2016; Perry &amp; Bentin, 2009)" }, "properties" : { "noteIndex" : 0 }, "schema" : "https://github.com/citation-style-language/schema/raw/master/csl-citation.json" }</w:instrText>
      </w:r>
      <w:r w:rsidRPr="00341B41">
        <w:fldChar w:fldCharType="separate"/>
      </w:r>
      <w:r w:rsidRPr="00341B41">
        <w:rPr>
          <w:noProof/>
        </w:rPr>
        <w:t>(Hobson &amp; Bishop, 2016; Perry &amp; Bentin, 2009)</w:t>
      </w:r>
      <w:r w:rsidRPr="00341B41">
        <w:fldChar w:fldCharType="end"/>
      </w:r>
      <w:r w:rsidRPr="00341B41">
        <w:t xml:space="preserve">. Therefore, in Chapter 4, the data was reanalysed using </w:t>
      </w:r>
      <w:r w:rsidR="002B0501" w:rsidRPr="00341B41">
        <w:t xml:space="preserve">ICA </w:t>
      </w:r>
      <w:r w:rsidRPr="00341B41">
        <w:t xml:space="preserve">as a way of better separating the raw EEG data into distinct components, and estimating the effective source location of the component. Using this method, it was found that group differences only occurred in sensorimotor-located ICs, with no group differences occurring in ICs reflecting posterior alpha activity. This provides clearer evidence that activity in the </w:t>
      </w:r>
      <w:r w:rsidR="002B0501" w:rsidRPr="00341B41">
        <w:t>sensorimotor system</w:t>
      </w:r>
      <w:r w:rsidRPr="00341B41">
        <w:t xml:space="preserve"> is key in distinguishing experienced from less experienced participants on the action anticipation task. Furthermore, similar results were found regarding high mu (11-13Hz) activity when analysing ICs, as was found when using EEG channel data.</w:t>
      </w:r>
    </w:p>
    <w:p w14:paraId="2E6A21F8" w14:textId="27214051" w:rsidR="002B0501" w:rsidRPr="00341B41" w:rsidRDefault="002B0501" w:rsidP="002C7017">
      <w:pPr>
        <w:ind w:firstLine="720"/>
      </w:pPr>
      <w:r w:rsidRPr="00341B41">
        <w:t>Finally, in Chapter 5 item and individual differences in anticipation performance were investigated. These analyses showed that in experienced tennis players, subsequent correct anticipation following action observation was associated with significantly greater sensorimotor activity</w:t>
      </w:r>
      <w:r w:rsidR="00CF0850" w:rsidRPr="00341B41">
        <w:t xml:space="preserve"> in the beta frequency range</w:t>
      </w:r>
      <w:r w:rsidRPr="00341B41">
        <w:t xml:space="preserve"> than </w:t>
      </w:r>
      <w:r w:rsidR="00D93DE2" w:rsidRPr="00341B41">
        <w:t xml:space="preserve">trials that were incorrectly correct. Furthermore, </w:t>
      </w:r>
      <w:r w:rsidR="00CF0850" w:rsidRPr="00341B41">
        <w:t xml:space="preserve">there were significant correlations between </w:t>
      </w:r>
      <w:r w:rsidR="002F0AA4" w:rsidRPr="00341B41">
        <w:t>individual</w:t>
      </w:r>
      <w:r w:rsidR="00CF0850" w:rsidRPr="00341B41">
        <w:t xml:space="preserve"> sensorimotor activity and anticipation accuracy</w:t>
      </w:r>
      <w:r w:rsidR="00D93DE2" w:rsidRPr="00341B41">
        <w:t xml:space="preserve">. Together these results suggest that whether a participant will anticipate correctly or not can be distinguished based </w:t>
      </w:r>
      <w:r w:rsidR="002F0AA4" w:rsidRPr="00341B41">
        <w:t>off</w:t>
      </w:r>
      <w:r w:rsidR="00D93DE2" w:rsidRPr="00341B41">
        <w:t xml:space="preserve"> sensorimotor activity in the preceding observation period.</w:t>
      </w:r>
    </w:p>
    <w:p w14:paraId="7CE13975" w14:textId="449619AE" w:rsidR="00A85086" w:rsidRPr="00341B41" w:rsidRDefault="0016474D" w:rsidP="00A85086">
      <w:pPr>
        <w:pStyle w:val="Heading2"/>
      </w:pPr>
      <w:bookmarkStart w:id="119" w:name="_Toc486260899"/>
      <w:r w:rsidRPr="00341B41">
        <w:lastRenderedPageBreak/>
        <w:t>6</w:t>
      </w:r>
      <w:r w:rsidR="00A85086" w:rsidRPr="00341B41">
        <w:t>.2.</w:t>
      </w:r>
      <w:r w:rsidR="00A85086" w:rsidRPr="00341B41">
        <w:tab/>
        <w:t>Implications for our understanding of skilled anticipation</w:t>
      </w:r>
      <w:bookmarkEnd w:id="119"/>
    </w:p>
    <w:p w14:paraId="1FC5BF2E" w14:textId="286E314D" w:rsidR="00347D20" w:rsidRPr="00341B41" w:rsidRDefault="00A85086" w:rsidP="00347D20">
      <w:r w:rsidRPr="00341B41">
        <w:t xml:space="preserve">The findings of this thesis </w:t>
      </w:r>
      <w:proofErr w:type="gramStart"/>
      <w:r w:rsidR="008238D3" w:rsidRPr="00341B41">
        <w:t>offers</w:t>
      </w:r>
      <w:proofErr w:type="gramEnd"/>
      <w:r w:rsidRPr="00341B41">
        <w:t xml:space="preserve"> new insights into how experts are able to anticipate the actions of others. The large body of evidence from behavioural studies, reviewed in Chapter 1, show that experts are able to extract relevant cues from the kinematics of an opponent prior to a critical event e.g. in tennis, the moment the player’s racket hits the ball, and accurately anticipate in advance what the outcome of the observed action will be. The results from the EEG work presented here suggest</w:t>
      </w:r>
      <w:r w:rsidR="00F8395A" w:rsidRPr="00341B41">
        <w:t xml:space="preserve"> </w:t>
      </w:r>
      <w:r w:rsidRPr="00341B41">
        <w:t>that during the observation of an action, an expert player</w:t>
      </w:r>
      <w:r w:rsidR="00BB62BD" w:rsidRPr="00341B41">
        <w:t xml:space="preserve"> engages their own </w:t>
      </w:r>
      <w:r w:rsidR="00D707E0" w:rsidRPr="00341B41">
        <w:t>sensori</w:t>
      </w:r>
      <w:r w:rsidR="00BB62BD" w:rsidRPr="00341B41">
        <w:t>motor system</w:t>
      </w:r>
      <w:r w:rsidR="00D707E0" w:rsidRPr="00341B41">
        <w:t xml:space="preserve"> </w:t>
      </w:r>
      <w:r w:rsidRPr="00341B41">
        <w:t xml:space="preserve">which may help facilitate accurate anticipation. </w:t>
      </w:r>
    </w:p>
    <w:p w14:paraId="53747906" w14:textId="77777777" w:rsidR="00042B16" w:rsidRPr="00341B41" w:rsidRDefault="00A85086" w:rsidP="00042B16">
      <w:pPr>
        <w:ind w:firstLine="720"/>
      </w:pPr>
      <w:r w:rsidRPr="00341B41">
        <w:t xml:space="preserve">The situation awareness (SA) model of anticipation </w:t>
      </w:r>
      <w:r w:rsidRPr="00341B41">
        <w:fldChar w:fldCharType="begin" w:fldLock="1"/>
      </w:r>
      <w:r w:rsidRPr="00341B41">
        <w:instrText>ADDIN CSL_CITATION { "citationItems" : [ { "id" : "ITEM-1", "itemData" : { "author" : [ { "dropping-particle" : "", "family" : "Endsley", "given" : "M. R.", "non-dropping-particle" : "", "parse-names" : false, "suffix" : "" } ], "container-title" : "Human Factors", "id" : "ITEM-1", "issue" : "1", "issued" : { "date-parts" : [ [ "1995" ] ] }, "page" : "32-64", "title" : "Towards a theory of situation awareness in dynamic systems", "type" : "article-journal", "volume" : "37" }, "uris" : [ "http://www.mendeley.com/documents/?uuid=13d0974f-ec56-43eb-a990-9c9b907042d7" ] }, { "id" : "ITEM-2", "itemData" : { "DOI" : "10.1177/154193120004400117", "ISSN" : "1071-1813", "author" : [ { "dropping-particle" : "", "family" : "Endsley", "given" : "M. R.", "non-dropping-particle" : "", "parse-names" : false, "suffix" : "" } ], "container-title" : "Proceedings of the Human Factors and Ergonomics Society Annual Meeting", "id" : "ITEM-2", "issue" : "1", "issued" : { "date-parts" : [ [ "2000", "7", "1" ] ] }, "page" : "61-64", "title" : "Situation Models: An Avenue to the Modeling of Mental Models", "type" : "article-journal", "volume" : "44" }, "uris" : [ "http://www.mendeley.com/documents/?uuid=3452a8f3-cac2-46b7-96aa-1bdfb2c60f0c" ] } ], "mendeley" : { "formattedCitation" : "(Endsley, 1995, 2000)", "plainTextFormattedCitation" : "(Endsley, 1995, 2000)", "previouslyFormattedCitation" : "(Endsley, 1995, 2000)" }, "properties" : { "noteIndex" : 0 }, "schema" : "https://github.com/citation-style-language/schema/raw/master/csl-citation.json" }</w:instrText>
      </w:r>
      <w:r w:rsidRPr="00341B41">
        <w:fldChar w:fldCharType="separate"/>
      </w:r>
      <w:r w:rsidRPr="00341B41">
        <w:rPr>
          <w:noProof/>
        </w:rPr>
        <w:t>(Endsley, 1995, 2000)</w:t>
      </w:r>
      <w:r w:rsidRPr="00341B41">
        <w:fldChar w:fldCharType="end"/>
      </w:r>
      <w:r w:rsidRPr="00341B41">
        <w:t xml:space="preserve"> provides a good framework in which to view these results. This model describes three stages in situation understanding. Level 1 is the perception of all relevant cues in the environment. Level 2 is the comprehension of these cues, and level 3 is the projection of future states e.g. anticipation. The sensorimotor system most likely supports the transition from level 2 to level 3 SA, by aiding in the comprehension </w:t>
      </w:r>
      <w:r w:rsidR="00323813" w:rsidRPr="00341B41">
        <w:t>of the observed action making it</w:t>
      </w:r>
      <w:r w:rsidRPr="00341B41">
        <w:t xml:space="preserve"> possible to predict the future state i.e. anticipate the action outcome.</w:t>
      </w:r>
      <w:r w:rsidR="00042B16" w:rsidRPr="00341B41">
        <w:t xml:space="preserve"> </w:t>
      </w:r>
    </w:p>
    <w:p w14:paraId="1F21398E" w14:textId="015D9BAC" w:rsidR="00042B16" w:rsidRPr="00341B41" w:rsidRDefault="001338F5" w:rsidP="00042B16">
      <w:pPr>
        <w:ind w:firstLine="720"/>
      </w:pPr>
      <w:r w:rsidRPr="00341B41">
        <w:t xml:space="preserve">Some evidence that skilled players engaged action-specific representations during the observation phase is that there was ERD present in the high-mu (11-13Hz) band, and that this did not occur in the less experienced group. Action execution studies have shown that high mu ERD occurs only during specific, goal-directed actions, with different activity patterns occurring for different types of actions </w:t>
      </w:r>
      <w:r w:rsidRPr="00341B41">
        <w:fldChar w:fldCharType="begin" w:fldLock="1"/>
      </w:r>
      <w:r w:rsidRPr="00341B41">
        <w:instrText>ADDIN CSL_CITATION { "citationItems" : [ { "id" : "ITEM-1", "itemData" : { "DOI" : "10.1016/S1388-2457(00)00428-4", "ISBN" : "1388-2457", "ISSN" : "13882457", "PMID" : "11018505", "abstract" : "Objective: The goal of this study is to investigate the reactivity of central rhythms in the alpha band during self-paced voluntary finger and foot movement and to give an answer to the question, whether different types of mu rhythms exist. Methods: The effect of self-paced, voluntary finger and foot movement was studied in a group of 12 right-handed healthy volunteers. The EEG was recorded from a grid of 34 electrodes placed over sensorimotor areas with inter-electrode distances of approximately 2.5 cm. The event-related desynchronization (ERD) was quantified in the 8-10 and 10-12 Hz bands. Results: Both frequency components are blocked prior to and during movement and therefore, they have to be considered as mu rhythms. The lower frequency component results in a widespread movement-type non-specific ERD pattern, whereas the upper frequency component shows a more focused and movement-type specific pattern, clearly different with finger and foot movement. Conclusions: The distinct reactivity patterns provide evidence for the existence of two types of mu rhythms, a somatotopically non-specific lower frequency mu rhythm and a somatotopically specific mu rhythm characteristically found in the upper alpha frequency band. (C) 2000 Elsevier Science Ireland Ltd.", "author" : [ { "dropping-particle" : "", "family" : "Pfurtscheller", "given" : "G.", "non-dropping-particle" : "", "parse-names" : false, "suffix" : "" }, { "dropping-particle" : "", "family" : "Neuper", "given" : "C.", "non-dropping-particle" : "", "parse-names" : false, "suffix" : "" }, { "dropping-particle" : "", "family" : "Krausz", "given" : "G.", "non-dropping-particle" : "", "parse-names" : false, "suffix" : "" } ], "container-title" : "Clinical Neurophysiology", "id" : "ITEM-1", "issue" : "10", "issued" : { "date-parts" : [ [ "2000" ] ] }, "page" : "1873-1879", "title" : "Functional dissociation of lower and upper frequency mu rhythms in relation to voluntary limb movement", "type" : "article-journal", "volume" : "111" }, "uris" : [ "http://www.mendeley.com/documents/?uuid=535673cf-0fff-42e5-97cd-a6e8bd9853f0" ] }, { "id" : "ITEM-2", "itemData" : { "DOI" : "10.1016/j.clinph.2014.07.026", "ISBN" : "1872-8952 (Electronic) 1388-2457 (Linking)", "ISSN" : "18728952", "PMID" : "25213350", "abstract" : "Objective: The symptoms with optic ataxia suggest that simple and visually guided hand movements are controlled by 2 different neural substrates. To assess the differential frequency-coded posterior parietal cortex (PPC) role in planning visuo-motor goal-directed tasks, we studied the action specificity of event-related desynchronization (ERD) in this area. Methods: We investigated cortical activity by electroencephalography, while 16 healthy subjects performed self-paced reaching or wrist extension (control) movements. Time-frequency representations were calculated for each movement during the preparatory period. Results: ERD dynamics in upper alpha-band indicated that preparing a goal-directed action activates contralateral PPC to the moving hand around 1.2. s before starting the movement, while this activation is later (around 0.7. s) in preparing a not-goal-directed action. The posterior dominant rhythm had peak frequency of lower alpha-band at bilateral parietal. Conclusions: Posterior parietal cortex encodes goal-directed movement preparation through upper alpha-band activity, whereas general attention is processed via lower alpha-band oscillations. Significance: Preparing to reach an object engages posterior parietal cortex earlier than a not-goal directed movement.", "author" : [ { "dropping-particle" : "", "family" : "Fumuro", "given" : "Tomoyuki", "non-dropping-particle" : "", "parse-names" : false, "suffix" : "" }, { "dropping-particle" : "", "family" : "Matsuhashi", "given" : "Masao", "non-dropping-particle" : "", "parse-names" : false, "suffix" : "" }, { "dropping-particle" : "", "family" : "Miyazaki", "given" : "Tomoko", "non-dropping-particle" : "", "parse-names" : false, "suffix" : "" }, { "dropping-particle" : "", "family" : "Inouchi", "given" : "Morito", "non-dropping-particle" : "", "parse-names" : false, "suffix" : "" }, { "dropping-particle" : "", "family" : "Hitomi", "given" : "Takefumi", "non-dropping-particle" : "", "parse-names" : false, "suffix" : "" }, { "dropping-particle" : "", "family" : "Matsumoto", "given" : "Riki", "non-dropping-particle" : "", "parse-names" : false, "suffix" : "" }, { "dropping-particle" : "", "family" : "Takahashi", "given" : "Ryosuke", "non-dropping-particle" : "", "parse-names" : false, "suffix" : "" }, { "dropping-particle" : "", "family" : "Fukuyama", "given" : "Hidenao", "non-dropping-particle" : "", "parse-names" : false, "suffix" : "" }, { "dropping-particle" : "", "family" : "Ikeda", "given" : "Akio", "non-dropping-particle" : "", "parse-names" : false, "suffix" : "" } ], "container-title" : "Clinical Neurophysiology", "id" : "ITEM-2", "issue" : "4", "issued" : { "date-parts" : [ [ "2015" ] ] }, "page" : "756-762", "publisher" : "International Federation of Clinical Neurophysiology", "title" : "Alpha-band desynchronization in human parietal area during reach planning", "type" : "article-journal", "volume" : "126" }, "uris" : [ "http://www.mendeley.com/documents/?uuid=8f79d2e1-42c5-4523-9955-7854c7cf9c1c" ] } ], "mendeley" : { "formattedCitation" : "(Fumuro et al., 2015; Pfurtscheller et al., 2000)", "plainTextFormattedCitation" : "(Fumuro et al., 2015; Pfurtscheller et al., 2000)", "previouslyFormattedCitation" : "(Fumuro et al., 2015; Pfurtscheller et al., 2000)" }, "properties" : { "noteIndex" : 0 }, "schema" : "https://github.com/citation-style-language/schema/raw/master/csl-citation.json" }</w:instrText>
      </w:r>
      <w:r w:rsidRPr="00341B41">
        <w:fldChar w:fldCharType="separate"/>
      </w:r>
      <w:r w:rsidRPr="00341B41">
        <w:rPr>
          <w:noProof/>
        </w:rPr>
        <w:t>(Fumuro et al., 2015; Pfurtscheller et al., 2000)</w:t>
      </w:r>
      <w:r w:rsidRPr="00341B41">
        <w:fldChar w:fldCharType="end"/>
      </w:r>
      <w:r w:rsidRPr="00341B41">
        <w:t xml:space="preserve">. This is the first work to investigate low mu and high mu separately in an action </w:t>
      </w:r>
      <w:r w:rsidRPr="00341B41">
        <w:lastRenderedPageBreak/>
        <w:t xml:space="preserve">observation paradigm, and is also the first work to show expertise-related differences in these two sub-bands, with participants with experience in the actions being observed showing ERD in both bands, whilst less experienced participants </w:t>
      </w:r>
      <w:r w:rsidR="006E05DD" w:rsidRPr="00341B41">
        <w:t>not showing differences from baseline</w:t>
      </w:r>
      <w:r w:rsidRPr="00341B41">
        <w:t xml:space="preserve">. These results suggest then that during the observation of an action prior to anticipation, experienced players activate action specific </w:t>
      </w:r>
      <w:r w:rsidR="007E6289" w:rsidRPr="00341B41">
        <w:t>representations</w:t>
      </w:r>
      <w:r w:rsidRPr="00341B41">
        <w:t xml:space="preserve"> that are used to understand the intention of the opposing player, and as such is a potential mechanism to facilitate anticipation.</w:t>
      </w:r>
      <w:r w:rsidR="00042B16" w:rsidRPr="00341B41">
        <w:t xml:space="preserve"> </w:t>
      </w:r>
      <w:r w:rsidR="00D707E0" w:rsidRPr="00341B41">
        <w:t>Interestingly however, when correct and incorrect trials were compared, differences were only found in the beta band, with no differences in mu activity. This suggests that sensorimotor activity in the beta band may be the best at discriminating between successful and unsuccessful anticipation.</w:t>
      </w:r>
    </w:p>
    <w:p w14:paraId="035CC226" w14:textId="1979244C" w:rsidR="00042B16" w:rsidRPr="00341B41" w:rsidRDefault="007E6289" w:rsidP="00042B16">
      <w:pPr>
        <w:ind w:firstLine="720"/>
      </w:pPr>
      <w:r w:rsidRPr="00341B41">
        <w:t xml:space="preserve">This finding lends some support to cognitive models of anticipation such as the interactive encoding model </w:t>
      </w:r>
      <w:r w:rsidRPr="00341B41">
        <w:fldChar w:fldCharType="begin" w:fldLock="1"/>
      </w:r>
      <w:r w:rsidRPr="00341B41">
        <w:instrText>ADDIN CSL_CITATION { "citationItems" : [ { "id" : "ITEM-1", "itemData" : { "author" : [ { "dropping-particle" : "", "family" : "Dittrich", "given" : "W. H", "non-dropping-particle" : "", "parse-names" : false, "suffix" : "" } ], "container-title" : "Gesture-based communication in human-computer interaction", "editor" : [ { "dropping-particle" : "", "family" : "Braffort", "given" : "A", "non-dropping-particle" : "", "parse-names" : false, "suffix" : "" }, { "dropping-particle" : "", "family" : "Gherbi", "given" : "R", "non-dropping-particle" : "", "parse-names" : false, "suffix" : "" }, { "dropping-particle" : "", "family" : "Giber", "given" : "S", "non-dropping-particle" : "", "parse-names" : false, "suffix" : "" }, { "dropping-particle" : "", "family" : "Richardson", "given" : "J", "non-dropping-particle" : "", "parse-names" : false, "suffix" : "" }, { "dropping-particle" : "", "family" : "Teil", "given" : "D", "non-dropping-particle" : "", "parse-names" : false, "suffix" : "" } ], "id" : "ITEM-1", "issued" : { "date-parts" : [ [ "1999" ] ] }, "page" : "3-22", "publisher" : "Springer-Verlag", "publisher-place" : "Berlin, Germany", "title" : "Seeing biological motion: Is there a role for cognitive strategies?", "type" : "chapter" }, "uris" : [ "http://www.mendeley.com/documents/?uuid=27cb410b-daa3-469f-a28a-6214d3ab2c58" ] } ], "mendeley" : { "formattedCitation" : "(Dittrich, 1999)", "plainTextFormattedCitation" : "(Dittrich, 1999)", "previouslyFormattedCitation" : "(Dittrich, 1999)" }, "properties" : { "noteIndex" : 0 }, "schema" : "https://github.com/citation-style-language/schema/raw/master/csl-citation.json" }</w:instrText>
      </w:r>
      <w:r w:rsidRPr="00341B41">
        <w:fldChar w:fldCharType="separate"/>
      </w:r>
      <w:r w:rsidRPr="00341B41">
        <w:rPr>
          <w:noProof/>
        </w:rPr>
        <w:t>(Dittrich, 1999)</w:t>
      </w:r>
      <w:r w:rsidRPr="00341B41">
        <w:fldChar w:fldCharType="end"/>
      </w:r>
      <w:r w:rsidRPr="00341B41">
        <w:t xml:space="preserve">, which states that experts are able to integrate low-level perceptual cues in the environment with higher order representations of past situations stored as templates that can then be used for situation understanding and anticipation. Results of behavioural studies show that athletes are able to extract low-level perceptual cues from their opponent’s kinematics. The results of this thesis suggest that during </w:t>
      </w:r>
      <w:r w:rsidR="007763B0" w:rsidRPr="00341B41">
        <w:t>the</w:t>
      </w:r>
      <w:r w:rsidRPr="00341B41">
        <w:t xml:space="preserve"> observation period, experienced players access </w:t>
      </w:r>
      <w:r w:rsidR="00FC31D9" w:rsidRPr="00341B41">
        <w:t>to specific representations</w:t>
      </w:r>
      <w:r w:rsidRPr="00341B41">
        <w:t xml:space="preserve"> to help aid in the understanding of the observed action. This process is analogous to template matching process described in the interactive encoding model. It should be noted however that </w:t>
      </w:r>
      <w:r w:rsidR="00FC31D9" w:rsidRPr="00341B41">
        <w:t>some accounts of action understanding</w:t>
      </w:r>
      <w:r w:rsidRPr="00341B41">
        <w:t xml:space="preserve"> argue that the use of prior information is important in making an initial judgement as to action intention. In athletes, this prior could be based on situational probabilities and contextual information, which may in turn by facilitated by the use of long-term working memory structures </w:t>
      </w:r>
      <w:r w:rsidRPr="00341B41">
        <w:fldChar w:fldCharType="begin" w:fldLock="1"/>
      </w:r>
      <w:r w:rsidR="007A7E98" w:rsidRPr="00341B41">
        <w:instrText>ADDIN CSL_CITATION { "citationItems" : [ { "id" : "ITEM-1", "itemData" : { "author" : [ { "dropping-particle" : "", "family" : "Ericsson", "given" : "K Anders", "non-dropping-particle" : "", "parse-names" : false, "suffix" : "" }, { "dropping-particle" : "", "family" : "Kintsch", "given" : "W", "non-dropping-particle" : "", "parse-names" : false, "suffix" : "" } ], "container-title" : "Psychological Review", "id" : "ITEM-1", "issue" : "2", "issued" : { "date-parts" : [ [ "1995" ] ] }, "page" : "211-245", "title" : "Long-term working memory", "type" : "article-journal", "volume" : "102" }, "uris" : [ "http://www.mendeley.com/documents/?uuid=aa663820-701a-4f3a-b8f5-3a73455709af" ] }, { "id" : "ITEM-2", "itemData" : { "author" : [ { "dropping-particle" : "", "family" : "Williams", "given" : "Andrew Mark", "non-dropping-particle" : "", "parse-names" : false, "suffix" : "" }, { "dropping-particle" : "", "family" : "Ford", "given" : "PR", "non-dropping-particle" : "", "parse-names" : false, "suffix" : "" }, { "dropping-particle" : "", "family" : "Eccles", "given" : "DW", "non-dropping-particle" : "", "parse-names" : false, "suffix" : "" }, { "dropping-particle" : "", "family" : "Ward", "given" : "P", "non-dropping-particle" : "", "parse-names" : false, "suffix" : "" } ], "container-title" : "Applied Cognitive Psychology", "id" : "ITEM-2", "issued" : { "date-parts" : [ [ "2011" ] ] }, "page" : "432-442", "title" : "Perceptual - cognitive expertise in sport and its acquisition: Implications for applied cognitive psychology", "type" : "article-journal", "volume" : "442" }, "uris" : [ "http://www.mendeley.com/documents/?uuid=bdd5e9f7-05e2-4f94-9ddd-05d9adfcd3df" ] } ], "mendeley" : { "formattedCitation" : "(Ericsson &amp; Kintsch, 1995; Williams, Ford, Eccles, &amp; Ward, 2011)", "manualFormatting" : "(Ericsson &amp; Kintsch, 1995; Williams, Ford, Eccles, &amp; Ward, 2011)", "plainTextFormattedCitation" : "(Ericsson &amp; Kintsch, 1995; Williams, Ford, Eccles, &amp; Ward, 2011)", "previouslyFormattedCitation" : "(Ericsson &amp; Kintsch, 1995; Williams, Ford, Eccles, &amp; Ward, 2011)" }, "properties" : { "noteIndex" : 0 }, "schema" : "https://github.com/citation-style-language/schema/raw/master/csl-citation.json" }</w:instrText>
      </w:r>
      <w:r w:rsidRPr="00341B41">
        <w:fldChar w:fldCharType="separate"/>
      </w:r>
      <w:r w:rsidRPr="00341B41">
        <w:rPr>
          <w:noProof/>
        </w:rPr>
        <w:t xml:space="preserve">(Ericsson &amp; Kintsch, 1995; </w:t>
      </w:r>
      <w:r w:rsidRPr="00341B41">
        <w:rPr>
          <w:noProof/>
        </w:rPr>
        <w:lastRenderedPageBreak/>
        <w:t>Williams, Ford, Eccles, &amp; Ward, 2011)</w:t>
      </w:r>
      <w:r w:rsidRPr="00341B41">
        <w:fldChar w:fldCharType="end"/>
      </w:r>
      <w:r w:rsidRPr="00341B41">
        <w:t>. In this thesis, the use of kinematic cues was the mechanism of anticipation focused on, and future work should look to assess the interactions between kinematic cue usage, and situational probability/contextual information. This is discussed more in section 5.4.3.</w:t>
      </w:r>
      <w:r w:rsidR="00042B16" w:rsidRPr="00341B41">
        <w:t xml:space="preserve"> </w:t>
      </w:r>
    </w:p>
    <w:p w14:paraId="160C5156" w14:textId="2AF6C6AB" w:rsidR="00803402" w:rsidRPr="00341B41" w:rsidRDefault="00CE520B" w:rsidP="00376A4F">
      <w:pPr>
        <w:ind w:firstLine="720"/>
      </w:pPr>
      <w:r w:rsidRPr="00341B41">
        <w:t xml:space="preserve">Theories of action understanding are still unclear on the exact role of the sensorimotor system. Whilst the findings do fit with an </w:t>
      </w:r>
      <w:proofErr w:type="spellStart"/>
      <w:r w:rsidRPr="00341B41">
        <w:t>hMNS</w:t>
      </w:r>
      <w:proofErr w:type="spellEnd"/>
      <w:r w:rsidRPr="00341B41">
        <w:t xml:space="preserve"> account of action understanding, such a conclusion is unwarranted on the basis of a lack of an action execution condition in any of the experiments performed </w:t>
      </w:r>
      <w:r w:rsidRPr="00341B41">
        <w:fldChar w:fldCharType="begin" w:fldLock="1"/>
      </w:r>
      <w:r w:rsidR="007A7E98" w:rsidRPr="00341B41">
        <w:instrText>ADDIN CSL_CITATION { "citationItems" : [ { "id" : "ITEM-1", "itemData" : { "DOI" : "10.1016/j.cortex.2017.03.025", "ISSN" : "00109452", "author" : [ { "dropping-particle" : "", "family" : "Bowman", "given" : "Lindsay C.", "non-dropping-particle" : "", "parse-names" : false, "suffix" : "" }, { "dropping-particle" : "", "family" : "Bakermans-Kranenburg", "given" : "Marian J.", "non-dropping-particle" : "", "parse-names" : false, "suffix" : "" }, { "dropping-particle" : "", "family" : "Yoo", "given" : "Kathryn H.", "non-dropping-particle" : "", "parse-names" : false, "suffix" : "" }, { "dropping-particle" : "", "family" : "Cannon", "given" : "Erin N.", "non-dropping-particle" : "", "parse-names" : false, "suffix" : "" }, { "dropping-particle" : "", "family" : "Vanderwert", "given" : "Ross E.", "non-dropping-particle" : "", "parse-names" : false, "suffix" : "" }, { "dropping-particle" : "", "family" : "Ferrari", "given" : "Pier", "non-dropping-particle" : "", "parse-names" : false, "suffix" : "" }, { "dropping-particle" : "", "family" : "IJzendoorn", "given" : "Marinus H.", "non-dropping-particle" : "van", "parse-names" : false, "suffix" : "" }, { "dropping-particle" : "", "family" : "Fox", "given" : "Nathan A.", "non-dropping-particle" : "", "parse-names" : false, "suffix" : "" } ], "container-title" : "Cortex", "id" : "ITEM-1", "issued" : { "date-parts" : [ [ "2017" ] ] }, "publisher" : "Elsevier Ltd", "title" : "The mu-rhythm can mirror: Insights from experimental design, and looking past the controversy", "type" : "article-journal" }, "uris" : [ "http://www.mendeley.com/documents/?uuid=c5b19881-c5be-48e9-a46d-c07a47c10de8" ] } ], "mendeley" : { "formattedCitation" : "(Bowman et al., 2017)", "plainTextFormattedCitation" : "(Bowman et al., 2017)", "previouslyFormattedCitation" : "(Bowman et al., 2017)" }, "properties" : { "noteIndex" : 0 }, "schema" : "https://github.com/citation-style-language/schema/raw/master/csl-citation.json" }</w:instrText>
      </w:r>
      <w:r w:rsidRPr="00341B41">
        <w:fldChar w:fldCharType="separate"/>
      </w:r>
      <w:r w:rsidRPr="00341B41">
        <w:rPr>
          <w:noProof/>
        </w:rPr>
        <w:t>(Bowman et al., 2017)</w:t>
      </w:r>
      <w:r w:rsidRPr="00341B41">
        <w:fldChar w:fldCharType="end"/>
      </w:r>
      <w:r w:rsidR="009C177D" w:rsidRPr="00341B41">
        <w:t xml:space="preserve">. </w:t>
      </w:r>
      <w:r w:rsidR="00FF3C4D" w:rsidRPr="00341B41">
        <w:t>Whilst it has been shown the sensorimotor system is engaged during action observation, without a comparison action execution condition it is not possible to say that there was any neural ‘mirroring’ occurring in the observation period.</w:t>
      </w:r>
      <w:r w:rsidR="00803402" w:rsidRPr="00341B41">
        <w:t xml:space="preserve"> The results that mu ERD did differentiate between experienced and less experienced participants (Chapters 3 &amp; 4) but did not differ between correct and incorrect anticipations</w:t>
      </w:r>
      <w:r w:rsidR="006B41D2" w:rsidRPr="00341B41">
        <w:t xml:space="preserve"> (Chapter 5)</w:t>
      </w:r>
      <w:r w:rsidR="00803402" w:rsidRPr="00341B41">
        <w:t xml:space="preserve"> may be due to the fact that mu ERD reflects the strength of associations between sensory and motor associations, as proposed by the associative hypothesis </w:t>
      </w:r>
      <w:r w:rsidR="00803402" w:rsidRPr="00341B41">
        <w:fldChar w:fldCharType="begin" w:fldLock="1"/>
      </w:r>
      <w:r w:rsidR="00FF77FE" w:rsidRPr="00341B41">
        <w:instrText>ADDIN CSL_CITATION { "citationItems" : [ { "id" : "ITEM-1", "itemData" : { "DOI" : "10.1016/j.neubiorev.2009.11.007", "ISBN" : "1873-7528 (Electronic)\\r0149-7634 (Linking)", "ISSN" : "01497634", "PMID" : "19914284", "abstract" : "Debates about the evolution of the 'mirror neuron system' imply that it is an adaptation for action understanding. Alternatively, mirror neurons may be a byproduct of associative learning. Here I argue that the adaptation and associative hypotheses both offer plausible accounts of the origin of mirror neurons, but the associative hypothesis has three advantages. First, it provides a straightforward, testable explanation for the differences between monkeys and humans that have led some researchers to question the existence of a mirror neuron system. Second, it is consistent with emerging evidence that mirror neurons contribute to a range of social cognitive functions, but do not play a dominant, specialised role in action understanding. Finally, the associative hypothesis is supported by recent data showing that, even in adulthood, the mirror neuron system can be transformed by sensorimotor learning. The associative account implies that mirror neurons come from sensorimotor experience, and that much of this experience is obtained through interaction with others. Therefore, if the associative account is correct, the mirror neuron system is a product, as well as a process, of social interaction. \u00a9 2009 Elsevier Ltd.", "author" : [ { "dropping-particle" : "", "family" : "Heyes", "given" : "Cecilia", "non-dropping-particle" : "", "parse-names" : false, "suffix" : "" } ], "container-title" : "Neuroscience and Biobehavioral Reviews", "id" : "ITEM-1", "issue" : "4", "issued" : { "date-parts" : [ [ "2010" ] ] }, "page" : "575-583", "publisher" : "Elsevier Ltd", "title" : "Where do mirror neurons come from?", "type" : "article-journal", "volume" : "34" }, "uris" : [ "http://www.mendeley.com/documents/?uuid=030bf6cf-472b-4935-9b66-be3c085dcb45" ] } ], "mendeley" : { "formattedCitation" : "(Heyes, 2010b)", "plainTextFormattedCitation" : "(Heyes, 2010b)", "previouslyFormattedCitation" : "(Heyes, 2010b)" }, "properties" : { "noteIndex" : 0 }, "schema" : "https://github.com/citation-style-language/schema/raw/master/csl-citation.json" }</w:instrText>
      </w:r>
      <w:r w:rsidR="00803402" w:rsidRPr="00341B41">
        <w:fldChar w:fldCharType="separate"/>
      </w:r>
      <w:r w:rsidR="00803402" w:rsidRPr="00341B41">
        <w:rPr>
          <w:noProof/>
        </w:rPr>
        <w:t>(Heyes, 2010b)</w:t>
      </w:r>
      <w:r w:rsidR="00803402" w:rsidRPr="00341B41">
        <w:fldChar w:fldCharType="end"/>
      </w:r>
      <w:r w:rsidR="006B41D2" w:rsidRPr="00341B41">
        <w:t>. This theory suggests that motor activity during action observation does not aid in action understand</w:t>
      </w:r>
      <w:r w:rsidR="00376A4F" w:rsidRPr="00341B41">
        <w:t>ing, which could explain why the mu ERD did not differ between trials where the participant understood the observed action (as indexed by the fact that they anticipated correctly), and trials where the participant did not understand the action.</w:t>
      </w:r>
    </w:p>
    <w:p w14:paraId="20DBF672" w14:textId="01499525" w:rsidR="00347D20" w:rsidRPr="00341B41" w:rsidRDefault="00347D20" w:rsidP="00803402">
      <w:pPr>
        <w:ind w:firstLine="720"/>
      </w:pPr>
      <w:r w:rsidRPr="00341B41">
        <w:t xml:space="preserve">One of the reasons for using EEG as the methodology to assess </w:t>
      </w:r>
      <w:r w:rsidR="00042B16" w:rsidRPr="00341B41">
        <w:t>sensorimotor</w:t>
      </w:r>
      <w:r w:rsidRPr="00341B41">
        <w:t xml:space="preserve"> activity rather than fMRI, as has been used in the action anticipation literature to date, is the precise temporal resolution that EEG offers. If the </w:t>
      </w:r>
      <w:r w:rsidR="00042B16" w:rsidRPr="00341B41">
        <w:t>sensorimotor system</w:t>
      </w:r>
      <w:r w:rsidRPr="00341B41">
        <w:t xml:space="preserve"> is involved in facilitating anticipation, it needs to be engaged early enough in the act</w:t>
      </w:r>
      <w:r w:rsidR="00752D49" w:rsidRPr="00341B41">
        <w:t xml:space="preserve">ion sequence in order </w:t>
      </w:r>
      <w:r w:rsidR="00752D49" w:rsidRPr="00341B41">
        <w:lastRenderedPageBreak/>
        <w:t xml:space="preserve">to aid in predicting </w:t>
      </w:r>
      <w:r w:rsidRPr="00341B41">
        <w:t xml:space="preserve">overall action outcome. fMRI is not able to show exactly when neural activity occurs. Previous EEG studies of expertise-related </w:t>
      </w:r>
      <w:r w:rsidR="00042B16" w:rsidRPr="00341B41">
        <w:t>sensorimotor</w:t>
      </w:r>
      <w:r w:rsidRPr="00341B41">
        <w:t xml:space="preserve"> activity typically have used long action observation periods without an anticipation requirement. Therefore, the particularly short time window for observation, and the focus on anticipation represents a novel aspect of th</w:t>
      </w:r>
      <w:r w:rsidR="00E6379E" w:rsidRPr="00341B41">
        <w:t>is work. It was</w:t>
      </w:r>
      <w:r w:rsidRPr="00341B41">
        <w:t xml:space="preserve"> shown that </w:t>
      </w:r>
      <w:r w:rsidR="00E6379E" w:rsidRPr="00341B41">
        <w:t>sensorimotor</w:t>
      </w:r>
      <w:r w:rsidRPr="00341B41">
        <w:t xml:space="preserve"> engagement occurred earlier in the experienced group, with group differences emerging between 100-500ms after the start of the action.</w:t>
      </w:r>
      <w:r w:rsidR="00E6379E" w:rsidRPr="00341B41">
        <w:t xml:space="preserve"> This 400ms range represents a relatively large time period in EEG. It is possible this is due to individual variability in the onset of motor system activity.</w:t>
      </w:r>
      <w:r w:rsidRPr="00341B41">
        <w:t xml:space="preserve"> In the </w:t>
      </w:r>
      <w:r w:rsidR="00E6379E" w:rsidRPr="00341B41">
        <w:t>experienced</w:t>
      </w:r>
      <w:r w:rsidRPr="00341B41">
        <w:t xml:space="preserve"> group, it also appears that mu ERD gets greater as the action develops, with the greatest amount of ERD at the end of the epoch. Whilst more research needs to be conducted to better understand what this indicates, it could reflect the accumulation of incoming kinematic information </w:t>
      </w:r>
      <w:r w:rsidR="003B1B55" w:rsidRPr="00341B41">
        <w:t>that is needed to gain an</w:t>
      </w:r>
      <w:r w:rsidRPr="00341B41">
        <w:t xml:space="preserve"> understanding </w:t>
      </w:r>
      <w:r w:rsidR="00CB6DF1" w:rsidRPr="00341B41">
        <w:t>of the forthcoming action</w:t>
      </w:r>
      <w:r w:rsidRPr="00341B41">
        <w:t xml:space="preserve">. The fact this increasing ERD throughout the epoch appears far greater in the </w:t>
      </w:r>
      <w:r w:rsidR="005253F2" w:rsidRPr="00341B41">
        <w:t>experienced</w:t>
      </w:r>
      <w:r w:rsidRPr="00341B41">
        <w:t xml:space="preserve"> group lends some support to this idea, but designs more specifically targeting this question will need to be conducted to understand this fully. </w:t>
      </w:r>
    </w:p>
    <w:p w14:paraId="1374693F" w14:textId="490A963C" w:rsidR="0016474D" w:rsidRPr="00341B41" w:rsidRDefault="0016474D" w:rsidP="0016474D">
      <w:pPr>
        <w:pStyle w:val="Heading2"/>
      </w:pPr>
      <w:bookmarkStart w:id="120" w:name="_Toc486260900"/>
      <w:r w:rsidRPr="00341B41">
        <w:t>6.3.</w:t>
      </w:r>
      <w:r w:rsidRPr="00341B41">
        <w:tab/>
        <w:t>Application to sports performance</w:t>
      </w:r>
      <w:bookmarkEnd w:id="120"/>
    </w:p>
    <w:p w14:paraId="7B4035C2" w14:textId="58CAB42B" w:rsidR="00965586" w:rsidRPr="00341B41" w:rsidRDefault="00965586" w:rsidP="00965586">
      <w:r w:rsidRPr="00341B41">
        <w:t>As anticipation skill is a key component of expert performance in many sports, there have been some efforts to train anticipation skill, with the aim of improving accuracy</w:t>
      </w:r>
      <w:r w:rsidR="00220B69" w:rsidRPr="00341B41">
        <w:t xml:space="preserve"> and </w:t>
      </w:r>
      <w:r w:rsidR="00866A58" w:rsidRPr="00341B41">
        <w:t>decision-making</w:t>
      </w:r>
      <w:r w:rsidR="00220B69" w:rsidRPr="00341B41">
        <w:t xml:space="preserve"> time</w:t>
      </w:r>
      <w:r w:rsidRPr="00341B41">
        <w:t xml:space="preserve">. A common methodology in training anticipation skill has been in providing feedback during the training period as to the relevant kinematic cues to be focused on by participants </w:t>
      </w:r>
      <w:r w:rsidRPr="00341B41">
        <w:fldChar w:fldCharType="begin" w:fldLock="1"/>
      </w:r>
      <w:r w:rsidR="006651DC" w:rsidRPr="00341B41">
        <w:instrText>ADDIN CSL_CITATION { "citationItems" : [ { "id" : "ITEM-1", "itemData" : { "DOI" : "10.1080/02701367.2003.10609068", "ISBN" : "0270-1367", "ISSN" : "0270-1367", "PMID" : "12659480", "author" : [ { "dropping-particle" : "", "family" : "Williams", "given" : "Andrew Mark", "non-dropping-particle" : "", "parse-names" : false, "suffix" : "" }, { "dropping-particle" : "", "family" : "Ward", "given" : "Paul", "non-dropping-particle" : "", "parse-names" : false, "suffix" : "" }, { "dropping-particle" : "", "family" : "Chapman", "given" : "Ceri", "non-dropping-particle" : "", "parse-names" : false, "suffix" : "" } ], "container-title" : "Research Quarterly for Exercise and Sport", "id" : "ITEM-1", "issue" : "1", "issued" : { "date-parts" : [ [ "2003" ] ] }, "page" : "98-103", "title" : "Training perceptual skill in field hockey: Is there transfer from the laboratory to the field?", "type" : "article-journal", "volume" : "74" }, "uris" : [ "http://www.mendeley.com/documents/?uuid=cc662b46-6ee8-464f-92c9-7ce7e6e04902" ] } ], "mendeley" : { "formattedCitation" : "(Williams, Ward, &amp; Chapman, 2003)", "manualFormatting" : "(Williams, Ward, &amp; Chapman, 2003)", "plainTextFormattedCitation" : "(Williams, Ward, &amp; Chapman, 2003)", "previouslyFormattedCitation" : "(Williams, Ward, &amp; Chapman, 2003)" }, "properties" : { "noteIndex" : 0 }, "schema" : "https://github.com/citation-style-language/schema/raw/master/csl-citation.json" }</w:instrText>
      </w:r>
      <w:r w:rsidRPr="00341B41">
        <w:fldChar w:fldCharType="separate"/>
      </w:r>
      <w:r w:rsidRPr="00341B41">
        <w:rPr>
          <w:noProof/>
        </w:rPr>
        <w:t>(Williams, Ward, &amp; Chapman, 2003)</w:t>
      </w:r>
      <w:r w:rsidRPr="00341B41">
        <w:fldChar w:fldCharType="end"/>
      </w:r>
      <w:r w:rsidRPr="00341B41">
        <w:t xml:space="preserve">. Studies in field hockey </w:t>
      </w:r>
      <w:r w:rsidRPr="00341B41">
        <w:fldChar w:fldCharType="begin" w:fldLock="1"/>
      </w:r>
      <w:r w:rsidR="006651DC" w:rsidRPr="00341B41">
        <w:instrText>ADDIN CSL_CITATION { "citationItems" : [ { "id" : "ITEM-1", "itemData" : { "DOI" : "10.1080/02701367.2003.10609068", "ISBN" : "0270-1367", "ISSN" : "0270-1367", "PMID" : "12659480", "author" : [ { "dropping-particle" : "", "family" : "Williams", "given" : "Andrew Mark", "non-dropping-particle" : "", "parse-names" : false, "suffix" : "" }, { "dropping-particle" : "", "family" : "Ward", "given" : "Paul", "non-dropping-particle" : "", "parse-names" : false, "suffix" : "" }, { "dropping-particle" : "", "family" : "Chapman", "given" : "Ceri", "non-dropping-particle" : "", "parse-names" : false, "suffix" : "" } ], "container-title" : "Research Quarterly for Exercise and Sport", "id" : "ITEM-1", "issue" : "1", "issued" : { "date-parts" : [ [ "2003" ] ] }, "page" : "98-103", "title" : "Training perceptual skill in field hockey: Is there transfer from the laboratory to the field?", "type" : "article-journal", "volume" : "74" }, "uris" : [ "http://www.mendeley.com/documents/?uuid=cc662b46-6ee8-464f-92c9-7ce7e6e04902" ] } ], "mendeley" : { "formattedCitation" : "(Williams et al., 2003)", "manualFormatting" : "(Williams et al., 2003)", "plainTextFormattedCitation" : "(Williams et al., 2003)", "previouslyFormattedCitation" : "(Williams et al., 2003)" }, "properties" : { "noteIndex" : 0 }, "schema" : "https://github.com/citation-style-language/schema/raw/master/csl-citation.json" }</w:instrText>
      </w:r>
      <w:r w:rsidRPr="00341B41">
        <w:fldChar w:fldCharType="separate"/>
      </w:r>
      <w:r w:rsidRPr="00341B41">
        <w:rPr>
          <w:noProof/>
        </w:rPr>
        <w:t>(Williams et al., 2003)</w:t>
      </w:r>
      <w:r w:rsidRPr="00341B41">
        <w:fldChar w:fldCharType="end"/>
      </w:r>
      <w:r w:rsidRPr="00341B41">
        <w:t xml:space="preserve">, and tennis </w:t>
      </w:r>
      <w:r w:rsidRPr="00341B41">
        <w:fldChar w:fldCharType="begin" w:fldLock="1"/>
      </w:r>
      <w:r w:rsidR="006651DC" w:rsidRPr="00341B41">
        <w:instrText>ADDIN CSL_CITATION { "citationItems" : [ { "id" : "ITEM-1", "itemData" : { "DOI" : "10.1037/1076-898X.8.4.259", "ISBN" : "1076-898X (Print)\\r1076-898X (Linking)", "ISSN" : "1076-898X", "PMID" : "12570100", "abstract" : "Anticipation skill in tennis was examined using realistic film simulations, movement-based response measures, and a portable eye movement recording system. Skilled players were faster than their less skilled counterparts in anticipating the direction of opponents' tennis strokes, with this superior performance being based, at least in part, on more effective visual search behaviors. The processes mediating superior performance were then modeled in groups of recreational tennis players using video simulation, instruction, and feedback. Players who received perceptual training improved their performance on laboratory- and field-based tests of anticipation when compared with matched placebo and control groups that did not receive any instruction regarding expert performance strategies. The approach used may have practical utility in a variety of performance contexts.", "author" : [ { "dropping-particle" : "", "family" : "Williams", "given" : "Andrew Mark", "non-dropping-particle" : "", "parse-names" : false, "suffix" : "" }, { "dropping-particle" : "", "family" : "Ward", "given" : "Paul", "non-dropping-particle" : "", "parse-names" : false, "suffix" : "" }, { "dropping-particle" : "", "family" : "Knowles", "given" : "John M", "non-dropping-particle" : "", "parse-names" : false, "suffix" : "" }, { "dropping-particle" : "", "family" : "Smeeton", "given" : "Nicholas J", "non-dropping-particle" : "", "parse-names" : false, "suffix" : "" } ], "container-title" : "Journal of Experimental Psychology: Applied", "id" : "ITEM-1", "issue" : "4", "issued" : { "date-parts" : [ [ "2002" ] ] }, "page" : "259-270", "title" : "Anticipation skill in a real-world task: measurement, training, and transfer in tennis.", "type" : "article-journal", "volume" : "8" }, "uris" : [ "http://www.mendeley.com/documents/?uuid=e7cf9d12-fb30-4dde-916a-f579f483fa71" ] }, { "id" : "ITEM-2", "itemData" : { "DOI" : "10.1037/1076-898X.11.2.98", "ISBN" : "1076898X", "ISSN" : "1076-898X", "PMID" : "15998182", "abstract" : "The relative effectiveness of explicit instruction, guided discovery, and discovery learning techniques in enhancing anticipation skill in young, intermediate-level tennis players was examined. Performance was assessed pre- and postintervention, during acquisition, and under transfer conditions designed to elicit anxiety through the use of laboratory and on-court measures. The 3 intervention groups improved from pre- to posttest compared with a control group (n = 8), highlighting the benefits of perceptual-cognitive training. Participants in the explicit (n = 8) and guided discovery (n = 10) groups improved their performance during acquisition at a faster rate than did the discovery learning (n = 7) group. However, the explicit group showed a significant decrement in performance when tested under anxiety provoking conditions compared with the guided discovery and discovery learning groups. Although training facilitated anticipation skill, irrespective of the type of instruction used in this experiment, guided discovery methods are recommended for expediency in learning and resilience under pressure.", "author" : [ { "dropping-particle" : "", "family" : "Smeeton", "given" : "Nicholas J", "non-dropping-particle" : "", "parse-names" : false, "suffix" : "" }, { "dropping-particle" : "", "family" : "Williams", "given" : "Andrew Mark", "non-dropping-particle" : "", "parse-names" : false, "suffix" : "" }, { "dropping-particle" : "", "family" : "Hodges", "given" : "Nicola J", "non-dropping-particle" : "", "parse-names" : false, "suffix" : "" }, { "dropping-particle" : "", "family" : "Ward", "given" : "Paul", "non-dropping-particle" : "", "parse-names" : false, "suffix" : "" } ], "container-title" : "Journal of Experimental Psychology: Applied", "id" : "ITEM-2", "issue" : "2", "issued" : { "date-parts" : [ [ "2005" ] ] }, "page" : "98-110", "title" : "The relative effectiveness of various instructional approaches in developing anticipation skill.", "type" : "article-journal", "volume" : "11" }, "uris" : [ "http://www.mendeley.com/documents/?uuid=9ea36aa8-bf7d-44eb-b746-ab90c19bb69e" ] } ], "mendeley" : { "formattedCitation" : "(Smeeton, Williams, Hodges, &amp; Ward, 2005; Williams, Ward, Knowles, &amp; Smeeton, 2002)", "manualFormatting" : "(Smeeton, Williams, Hodges, &amp; Ward, 2005; Williams, Ward, Knowles, &amp; Smeeton, 2002)", "plainTextFormattedCitation" : "(Smeeton, Williams, Hodges, &amp; Ward, 2005; Williams, Ward, Knowles, &amp; Smeeton, 2002)", "previouslyFormattedCitation" : "(Smeeton, Williams, Hodges, &amp; Ward, 2005; Williams, Ward, Knowles, &amp; Smeeton, 2002)" }, "properties" : { "noteIndex" : 0 }, "schema" : "https://github.com/citation-style-language/schema/raw/master/csl-citation.json" }</w:instrText>
      </w:r>
      <w:r w:rsidRPr="00341B41">
        <w:fldChar w:fldCharType="separate"/>
      </w:r>
      <w:r w:rsidRPr="00341B41">
        <w:rPr>
          <w:noProof/>
        </w:rPr>
        <w:t>(Smeeton, Williams, Hodges, &amp; Ward, 2005; Williams, Ward, Knowles, &amp; Smeeton, 2002)</w:t>
      </w:r>
      <w:r w:rsidRPr="00341B41">
        <w:fldChar w:fldCharType="end"/>
      </w:r>
      <w:r w:rsidRPr="00341B41">
        <w:t xml:space="preserve"> have shown that explicit training on the recognition of </w:t>
      </w:r>
      <w:r w:rsidRPr="00341B41">
        <w:lastRenderedPageBreak/>
        <w:t xml:space="preserve">specific cues and how they relate to outcome have been shown to improve decision-making time. </w:t>
      </w:r>
    </w:p>
    <w:p w14:paraId="525E68A1" w14:textId="79729450" w:rsidR="00965586" w:rsidRPr="00341B41" w:rsidRDefault="00965586" w:rsidP="00965586">
      <w:pPr>
        <w:ind w:firstLine="720"/>
      </w:pPr>
      <w:r w:rsidRPr="00341B41">
        <w:t xml:space="preserve">Studies also assessed the effectiveness of guided discovery, whereby participants are directed to the correct cues, but are not given explicit instructions on how they relate to shot outcome. Guided discovery training shows similar outcomes to explicit training </w:t>
      </w:r>
      <w:r w:rsidRPr="00341B41">
        <w:fldChar w:fldCharType="begin" w:fldLock="1"/>
      </w:r>
      <w:r w:rsidR="006651DC" w:rsidRPr="00341B41">
        <w:instrText>ADDIN CSL_CITATION { "citationItems" : [ { "id" : "ITEM-1", "itemData" : { "DOI" : "10.1037/1076-898X.8.4.259", "ISBN" : "1076-898X (Print)\\r1076-898X (Linking)", "ISSN" : "1076-898X", "PMID" : "12570100", "abstract" : "Anticipation skill in tennis was examined using realistic film simulations, movement-based response measures, and a portable eye movement recording system. Skilled players were faster than their less skilled counterparts in anticipating the direction of opponents' tennis strokes, with this superior performance being based, at least in part, on more effective visual search behaviors. The processes mediating superior performance were then modeled in groups of recreational tennis players using video simulation, instruction, and feedback. Players who received perceptual training improved their performance on laboratory- and field-based tests of anticipation when compared with matched placebo and control groups that did not receive any instruction regarding expert performance strategies. The approach used may have practical utility in a variety of performance contexts.", "author" : [ { "dropping-particle" : "", "family" : "Williams", "given" : "Andrew Mark", "non-dropping-particle" : "", "parse-names" : false, "suffix" : "" }, { "dropping-particle" : "", "family" : "Ward", "given" : "Paul", "non-dropping-particle" : "", "parse-names" : false, "suffix" : "" }, { "dropping-particle" : "", "family" : "Knowles", "given" : "John M", "non-dropping-particle" : "", "parse-names" : false, "suffix" : "" }, { "dropping-particle" : "", "family" : "Smeeton", "given" : "Nicholas J", "non-dropping-particle" : "", "parse-names" : false, "suffix" : "" } ], "container-title" : "Journal of Experimental Psychology: Applied", "id" : "ITEM-1", "issue" : "4", "issued" : { "date-parts" : [ [ "2002" ] ] }, "page" : "259-270", "title" : "Anticipation skill in a real-world task: measurement, training, and transfer in tennis.", "type" : "article-journal", "volume" : "8" }, "uris" : [ "http://www.mendeley.com/documents/?uuid=e7cf9d12-fb30-4dde-916a-f579f483fa71" ] } ], "mendeley" : { "formattedCitation" : "(Williams et al., 2002)", "manualFormatting" : "(Williams et al., 2002)", "plainTextFormattedCitation" : "(Williams et al., 2002)", "previouslyFormattedCitation" : "(Williams et al., 2002)" }, "properties" : { "noteIndex" : 0 }, "schema" : "https://github.com/citation-style-language/schema/raw/master/csl-citation.json" }</w:instrText>
      </w:r>
      <w:r w:rsidRPr="00341B41">
        <w:fldChar w:fldCharType="separate"/>
      </w:r>
      <w:r w:rsidRPr="00341B41">
        <w:rPr>
          <w:noProof/>
        </w:rPr>
        <w:t>(Williams et al., 2002)</w:t>
      </w:r>
      <w:r w:rsidRPr="00341B41">
        <w:fldChar w:fldCharType="end"/>
      </w:r>
      <w:r w:rsidRPr="00341B41">
        <w:t xml:space="preserve">, but improved decision making time in a match situation where the player is feeling anxious </w:t>
      </w:r>
      <w:r w:rsidRPr="00341B41">
        <w:fldChar w:fldCharType="begin" w:fldLock="1"/>
      </w:r>
      <w:r w:rsidRPr="00341B41">
        <w:instrText>ADDIN CSL_CITATION { "citationItems" : [ { "id" : "ITEM-1", "itemData" : { "DOI" : "10.1037/1076-898X.11.2.98", "ISBN" : "1076898X", "ISSN" : "1076-898X", "PMID" : "15998182", "abstract" : "The relative effectiveness of explicit instruction, guided discovery, and discovery learning techniques in enhancing anticipation skill in young, intermediate-level tennis players was examined. Performance was assessed pre- and postintervention, during acquisition, and under transfer conditions designed to elicit anxiety through the use of laboratory and on-court measures. The 3 intervention groups improved from pre- to posttest compared with a control group (n = 8), highlighting the benefits of perceptual-cognitive training. Participants in the explicit (n = 8) and guided discovery (n = 10) groups improved their performance during acquisition at a faster rate than did the discovery learning (n = 7) group. However, the explicit group showed a significant decrement in performance when tested under anxiety provoking conditions compared with the guided discovery and discovery learning groups. Although training facilitated anticipation skill, irrespective of the type of instruction used in this experiment, guided discovery methods are recommended for expediency in learning and resilience under pressure.", "author" : [ { "dropping-particle" : "", "family" : "Smeeton", "given" : "Nicholas J", "non-dropping-particle" : "", "parse-names" : false, "suffix" : "" }, { "dropping-particle" : "", "family" : "Williams", "given" : "Andrew Mark", "non-dropping-particle" : "", "parse-names" : false, "suffix" : "" }, { "dropping-particle" : "", "family" : "Hodges", "given" : "Nicola J", "non-dropping-particle" : "", "parse-names" : false, "suffix" : "" }, { "dropping-particle" : "", "family" : "Ward", "given" : "Paul", "non-dropping-particle" : "", "parse-names" : false, "suffix" : "" } ], "container-title" : "Journal of Experimental Psychology: Applied", "id" : "ITEM-1", "issue" : "2", "issued" : { "date-parts" : [ [ "2005" ] ] }, "page" : "98-110", "title" : "The relative effectiveness of various instructional approaches in developing anticipation skill.", "type" : "article-journal", "volume" : "11" }, "uris" : [ "http://www.mendeley.com/documents/?uuid=9ea36aa8-bf7d-44eb-b746-ab90c19bb69e" ] } ], "mendeley" : { "formattedCitation" : "(Smeeton et al., 2005)", "plainTextFormattedCitation" : "(Smeeton et al., 2005)", "previouslyFormattedCitation" : "(Smeeton et al., 2005)" }, "properties" : { "noteIndex" : 0 }, "schema" : "https://github.com/citation-style-language/schema/raw/master/csl-citation.json" }</w:instrText>
      </w:r>
      <w:r w:rsidRPr="00341B41">
        <w:fldChar w:fldCharType="separate"/>
      </w:r>
      <w:r w:rsidRPr="00341B41">
        <w:rPr>
          <w:noProof/>
        </w:rPr>
        <w:t>(Smeeton et al., 2005)</w:t>
      </w:r>
      <w:r w:rsidRPr="00341B41">
        <w:fldChar w:fldCharType="end"/>
      </w:r>
      <w:r w:rsidRPr="00341B41">
        <w:t xml:space="preserve">. In a study using implicit training, where participants were asked to anticipate serve speed without any explicit instructions, there was improved anticipation accuracy compared to explicit training </w:t>
      </w:r>
      <w:r w:rsidRPr="00341B41">
        <w:fldChar w:fldCharType="begin" w:fldLock="1"/>
      </w:r>
      <w:r w:rsidRPr="00341B41">
        <w:instrText>ADDIN CSL_CITATION { "citationItems" : [ { "id" : "ITEM-1", "itemData" : { "DOI" : "10.1080/02640410252925143", "ISBN" : "0264-0414", "ISSN" : "0264-0414", "PMID" : "12137177", "abstract" : "The aim of this experiment was to determine the effectiveness of two video-based perceptual training approaches designed to improve the anticipatory skills of junior tennis players. Players were assigned equally to an explicit learning group, an implicit learning group, a placebo group or a control group. A progressive temporal occlusion paradigm was used to examine, before and after training, the ability of the players to predict the direction of an opponent's service in an in-vivo on-court setting. The players responded either through hitting a return stroke or making a verbal prediction of stroke direction. Results revealed that the implicit learning group, whose training required them to predict serve speed direction while viewing temporally occluded video footage of the return-of-serve scenario, significantly improved their prediction accuracy after the training intervention. However, this training effect dissipated after a 32 day unfilled retention interval. The explicit learning group, who received instructions about the specific aspects of the pre-contact service kinematics that are informative with respect to service direction, did not demonstrate any significant performance improvements after the intervention. This, together with the absence of any significant improvements for the placebo and control groups, demonstrated that the improvement observed for the implicit learning group was not a consequence of either expectancy or familiarity effects.", "author" : [ { "dropping-particle" : "", "family" : "Farrow", "given" : "Damian", "non-dropping-particle" : "", "parse-names" : false, "suffix" : "" }, { "dropping-particle" : "", "family" : "Abernethy", "given" : "Bruce", "non-dropping-particle" : "", "parse-names" : false, "suffix" : "" } ], "container-title" : "Journal of Sports Sciences", "id" : "ITEM-1", "issue" : "6", "issued" : { "date-parts" : [ [ "2002" ] ] }, "page" : "471-485", "title" : "Can anticipatory skills be learned through implicit video-based perceptual training?", "type" : "article-journal", "volume" : "20" }, "uris" : [ "http://www.mendeley.com/documents/?uuid=048bb676-5fbc-41f2-859a-421e8cc3b7d8" ] } ], "mendeley" : { "formattedCitation" : "(Farrow &amp; Abernethy, 2002)", "plainTextFormattedCitation" : "(Farrow &amp; Abernethy, 2002)", "previouslyFormattedCitation" : "(Farrow &amp; Abernethy, 2002)" }, "properties" : { "noteIndex" : 0 }, "schema" : "https://github.com/citation-style-language/schema/raw/master/csl-citation.json" }</w:instrText>
      </w:r>
      <w:r w:rsidRPr="00341B41">
        <w:fldChar w:fldCharType="separate"/>
      </w:r>
      <w:r w:rsidRPr="00341B41">
        <w:rPr>
          <w:noProof/>
        </w:rPr>
        <w:t>(Farrow &amp; Abernethy, 2002)</w:t>
      </w:r>
      <w:r w:rsidRPr="00341B41">
        <w:fldChar w:fldCharType="end"/>
      </w:r>
      <w:r w:rsidRPr="00341B41">
        <w:t xml:space="preserve">. However, any improvements were lost 32 days later, likely due to the participants failing to keep up with training. </w:t>
      </w:r>
    </w:p>
    <w:p w14:paraId="4E9601FF" w14:textId="7C03AF57" w:rsidR="000950D6" w:rsidRPr="00341B41" w:rsidRDefault="00965586" w:rsidP="000950D6">
      <w:pPr>
        <w:ind w:firstLine="720"/>
      </w:pPr>
      <w:r w:rsidRPr="00341B41">
        <w:t>This thesis suggests that activity in the sensorimotor system is important in facilitating anticipation skill, and as such any paradigm designed for training anticipation skill should look to improve the</w:t>
      </w:r>
      <w:r w:rsidR="00F530A7" w:rsidRPr="00341B41">
        <w:t xml:space="preserve"> engagement of this system </w:t>
      </w:r>
      <w:r w:rsidR="000950D6" w:rsidRPr="00341B41">
        <w:t xml:space="preserve">during action observation. This may be achieved by improving </w:t>
      </w:r>
      <w:r w:rsidR="00D7002B" w:rsidRPr="00341B41">
        <w:t>the</w:t>
      </w:r>
      <w:r w:rsidRPr="00341B41">
        <w:t xml:space="preserve"> accuracy of the kinematic model generated whilst observing the action.</w:t>
      </w:r>
      <w:r w:rsidR="00D7002B" w:rsidRPr="00341B41">
        <w:t xml:space="preserve"> Another possibility is that it may strengthen sensory and motor connections. </w:t>
      </w:r>
      <w:r w:rsidRPr="00341B41">
        <w:t xml:space="preserve">In their study of implicit training methods, the authors suggest </w:t>
      </w:r>
      <w:r w:rsidR="00AE2F04" w:rsidRPr="00341B41">
        <w:t>their</w:t>
      </w:r>
      <w:r w:rsidRPr="00341B41">
        <w:t xml:space="preserve"> method encouraged </w:t>
      </w:r>
      <w:r w:rsidRPr="00341B41">
        <w:rPr>
          <w:rFonts w:cs="Times New Roman"/>
        </w:rPr>
        <w:t xml:space="preserve">participants to closely monitor the kinematics of the serve, and that implicitly the participants would learn the kinematic relationships </w:t>
      </w:r>
      <w:r w:rsidRPr="00341B41">
        <w:rPr>
          <w:rFonts w:cs="Times New Roman"/>
        </w:rPr>
        <w:fldChar w:fldCharType="begin" w:fldLock="1"/>
      </w:r>
      <w:r w:rsidRPr="00341B41">
        <w:rPr>
          <w:rFonts w:cs="Times New Roman"/>
        </w:rPr>
        <w:instrText>ADDIN CSL_CITATION { "citationItems" : [ { "id" : "ITEM-1", "itemData" : { "DOI" : "10.1080/02640410252925143", "ISBN" : "0264-0414", "ISSN" : "0264-0414", "PMID" : "12137177", "abstract" : "The aim of this experiment was to determine the effectiveness of two video-based perceptual training approaches designed to improve the anticipatory skills of junior tennis players. Players were assigned equally to an explicit learning group, an implicit learning group, a placebo group or a control group. A progressive temporal occlusion paradigm was used to examine, before and after training, the ability of the players to predict the direction of an opponent's service in an in-vivo on-court setting. The players responded either through hitting a return stroke or making a verbal prediction of stroke direction. Results revealed that the implicit learning group, whose training required them to predict serve speed direction while viewing temporally occluded video footage of the return-of-serve scenario, significantly improved their prediction accuracy after the training intervention. However, this training effect dissipated after a 32 day unfilled retention interval. The explicit learning group, who received instructions about the specific aspects of the pre-contact service kinematics that are informative with respect to service direction, did not demonstrate any significant performance improvements after the intervention. This, together with the absence of any significant improvements for the placebo and control groups, demonstrated that the improvement observed for the implicit learning group was not a consequence of either expectancy or familiarity effects.", "author" : [ { "dropping-particle" : "", "family" : "Farrow", "given" : "Damian", "non-dropping-particle" : "", "parse-names" : false, "suffix" : "" }, { "dropping-particle" : "", "family" : "Abernethy", "given" : "Bruce", "non-dropping-particle" : "", "parse-names" : false, "suffix" : "" } ], "container-title" : "Journal of Sports Sciences", "id" : "ITEM-1", "issue" : "6", "issued" : { "date-parts" : [ [ "2002" ] ] }, "page" : "471-485", "title" : "Can anticipatory skills be learned through implicit video-based perceptual training?", "type" : "article-journal", "volume" : "20" }, "uris" : [ "http://www.mendeley.com/documents/?uuid=048bb676-5fbc-41f2-859a-421e8cc3b7d8" ] } ], "mendeley" : { "formattedCitation" : "(Farrow &amp; Abernethy, 2002)", "plainTextFormattedCitation" : "(Farrow &amp; Abernethy, 2002)", "previouslyFormattedCitation" : "(Farrow &amp; Abernethy, 2002)" }, "properties" : { "noteIndex" : 0 }, "schema" : "https://github.com/citation-style-language/schema/raw/master/csl-citation.json" }</w:instrText>
      </w:r>
      <w:r w:rsidRPr="00341B41">
        <w:rPr>
          <w:rFonts w:cs="Times New Roman"/>
        </w:rPr>
        <w:fldChar w:fldCharType="separate"/>
      </w:r>
      <w:r w:rsidRPr="00341B41">
        <w:rPr>
          <w:rFonts w:cs="Times New Roman"/>
          <w:noProof/>
        </w:rPr>
        <w:t>(Farrow &amp; Abernethy, 2002)</w:t>
      </w:r>
      <w:r w:rsidRPr="00341B41">
        <w:rPr>
          <w:rFonts w:cs="Times New Roman"/>
        </w:rPr>
        <w:fldChar w:fldCharType="end"/>
      </w:r>
      <w:r w:rsidRPr="00341B41">
        <w:rPr>
          <w:rFonts w:cs="Times New Roman"/>
        </w:rPr>
        <w:t>. It is possible that this sort of learning paradigm encouraged participants to comprehend the various information sources, as opposed to merely identifying them, hence the (temporary) improvement in anticipation accuracy.</w:t>
      </w:r>
      <w:r w:rsidR="000950D6" w:rsidRPr="00341B41">
        <w:t xml:space="preserve"> </w:t>
      </w:r>
    </w:p>
    <w:p w14:paraId="7F23F028" w14:textId="3D79D13D" w:rsidR="00C17EFA" w:rsidRPr="00341B41" w:rsidRDefault="00965586" w:rsidP="00C17EFA">
      <w:pPr>
        <w:ind w:firstLine="720"/>
      </w:pPr>
      <w:r w:rsidRPr="00341B41">
        <w:rPr>
          <w:rFonts w:cs="Times New Roman"/>
        </w:rPr>
        <w:lastRenderedPageBreak/>
        <w:t xml:space="preserve">Another consideration is whether it is possible to use EEG data to find specific biomarkers of expert performance that can be used in the selection of emerging talent, and also as a way of identifying weaknesses in an individual player’s performance, right up to the highest levels of the sport </w:t>
      </w:r>
      <w:r w:rsidRPr="00341B41">
        <w:rPr>
          <w:rFonts w:cs="Times New Roman"/>
        </w:rPr>
        <w:fldChar w:fldCharType="begin" w:fldLock="1"/>
      </w:r>
      <w:r w:rsidRPr="00341B41">
        <w:rPr>
          <w:rFonts w:cs="Times New Roman"/>
        </w:rPr>
        <w:instrText>ADDIN CSL_CITATION { "citationItems" : [ { "id" : "ITEM-1", "itemData" : { "DOI" : "10.3389/fpsyg.2016.00246", "ISSN" : "1664-1078", "PMID" : "26955362", "abstract" : "Brain dynamics is at the basis of top performance accomplishment in sports. The search for neural biomarkers of performance remains a challenge in movement science and sport psychology. The non-invasive nature of high-density electroencephalography (EEG) recording has made it a most promising avenue for providing quantitative feedback to practitioners and coaches. Here, we review the current relevance of the main types of EEG oscillations in order to trace a perspective for future practical applications of EEG and event-related potentials (ERP) in sport. In this context, the hypotheses of unified brain rhythms and continuity between wake and sleep states should provide a functional template for EEG biomarkers in sport. The oscillations in the thalamo-cortical and hippocampal circuitry including the physiology of the place cells and the grid cells provide a frame of reference for the analysis of delta, theta, beta, alpha (incl.mu), and gamma oscillations recorded in the space field of human performance. Based on recent neuronal models facilitating the distinction between the different dynamic regimes (selective gating and binding) in these different oscillations we suggest an integrated approach articulating together the classical biomechanical factors (3D movements and EMG) and the high-density EEG and ERP signals to allow finer mathematical analysis to optimize sport performance, such as microstates, coherency/directionality analysis and neural generators.", "author" : [ { "dropping-particle" : "", "family" : "Cheron", "given" : "Guy", "non-dropping-particle" : "", "parse-names" : false, "suffix" : "" }, { "dropping-particle" : "", "family" : "Petit", "given" : "G\u00e9raldine", "non-dropping-particle" : "", "parse-names" : false, "suffix" : "" }, { "dropping-particle" : "", "family" : "Cheron", "given" : "Julian", "non-dropping-particle" : "", "parse-names" : false, "suffix" : "" }, { "dropping-particle" : "", "family" : "Leroy", "given" : "Axelle", "non-dropping-particle" : "", "parse-names" : false, "suffix" : "" }, { "dropping-particle" : "", "family" : "Cebolla", "given" : "Anita", "non-dropping-particle" : "", "parse-names" : false, "suffix" : "" }, { "dropping-particle" : "", "family" : "Cevallos", "given" : "Carlos", "non-dropping-particle" : "", "parse-names" : false, "suffix" : "" }, { "dropping-particle" : "", "family" : "Petieau", "given" : "Mathieu", "non-dropping-particle" : "", "parse-names" : false, "suffix" : "" }, { "dropping-particle" : "", "family" : "Hoellinger", "given" : "Thomas", "non-dropping-particle" : "", "parse-names" : false, "suffix" : "" }, { "dropping-particle" : "", "family" : "Zarka", "given" : "David", "non-dropping-particle" : "", "parse-names" : false, "suffix" : "" }, { "dropping-particle" : "", "family" : "Clarinval", "given" : "Anne-Marie", "non-dropping-particle" : "", "parse-names" : false, "suffix" : "" }, { "dropping-particle" : "", "family" : "Dan", "given" : "Bernard", "non-dropping-particle" : "", "parse-names" : false, "suffix" : "" } ], "container-title" : "Frontiers in Psychology", "id" : "ITEM-1", "issue" : "February", "issued" : { "date-parts" : [ [ "2016" ] ] }, "page" : "246", "title" : "Brain Oscillations in Sport: Toward EEG Biomarkers of Performance", "type" : "article-journal", "volume" : "7" }, "uris" : [ "http://www.mendeley.com/documents/?uuid=2acc289f-d23f-4496-acb9-8cac5d161b1b" ] }, { "id" : "ITEM-2", "itemData" : { "DOI" : "10.3389/fpsyg.2015.01642", "ISSN" : "1664-1078", "author" : [ { "dropping-particle" : "", "family" : "Cheron", "given" : "Guy", "non-dropping-particle" : "", "parse-names" : false, "suffix" : "" } ], "container-title" : "Frontiers in Psychology", "id" : "ITEM-2", "issue" : "October", "issued" : { "date-parts" : [ [ "2015" ] ] }, "page" : "1-6", "title" : "From biomechanics to sport psychology: the current oscillatory approach", "type" : "article-journal", "volume" : "6" }, "uris" : [ "http://www.mendeley.com/documents/?uuid=fa3ea00f-a54c-4f3e-b32e-1e201a66c3a7" ] } ], "mendeley" : { "formattedCitation" : "(Cheron, 2015; Cheron et al., 2016)", "plainTextFormattedCitation" : "(Cheron, 2015; Cheron et al., 2016)", "previouslyFormattedCitation" : "(Cheron, 2015; Cheron et al., 2016)" }, "properties" : { "noteIndex" : 0 }, "schema" : "https://github.com/citation-style-language/schema/raw/master/csl-citation.json" }</w:instrText>
      </w:r>
      <w:r w:rsidRPr="00341B41">
        <w:rPr>
          <w:rFonts w:cs="Times New Roman"/>
        </w:rPr>
        <w:fldChar w:fldCharType="separate"/>
      </w:r>
      <w:r w:rsidRPr="00341B41">
        <w:rPr>
          <w:rFonts w:cs="Times New Roman"/>
          <w:noProof/>
        </w:rPr>
        <w:t>(Cheron, 2015; Cheron et al., 2016)</w:t>
      </w:r>
      <w:r w:rsidRPr="00341B41">
        <w:rPr>
          <w:rFonts w:cs="Times New Roman"/>
        </w:rPr>
        <w:fldChar w:fldCharType="end"/>
      </w:r>
      <w:r w:rsidRPr="00341B41">
        <w:rPr>
          <w:rFonts w:cs="Times New Roman"/>
        </w:rPr>
        <w:t xml:space="preserve">. </w:t>
      </w:r>
      <w:r w:rsidR="00C17EFA" w:rsidRPr="00341B41">
        <w:rPr>
          <w:rFonts w:cs="Times New Roman"/>
        </w:rPr>
        <w:t>The</w:t>
      </w:r>
      <w:r w:rsidR="00D964F7" w:rsidRPr="00341B41">
        <w:rPr>
          <w:rFonts w:cs="Times New Roman"/>
        </w:rPr>
        <w:t xml:space="preserve"> results of this thesis suggest</w:t>
      </w:r>
      <w:r w:rsidR="00C17EFA" w:rsidRPr="00341B41">
        <w:rPr>
          <w:rFonts w:cs="Times New Roman"/>
        </w:rPr>
        <w:t xml:space="preserve"> that players who are better at anticipating an opponent show greater activity in the sensorimotor system. Whether or not this is an accurate or useful biomarker of expert performance should be further addressed in future research. </w:t>
      </w:r>
      <w:r w:rsidRPr="00341B41">
        <w:rPr>
          <w:rFonts w:cs="Times New Roman"/>
        </w:rPr>
        <w:t xml:space="preserve">An initial step could be to employ multivariate pattern analysis (MVPA) methods to EEG data in order to ‘decode’ the information present in the EEG </w:t>
      </w:r>
      <w:r w:rsidRPr="00341B41">
        <w:rPr>
          <w:rFonts w:cs="Times New Roman"/>
        </w:rPr>
        <w:fldChar w:fldCharType="begin" w:fldLock="1"/>
      </w:r>
      <w:r w:rsidRPr="00341B41">
        <w:rPr>
          <w:rFonts w:cs="Times New Roman"/>
        </w:rPr>
        <w:instrText>ADDIN CSL_CITATION { "citationItems" : [ { "id" : "ITEM-1", "itemData" : { "DOI" : "10.1016/j.tics.2014.01.002", "ISSN" : "1879-307X", "PMID" : "24593982", "abstract" : "Parsing a cognitive task into a sequence of operations is a central problem in cognitive neuroscience. We argue that a major advance is now possible owing to the application of pattern classifiers to time-resolved recordings of brain activity [electroencephalography (EEG), magnetoencephalography (MEG), or intracranial recordings]. By testing at which moment a specific mental content becomes decodable in brain activity, we can characterize the time course of cognitive codes. Most importantly, the manner in which the trained classifiers generalize across time, and from one experimental condition to another, sheds light on the temporal organization of information-processing stages. A repertoire of canonical dynamical patterns is observed across various experiments and brain regions. This method thus provides a novel way to understand how mental representations are manipulated and transformed.", "author" : [ { "dropping-particle" : "", "family" : "King", "given" : "J-R", "non-dropping-particle" : "", "parse-names" : false, "suffix" : "" }, { "dropping-particle" : "", "family" : "Dehaene", "given" : "S", "non-dropping-particle" : "", "parse-names" : false, "suffix" : "" } ], "container-title" : "Trends in Cognitive Sciences", "id" : "ITEM-1", "issue" : "4", "issued" : { "date-parts" : [ [ "2014", "4" ] ] }, "page" : "203-10", "publisher" : "Elsevier Ltd", "title" : "Characterizing the dynamics of mental representations: the temporal generalization method.", "type" : "article-journal", "volume" : "18" }, "uris" : [ "http://www.mendeley.com/documents/?uuid=c9cbf2fa-fb3e-4679-ae37-84c519885d8a" ] } ], "mendeley" : { "formattedCitation" : "(King &amp; Dehaene, 2014)", "plainTextFormattedCitation" : "(King &amp; Dehaene, 2014)", "previouslyFormattedCitation" : "(King &amp; Dehaene, 2014)" }, "properties" : { "noteIndex" : 0 }, "schema" : "https://github.com/citation-style-language/schema/raw/master/csl-citation.json" }</w:instrText>
      </w:r>
      <w:r w:rsidRPr="00341B41">
        <w:rPr>
          <w:rFonts w:cs="Times New Roman"/>
        </w:rPr>
        <w:fldChar w:fldCharType="separate"/>
      </w:r>
      <w:r w:rsidRPr="00341B41">
        <w:rPr>
          <w:rFonts w:cs="Times New Roman"/>
          <w:noProof/>
        </w:rPr>
        <w:t>(King &amp; Dehaene, 2014)</w:t>
      </w:r>
      <w:r w:rsidRPr="00341B41">
        <w:rPr>
          <w:rFonts w:cs="Times New Roman"/>
        </w:rPr>
        <w:fldChar w:fldCharType="end"/>
      </w:r>
      <w:r w:rsidRPr="00341B41">
        <w:rPr>
          <w:rFonts w:cs="Times New Roman"/>
        </w:rPr>
        <w:t>.</w:t>
      </w:r>
      <w:r w:rsidR="00C17EFA" w:rsidRPr="00341B41">
        <w:t xml:space="preserve"> </w:t>
      </w:r>
    </w:p>
    <w:p w14:paraId="25897795" w14:textId="31B5787C" w:rsidR="00C17EFA" w:rsidRPr="00341B41" w:rsidRDefault="00965586" w:rsidP="00C17EFA">
      <w:pPr>
        <w:ind w:firstLine="720"/>
      </w:pPr>
      <w:r w:rsidRPr="00341B41">
        <w:rPr>
          <w:rFonts w:cs="Times New Roman"/>
        </w:rPr>
        <w:t xml:space="preserve">Such an approach could be used in two ways to investigate the precision of </w:t>
      </w:r>
      <w:r w:rsidR="00C17EFA" w:rsidRPr="00341B41">
        <w:rPr>
          <w:rFonts w:cs="Times New Roman"/>
        </w:rPr>
        <w:t>sensorimotor</w:t>
      </w:r>
      <w:r w:rsidRPr="00341B41">
        <w:rPr>
          <w:rFonts w:cs="Times New Roman"/>
        </w:rPr>
        <w:t xml:space="preserve"> measures as an EEG biomarker of sports performance. First, it could be used to investigate whether </w:t>
      </w:r>
      <w:r w:rsidR="00C17EFA" w:rsidRPr="00341B41">
        <w:rPr>
          <w:rFonts w:cs="Times New Roman"/>
        </w:rPr>
        <w:t>sensorimotor</w:t>
      </w:r>
      <w:r w:rsidRPr="00341B41">
        <w:rPr>
          <w:rFonts w:cs="Times New Roman"/>
        </w:rPr>
        <w:t xml:space="preserve"> activity during action observation preceding anticipation can be used to predict whether an athlete will corr</w:t>
      </w:r>
      <w:r w:rsidR="00C17EFA" w:rsidRPr="00341B41">
        <w:rPr>
          <w:rFonts w:cs="Times New Roman"/>
        </w:rPr>
        <w:t xml:space="preserve">ectly anticipate on that trial. </w:t>
      </w:r>
      <w:r w:rsidRPr="00341B41">
        <w:rPr>
          <w:rFonts w:cs="Times New Roman"/>
        </w:rPr>
        <w:t>In other words, an MVPA approach could show whether there is enough information contained in mu and beta oscillations prior to making an anticipation to predict whether the player will subsequently anticipate correctly.</w:t>
      </w:r>
      <w:r w:rsidR="00C17EFA" w:rsidRPr="00341B41">
        <w:t xml:space="preserve"> </w:t>
      </w:r>
      <w:r w:rsidR="0027200D" w:rsidRPr="00341B41">
        <w:t>Based on the results of Chapter 5, it would be expected that beta activity may be</w:t>
      </w:r>
      <w:r w:rsidR="00CB747D" w:rsidRPr="00341B41">
        <w:t xml:space="preserve"> a better predictor of correct anticipation than mu.</w:t>
      </w:r>
    </w:p>
    <w:p w14:paraId="6193A3DB" w14:textId="51C4FAF7" w:rsidR="00965586" w:rsidRPr="00341B41" w:rsidRDefault="00965586" w:rsidP="00C17EFA">
      <w:pPr>
        <w:ind w:firstLine="720"/>
        <w:rPr>
          <w:rFonts w:cs="Times New Roman"/>
        </w:rPr>
      </w:pPr>
      <w:r w:rsidRPr="00341B41">
        <w:rPr>
          <w:rFonts w:cs="Times New Roman"/>
        </w:rPr>
        <w:t xml:space="preserve">A second approach would be to see how useful recording </w:t>
      </w:r>
      <w:r w:rsidR="00C17EFA" w:rsidRPr="00341B41">
        <w:rPr>
          <w:rFonts w:cs="Times New Roman"/>
        </w:rPr>
        <w:t>sensorimotor</w:t>
      </w:r>
      <w:r w:rsidRPr="00341B41">
        <w:rPr>
          <w:rFonts w:cs="Times New Roman"/>
        </w:rPr>
        <w:t xml:space="preserve"> activity during action anticipation is in identifying group membership. The work of this thesis has shown clea</w:t>
      </w:r>
      <w:r w:rsidR="00C17EFA" w:rsidRPr="00341B41">
        <w:rPr>
          <w:rFonts w:cs="Times New Roman"/>
        </w:rPr>
        <w:t>r group differences do exist</w:t>
      </w:r>
      <w:r w:rsidR="002E525F" w:rsidRPr="00341B41">
        <w:rPr>
          <w:rFonts w:cs="Times New Roman"/>
        </w:rPr>
        <w:t xml:space="preserve"> in</w:t>
      </w:r>
      <w:r w:rsidR="00C17EFA" w:rsidRPr="00341B41">
        <w:rPr>
          <w:rFonts w:cs="Times New Roman"/>
        </w:rPr>
        <w:t xml:space="preserve"> sensorimotor </w:t>
      </w:r>
      <w:r w:rsidRPr="00341B41">
        <w:rPr>
          <w:rFonts w:cs="Times New Roman"/>
        </w:rPr>
        <w:t xml:space="preserve">function during this period. The usefulness of taking an MVPA approach would be in investigating whether it is possible to classify a player as an expert or a novice solely on information contained in the </w:t>
      </w:r>
      <w:r w:rsidR="00C17EFA" w:rsidRPr="00341B41">
        <w:rPr>
          <w:rFonts w:cs="Times New Roman"/>
        </w:rPr>
        <w:t>participant’s</w:t>
      </w:r>
      <w:r w:rsidRPr="00341B41">
        <w:rPr>
          <w:rFonts w:cs="Times New Roman"/>
        </w:rPr>
        <w:t xml:space="preserve"> EEG activity during </w:t>
      </w:r>
      <w:r w:rsidR="005517FC" w:rsidRPr="00341B41">
        <w:rPr>
          <w:rFonts w:cs="Times New Roman"/>
        </w:rPr>
        <w:t>an action anticipation study.</w:t>
      </w:r>
    </w:p>
    <w:p w14:paraId="16F41CC7" w14:textId="0C4C0F3D" w:rsidR="005517FC" w:rsidRPr="00341B41" w:rsidRDefault="005517FC" w:rsidP="005517FC">
      <w:pPr>
        <w:pStyle w:val="Heading2"/>
      </w:pPr>
      <w:bookmarkStart w:id="121" w:name="_Toc486260901"/>
      <w:r w:rsidRPr="00341B41">
        <w:lastRenderedPageBreak/>
        <w:t>6.4.</w:t>
      </w:r>
      <w:r w:rsidRPr="00341B41">
        <w:tab/>
        <w:t>Limitations and future directions</w:t>
      </w:r>
      <w:bookmarkEnd w:id="121"/>
    </w:p>
    <w:p w14:paraId="6B1B2AF6" w14:textId="30E2D437" w:rsidR="005517FC" w:rsidRPr="00341B41" w:rsidRDefault="005517FC" w:rsidP="005517FC">
      <w:pPr>
        <w:pStyle w:val="Heading3"/>
      </w:pPr>
      <w:bookmarkStart w:id="122" w:name="_Toc486260902"/>
      <w:r w:rsidRPr="00341B41">
        <w:t>6.4.1.</w:t>
      </w:r>
      <w:r w:rsidRPr="00341B41">
        <w:tab/>
        <w:t>Issues associated with test development and experimental stimuli</w:t>
      </w:r>
      <w:bookmarkEnd w:id="122"/>
    </w:p>
    <w:p w14:paraId="4424BF92" w14:textId="22FF3D48" w:rsidR="00FF5D2E" w:rsidRPr="00341B41" w:rsidRDefault="005517FC" w:rsidP="005517FC">
      <w:r w:rsidRPr="00341B41">
        <w:t xml:space="preserve">As outlined in section </w:t>
      </w:r>
      <w:r w:rsidR="00FF5D2E" w:rsidRPr="00341B41">
        <w:t>2.7</w:t>
      </w:r>
      <w:r w:rsidRPr="00341B41">
        <w:t>, there were limitations in the design of the anticipation test that should be considered when interpreting the work of this thesis.</w:t>
      </w:r>
      <w:r w:rsidR="00FF5D2E" w:rsidRPr="00341B41">
        <w:t xml:space="preserve"> Throughout all experiments, there was a higher </w:t>
      </w:r>
      <w:r w:rsidR="008F02B6" w:rsidRPr="00341B41">
        <w:t>percentage of males compared to females in the experienced group, and vice versa in the unexperienced group. This leads to the possibility that group differences may have reflected gender differences rather than expertise differences. However, in all of the experiments performed, there were no significant gender differences with regards to anticipation accuracy. This makes it likely that accuracy differences were due</w:t>
      </w:r>
      <w:r w:rsidR="006B1422" w:rsidRPr="00341B41">
        <w:t xml:space="preserve"> to</w:t>
      </w:r>
      <w:r w:rsidR="008F02B6" w:rsidRPr="00341B41">
        <w:t xml:space="preserve"> genuine differences in participant expertise. </w:t>
      </w:r>
    </w:p>
    <w:p w14:paraId="1E503DD0" w14:textId="77777777" w:rsidR="00C07AC0" w:rsidRPr="00341B41" w:rsidRDefault="00C07AC0" w:rsidP="00C07AC0">
      <w:r w:rsidRPr="00341B41">
        <w:tab/>
        <w:t xml:space="preserve">Similarly, throughout the thesis one of the players was significantly harder to anticipate than the other, regardless of participant expertise. One possibility raised in section 2.7 was the idea that the two players interpreted the instructions differently, leading to the easier to anticipate player playing intentionally easy to read shots, with the harder to anticipate player playing deceptive shots. Whilst this may be due to fundamental differences in the observed kinematics of the two players being observed, further research is needed on differences in sensorimotor processing during action observation that contains large variation in the kinematic material being observed. </w:t>
      </w:r>
    </w:p>
    <w:p w14:paraId="113B56D3" w14:textId="4F307453" w:rsidR="00C609B2" w:rsidRPr="00341B41" w:rsidRDefault="00C609B2" w:rsidP="005517FC">
      <w:r w:rsidRPr="00341B41">
        <w:tab/>
      </w:r>
      <w:r w:rsidR="006651DC" w:rsidRPr="00341B41">
        <w:t xml:space="preserve">Such studies would be interesting in further understanding the specificity of sensorimotor oscillations during action observation, which have been called into question by some researchers </w:t>
      </w:r>
      <w:r w:rsidR="006651DC" w:rsidRPr="00341B41">
        <w:fldChar w:fldCharType="begin" w:fldLock="1"/>
      </w:r>
      <w:r w:rsidR="007337E4" w:rsidRPr="00341B41">
        <w:instrText>ADDIN CSL_CITATION { "citationItems" : [ { "id" : "ITEM-1", "itemData" : { "author" : [ { "dropping-particle" : "", "family" : "Coll", "given" : "Michel-Pierre", "non-dropping-particle" : "", "parse-names" : false, "suffix" : "" }, { "dropping-particle" : "", "family" : "Press", "given" : "Clare", "non-dropping-particle" : "", "parse-names" : false, "suffix" : "" }, { "dropping-particle" : "", "family" : "Hobson", "given" : "Hannah", "non-dropping-particle" : "", "parse-names" : false, "suffix" : "" }, { "dropping-particle" : "", "family" : "Catmur", "given" : "Caroline", "non-dropping-particle" : "", "parse-names" : false, "suffix" : "" }, { "dropping-particle" : "", "family" : "Bird", "given" : "Geoffrey", "non-dropping-particle" : "", "parse-names" : false, "suffix" : "" } ], "container-title" : "The Journal of Neuroscience", "id" : "ITEM-1", "issued" : { "date-parts" : [ [ "2017" ] ] }, "title" : "Crossmodal classification of mu rhythm activity during action observation and execution suggests specificity to somatosensory features of actions", "type" : "article-journal" }, "uris" : [ "http://www.mendeley.com/documents/?uuid=c45519c8-390f-45e4-b034-9c9d5c9aba0e" ] } ], "mendeley" : { "formattedCitation" : "(Coll, Press, Hobson, Catmur, &amp; Bird, 2017)", "plainTextFormattedCitation" : "(Coll, Press, Hobson, Catmur, &amp; Bird, 2017)", "previouslyFormattedCitation" : "(Coll, Press, Hobson, Catmur, &amp; Bird, 2017)" }, "properties" : { "noteIndex" : 0 }, "schema" : "https://github.com/citation-style-language/schema/raw/master/csl-citation.json" }</w:instrText>
      </w:r>
      <w:r w:rsidR="006651DC" w:rsidRPr="00341B41">
        <w:fldChar w:fldCharType="separate"/>
      </w:r>
      <w:r w:rsidR="006651DC" w:rsidRPr="00341B41">
        <w:rPr>
          <w:noProof/>
        </w:rPr>
        <w:t>(Coll, Press, Hobson, Catmur, &amp; Bird, 2017)</w:t>
      </w:r>
      <w:r w:rsidR="006651DC" w:rsidRPr="00341B41">
        <w:fldChar w:fldCharType="end"/>
      </w:r>
      <w:r w:rsidR="00EE260F" w:rsidRPr="00341B41">
        <w:t xml:space="preserve">. </w:t>
      </w:r>
      <w:r w:rsidR="00672EF5" w:rsidRPr="00341B41">
        <w:t xml:space="preserve">For example, </w:t>
      </w:r>
      <w:r w:rsidR="007337E4" w:rsidRPr="00341B41">
        <w:t xml:space="preserve">fairly common individual differences such as body mass index (BMI) have been shown to lead to </w:t>
      </w:r>
      <w:r w:rsidR="007337E4" w:rsidRPr="00341B41">
        <w:lastRenderedPageBreak/>
        <w:t xml:space="preserve">variations in the kinematics of tennis actions </w:t>
      </w:r>
      <w:r w:rsidR="007337E4" w:rsidRPr="00341B41">
        <w:fldChar w:fldCharType="begin" w:fldLock="1"/>
      </w:r>
      <w:r w:rsidR="00D32D61" w:rsidRPr="00341B41">
        <w:instrText>ADDIN CSL_CITATION { "citationItems" : [ { "id" : "ITEM-1", "itemData" : { "DOI" : "10.2478/hukin-2014-0003", "ISBN" : "1640-5544 (Print)\\r1899-7562 (Electronic)", "ISSN" : "1899-7562", "PMID" : "25031669", "abstract" : "Effective training to improve serve speed is important for competitive tennis players. The purposes of this study were to investigate the effects of anthropometric factors and whole body kinematics of elite players on ball speed and to propose possible training strategies for improving the quality of tennis serves. Body and racket kinematics of tennis serves of 12 male elite Hong Kong players were investigated. The tennis serve was divided into four phases: I) Back-Swing Phase, II) Lead-Leg-Drive Phase, III) Forward-Swing Phase, and IV) Follow-Through Phase. It was shown that racket-side knee range of motion during phases II and III (r=0.705; p&lt;0.05), racket-side knee peak extension velocity during phase II (r=0.751; p&lt;0.01), racket-side hip peak extension velocity during phase II (r=0.657; p&lt;0.05), racket-side shoulder range of motion in the coronal plane during phase III (r=0.616; p&lt;0.05), racket-side elbow peak extension velocity during phase III (r=0.708; p&lt;0.01) and body mass index (r=0.577; p&lt;0.05) were significantly correlated with ball speed. Body mass index and the identified kinematic parameters that were significantly correlated with ball speed could be used as training guidelines for coaches and players to improve serve speed. Players should pay particular attention in training to increasing the extension velocity and range of motion of the identified joints.", "author" : [ { "dropping-particle" : "", "family" : "Wong", "given" : "Francis Kh", "non-dropping-particle" : "", "parse-names" : false, "suffix" : "" }, { "dropping-particle" : "", "family" : "Keung", "given" : "Jackie Hk", "non-dropping-particle" : "", "parse-names" : false, "suffix" : "" }, { "dropping-particle" : "", "family" : "Lau", "given" : "Newman Ml", "non-dropping-particle" : "", "parse-names" : false, "suffix" : "" }, { "dropping-particle" : "", "family" : "Ng", "given" : "Douglas Ks", "non-dropping-particle" : "", "parse-names" : false, "suffix" : "" }, { "dropping-particle" : "", "family" : "Chung", "given" : "Joanne Wy", "non-dropping-particle" : "", "parse-names" : false, "suffix" : "" }, { "dropping-particle" : "", "family" : "Chow", "given" : "Daniel Hk", "non-dropping-particle" : "", "parse-names" : false, "suffix" : "" } ], "container-title" : "Journal of Human Kinetics", "id" : "ITEM-1", "issue" : "1", "issued" : { "date-parts" : [ [ "2014" ] ] }, "page" : "21-28", "title" : "Effects of Body Mass Index and Full Body Kinematics on Tennis Serve Speed", "type" : "article-journal", "volume" : "40" }, "uris" : [ "http://www.mendeley.com/documents/?uuid=18a4d245-96c1-4232-a110-3ee498fbf424" ] } ], "mendeley" : { "formattedCitation" : "(Wong et al., 2014)", "plainTextFormattedCitation" : "(Wong et al., 2014)", "previouslyFormattedCitation" : "(Wong et al., 2014)" }, "properties" : { "noteIndex" : 0 }, "schema" : "https://github.com/citation-style-language/schema/raw/master/csl-citation.json" }</w:instrText>
      </w:r>
      <w:r w:rsidR="007337E4" w:rsidRPr="00341B41">
        <w:fldChar w:fldCharType="separate"/>
      </w:r>
      <w:r w:rsidR="007337E4" w:rsidRPr="00341B41">
        <w:rPr>
          <w:noProof/>
        </w:rPr>
        <w:t>(Wong et al., 2014)</w:t>
      </w:r>
      <w:r w:rsidR="007337E4" w:rsidRPr="00341B41">
        <w:fldChar w:fldCharType="end"/>
      </w:r>
      <w:r w:rsidR="007337E4" w:rsidRPr="00341B41">
        <w:t>. A study in which participants observe and anticipate actions made by a large variety of individuals (with measurable kinematic differences) would elucidate the specificity of sensorimotor oscillations in the observation of different individuals.</w:t>
      </w:r>
    </w:p>
    <w:p w14:paraId="5606186E" w14:textId="374659A1" w:rsidR="00515955" w:rsidRPr="00341B41" w:rsidRDefault="00515955" w:rsidP="005517FC">
      <w:r w:rsidRPr="00341B41">
        <w:tab/>
        <w:t xml:space="preserve">Given the limitations of the stimuli used in the thesis, the following recommendations are </w:t>
      </w:r>
      <w:r w:rsidR="00B33A5D" w:rsidRPr="00341B41">
        <w:t>made regarding future investigations. Firstly, gender should be more carefully controlled between groups. Two possible strategies could be used here. Either there should be an even split between males and females in all of the experimental groups. In this situation, it may be advisable to present an equal number of male and female models so as account for any (likely small) kinematic differences between males and females w</w:t>
      </w:r>
      <w:r w:rsidR="00D32D61" w:rsidRPr="00341B41">
        <w:t xml:space="preserve">hen performing sporting actions </w:t>
      </w:r>
      <w:r w:rsidR="00D32D61" w:rsidRPr="00341B41">
        <w:fldChar w:fldCharType="begin" w:fldLock="1"/>
      </w:r>
      <w:r w:rsidR="00EE5CB6" w:rsidRPr="00341B41">
        <w:instrText>ADDIN CSL_CITATION { "citationItems" : [ { "id" : "ITEM-1", "itemData" : { "DOI" : "10.1080/14763140308522807", "ISSN" : "1476-3141", "PMID" : "14658245", "abstract" : "The purpose of this study was to quantify ranges and speeds of movement, from shoulder external rotation to ball impact, in the tennis service actions of world class players. Two electronically synchronised 200 Hz video cameras were used to record 20 tennis players during singles competition at the Sydney 2000 Olympic games. Three-dimensional motion of 20 landmarks on each player and racquet were manually digitized. Based upon the mean values for this group, the elbow flexed to 104 degrees and the upper arm rotated into 172 degrees of shoulder external rotation as the front knee extended. From this cocked position, there was a rapid sequence of segment rotations. The order of maximum angular velocities was trunk tilt (280 degrees/s), upper torso rotation (870 degrees/s), pelvis rotation (440 degrees/s), elbow extension (1510 degrees/s), wrist flexion (1950 degrees/s), and shoulder internal rotation. Shoulder internal rotation was greater for males (2420 degrees/s) than females (1370 degrees/s), which may be related to the faster ball velocity produced by the males (50.8 m/s) than the females (41.5 m/s). Although both genders produced segment rotations in the same order, maximum upper torso velocity occurred earlier for females (0.075 s before impact) than for males (0.058 s). At impact, the trunk was tilted 48 degrees above horizontal, the arm was abducted 101 degrees and the elbow, wrist, and lead knee were slightly flexed. Male and female players should be trained to develop the kinematics measured in this study in order to produce effective high-velocity serves.", "author" : [ { "dropping-particle" : "", "family" : "Fleisig", "given" : "Glenn", "non-dropping-particle" : "", "parse-names" : false, "suffix" : "" }, { "dropping-particle" : "", "family" : "Nicholls", "given" : "Rochelle", "non-dropping-particle" : "", "parse-names" : false, "suffix" : "" }, { "dropping-particle" : "", "family" : "Elliott", "given" : "Bruce", "non-dropping-particle" : "", "parse-names" : false, "suffix" : "" }, { "dropping-particle" : "", "family" : "Escamilla", "given" : "Rafael", "non-dropping-particle" : "", "parse-names" : false, "suffix" : "" } ], "container-title" : "Sports Biomechanics", "id" : "ITEM-1", "issue" : "1", "issued" : { "date-parts" : [ [ "2003" ] ] }, "page" : "51-64", "title" : "Kinematics used by world class tennis players to produce high-velocity serves", "type" : "article-journal", "volume" : "2" }, "uris" : [ "http://www.mendeley.com/documents/?uuid=7b2e894f-97b7-4607-8199-9e4d539ee5e2" ] } ], "mendeley" : { "formattedCitation" : "(Fleisig et al., 2003)", "plainTextFormattedCitation" : "(Fleisig et al., 2003)", "previouslyFormattedCitation" : "(Fleisig et al., 2003)" }, "properties" : { "noteIndex" : 0 }, "schema" : "https://github.com/citation-style-language/schema/raw/master/csl-citation.json" }</w:instrText>
      </w:r>
      <w:r w:rsidR="00D32D61" w:rsidRPr="00341B41">
        <w:fldChar w:fldCharType="separate"/>
      </w:r>
      <w:r w:rsidR="00D32D61" w:rsidRPr="00341B41">
        <w:rPr>
          <w:noProof/>
        </w:rPr>
        <w:t>(Fleisig et al., 2003)</w:t>
      </w:r>
      <w:r w:rsidR="00D32D61" w:rsidRPr="00341B41">
        <w:fldChar w:fldCharType="end"/>
      </w:r>
      <w:r w:rsidR="00D32D61" w:rsidRPr="00341B41">
        <w:t>. Alternatively, all</w:t>
      </w:r>
      <w:r w:rsidR="00B33A5D" w:rsidRPr="00341B41">
        <w:t xml:space="preserve"> participants </w:t>
      </w:r>
      <w:r w:rsidR="00D32D61" w:rsidRPr="00341B41">
        <w:t xml:space="preserve">should be of the same gender, and should match the gender of the player(s) whose actions they are anticipating. </w:t>
      </w:r>
    </w:p>
    <w:p w14:paraId="409B7A0A" w14:textId="5164B5CB" w:rsidR="00FF5D2E" w:rsidRPr="00341B41" w:rsidRDefault="00A044F1" w:rsidP="005517FC">
      <w:r w:rsidRPr="00341B41">
        <w:tab/>
        <w:t>Second, close attention should</w:t>
      </w:r>
      <w:r w:rsidR="00163AB1" w:rsidRPr="00341B41">
        <w:t xml:space="preserve"> be paid to the precise instructions given to the models during the filming of stimuli.</w:t>
      </w:r>
      <w:r w:rsidRPr="00341B41">
        <w:t xml:space="preserve"> </w:t>
      </w:r>
      <w:r w:rsidR="00712B9C" w:rsidRPr="00341B41">
        <w:t>In order to reduce di</w:t>
      </w:r>
      <w:r w:rsidR="00026046" w:rsidRPr="00341B41">
        <w:t>fferences in the interpretation</w:t>
      </w:r>
      <w:r w:rsidR="00712B9C" w:rsidRPr="00341B41">
        <w:t xml:space="preserve"> of instructions, one approach would be to not instruct players to hit the ball to any particular regio</w:t>
      </w:r>
      <w:r w:rsidR="003F5409" w:rsidRPr="00341B41">
        <w:t>n and then during later shot selection choose only those that natur</w:t>
      </w:r>
      <w:r w:rsidR="001B376D" w:rsidRPr="00341B41">
        <w:t>ally went either left or right. Finally, and in relation to shot selection, future studies should employ multiple raters when assigning shot direction.</w:t>
      </w:r>
    </w:p>
    <w:p w14:paraId="6F89F8C6" w14:textId="7C3F156F" w:rsidR="00625FE7" w:rsidRPr="00341B41" w:rsidRDefault="00625FE7" w:rsidP="00625FE7">
      <w:pPr>
        <w:pStyle w:val="Heading3"/>
      </w:pPr>
      <w:bookmarkStart w:id="123" w:name="_Toc486260903"/>
      <w:r w:rsidRPr="00341B41">
        <w:t>6.4.2.</w:t>
      </w:r>
      <w:r w:rsidRPr="00341B41">
        <w:tab/>
        <w:t>Motor response preparation during the action observation period</w:t>
      </w:r>
      <w:bookmarkEnd w:id="123"/>
    </w:p>
    <w:p w14:paraId="56CB745E" w14:textId="77777777" w:rsidR="00C05A56" w:rsidRPr="00341B41" w:rsidRDefault="00C05A56" w:rsidP="00C05A56">
      <w:r w:rsidRPr="00341B41">
        <w:t xml:space="preserve">It is possible that sensorimotor activity seen during the action observation period was due to the preparation of a motor response to the upcoming button press, rather than being </w:t>
      </w:r>
      <w:r w:rsidRPr="00341B41">
        <w:lastRenderedPageBreak/>
        <w:t xml:space="preserve">directly related to the stimuli. Whilst both of the groups had to prepare for a motor response, the experienced group were likely more certain of their response so may have started to make this response earlier than the unexperienced group. However, a number of other studies have directly contrasted sensorimotor activity during action anticipation (an observation period followed by a button press) and a passive observation (the observation period without any subsequent motor response). If expert-novice differences in action anticipation were solely down to differences in motor preparation responses, no expertise differences would be found in an identical condition that was lacking the motor preparation component. Multiple studies however have found the same pattern of results across the two tasks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"id" : "ITEM-2", "itemData" : { "ISSN" : "1543-2904", "PMID" : "23404883", "abstract" : "The aim of this study was to examine the neural bases for perceptual-cognitive superiority in a soccer anticipation task using functional magnetic resonance imaging (fMRI). Thirty-nine participants lay in an MRI scanner while performing a video-based task in which they predicted an oncoming opponent's movements. Video clips were occluded at four time points, and participants were grouped according to in-task performance. Early occlusion reduced prediction accuracy significantly for all participants, as did the opponent's execution of a deceptive maneuver; however, high-skill participants were significantly more accurate than their low-skill counterparts under deceptive conditions. This perceptual-cognitive superiority was associated with greater activation of cortical and subcortical structures involved in executive function and oculomotor control. The contributions of the present findings to an existing neural model of anticipation in sport are highlighted.", "author" : [ { "dropping-particle" : "", "family" : "Bishop", "given" : "Daniel T", "non-dropping-particle" : "", "parse-names" : false, "suffix" : "" }, { "dropping-particle" : "", "family" : "Wright", "given" : "Michael J", "non-dropping-particle" : "", "parse-names" : false, "suffix" : "" }, { "dropping-particle" : "", "family" : "Jackson", "given" : "Robin C", "non-dropping-particle" : "", "parse-names" : false, "suffix" : "" }, { "dropping-particle" : "", "family" : "Abernethy", "given" : "Bruce", "non-dropping-particle" : "", "parse-names" : false, "suffix" : "" } ], "container-title" : "Journal of Sport and Exercise Psychology", "id" : "ITEM-2", "issue" : "1", "issued" : { "date-parts" : [ [ "2013", "2" ] ] }, "page" : "98-109", "title" : "Neural bases for anticipation skill in soccer: an FMRI study.", "type" : "article-journal", "volume" : "35" }, "uris" : [ "http://www.mendeley.com/documents/?uuid=69ed83ce-3f40-4be2-a5fd-e55e3e631108" ] }, { "id" : "ITEM-3",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"ITEM-3", "issue" : "2", "issued" : { "date-parts" : [ [ "2010", "1", "27" ] ] }, "page" : "94-8", "title" : "Functional MRI reveals expert-novice differences during sport-related anticipation.", "type" : "article-journal", "volume" : "21" }, "uris" : [ "http://www.mendeley.com/documents/?uuid=725596c1-c912-41b6-83c3-6d654c4bff23" ] }, { "id" : "ITEM-4",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"ITEM-4",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"id" : "ITEM-5", "itemData" : { "DOI" : "10.1016/j.ijpsycho.2006.03.018", "ISSN" : "0167-8760", "PMID" : "16797757", "abstract" : "Sporting performance makes special demands on perceptual skills, but the neural mechanisms underlying such performance are little understood. We address this issue, making use of fMRI to identify the brain areas activated in viewing and responding to video sequences of tennis players, filmed from the opponent's perspective. In a block-design, fMRI study, 9 novice tennis players watched video clips of tennis play. The main stimulus conditions were (1) serve sequences, (2) non-serve behaviour (ball bouncing) and (3) static control sequences. A button response was required indicating the direction of serve (left or right for serve sequences, middle button for non-serve and static sequences). By comparing responses to the three stimulus conditions, it was possible to identify two groups of brain regions responsive to different components of the task. Areas MT/MST and STS in the posterior part of the temporal lobe responded either to serve and to non-serve stimuli, relative to static controls. Serve sequences produced additional regions of activation in the parietal lobe (bilateral IPL, right SPL) and in the right frontal cortex (IFGd, IFGv), and these areas were not activated by non-serve sequences. These regions of the parietal and frontal cortex have been implicated in a \"mirror neuron\" network in the human brain. It is concluded that the task of judgement of serve direction produces two different patterns of response: activations in the MT/MST and STS concerned with primarily with the analysis of motion and body actions, and activations in the parietal and frontal cortex associated specifically with the task of identification of direction of serve.", "author" : [ { "dropping-particle" : "", "family" : "Wright", "given" : "Michael J", "non-dropping-particle" : "", "parse-names" : false, "suffix" : "" }, { "dropping-particle" : "", "family" : "Jackson", "given" : "Robin C", "non-dropping-particle" : "", "parse-names" : false, "suffix" : "" } ], "container-title" : "International Journal of Psychophysiology", "id" : "ITEM-5", "issue" : "2", "issued" : { "date-parts" : [ [ "2007", "2" ] ] }, "page" : "214-20", "title" : "Brain regions concerned with perceptual skills in tennis: an fMRI study.", "type" : "article-journal", "volume" : "63" }, "uris" : [ "http://www.mendeley.com/documents/?uuid=b08693ab-5d87-4d32-90f5-2b018ce11a5f" ] } ], "mendeley" : { "formattedCitation" : "(Balser, Lorey, Pilgramm, Stark, et al., 2014; Bishop et al., 2013; Wright et al., 2010, 2011; Wright &amp; Jackson, 2007)", "plainTextFormattedCitation" : "(Balser, Lorey, Pilgramm, Stark, et al., 2014; Bishop et al., 2013; Wright et al., 2010, 2011; Wright &amp; Jackson, 2007)", "previouslyFormattedCitation" : "(Balser, Lorey, Pilgramm, Stark, et al., 2014; Bishop et al., 2013; Wright et al., 2010, 2011; Wright &amp; Jackson, 2007)" }, "properties" : { "noteIndex" : 0 }, "schema" : "https://github.com/citation-style-language/schema/raw/master/csl-citation.json" }</w:instrText>
      </w:r>
      <w:r w:rsidRPr="00341B41">
        <w:fldChar w:fldCharType="separate"/>
      </w:r>
      <w:r w:rsidRPr="00341B41">
        <w:rPr>
          <w:noProof/>
        </w:rPr>
        <w:t>(Balser, Lorey, Pilgramm, Stark, et al., 2014; Bishop et al., 2013; Wright et al., 2010, 2011; Wright &amp; Jackson, 2007)</w:t>
      </w:r>
      <w:r w:rsidRPr="00341B41">
        <w:fldChar w:fldCharType="end"/>
      </w:r>
      <w:r w:rsidRPr="00341B41">
        <w:t>.</w:t>
      </w:r>
    </w:p>
    <w:p w14:paraId="5DB755F7" w14:textId="743E7640" w:rsidR="00C05A56" w:rsidRPr="00341B41" w:rsidRDefault="00C05A56" w:rsidP="00C05A56">
      <w:pPr>
        <w:ind w:firstLine="720"/>
      </w:pPr>
      <w:r w:rsidRPr="00341B41">
        <w:t xml:space="preserve">The active anticipation task employed here had the advantage that it was possible to gain a performance marker of the degree to which participants gain an understanding of the actions being observed. As such it was possible to show a behavioural difference between groups of differing expertise in terms of how well they were able to use the kinematic information presented to them to make a judgment about the player’s main intention and to </w:t>
      </w:r>
      <w:r w:rsidR="005F208E" w:rsidRPr="00341B41">
        <w:t>relate</w:t>
      </w:r>
      <w:r w:rsidRPr="00341B41">
        <w:t xml:space="preserve"> this information to differences in neural activity. This would not have been possible in a passive observation paradigm, as that approach does not index </w:t>
      </w:r>
      <w:r w:rsidR="00A56E72" w:rsidRPr="00341B41">
        <w:t xml:space="preserve">the </w:t>
      </w:r>
      <w:r w:rsidRPr="00341B41">
        <w:t>degree of action understanding in participants at the behavioural level. Nevertheless, the lack of a passive observation condition to assess the possible contribution of motor response preparation contamination is a limitation of the work presented here and should be considered when interpreting the results.</w:t>
      </w:r>
    </w:p>
    <w:p w14:paraId="1E5CF6B3" w14:textId="6D83A5F9" w:rsidR="00834E75" w:rsidRPr="00341B41" w:rsidRDefault="00834E75" w:rsidP="00965586">
      <w:r w:rsidRPr="00341B41">
        <w:lastRenderedPageBreak/>
        <w:tab/>
        <w:t>With these considerations in mind, future research into action anticipation should consider more thoroughly the possibility of motor response preparation as a confound. It is recommended that all studies should contain both an active anticipation and a passive observation condition, with the expectation that expertise differences would show up in both conditions. Another possibili</w:t>
      </w:r>
      <w:r w:rsidR="005E1DC4" w:rsidRPr="00341B41">
        <w:t xml:space="preserve">ty could be to try and correct for the preparatory motor response artefact by ICA. Preparing a motor response is known to elicit a reliable ERP in </w:t>
      </w:r>
      <w:r w:rsidR="00BD2ADA" w:rsidRPr="00341B41">
        <w:t>the period preceding the action. Identifying an ICA component that resembles this activity may be possible, and removing that component from subsequent analysis may make it possible to correct for the artefact, in a way that eye blink components are commonly removed using ICA.</w:t>
      </w:r>
      <w:r w:rsidR="00485035" w:rsidRPr="00341B41">
        <w:t xml:space="preserve"> In this thesis, two sensorimotor components without a clear source were identified </w:t>
      </w:r>
      <w:r w:rsidR="00196087" w:rsidRPr="00341B41">
        <w:t>(</w:t>
      </w:r>
      <w:r w:rsidR="00196087" w:rsidRPr="00341B41">
        <w:rPr>
          <w:b/>
        </w:rPr>
        <w:t>Figure 10</w:t>
      </w:r>
      <w:r w:rsidR="00196087" w:rsidRPr="00341B41">
        <w:t xml:space="preserve">). It is possible these components may reflect a different process to the sensorimotor components that showed clear activation during the observation period, </w:t>
      </w:r>
      <w:r w:rsidR="0054046D" w:rsidRPr="00341B41">
        <w:t>with</w:t>
      </w:r>
      <w:r w:rsidR="00196087" w:rsidRPr="00341B41">
        <w:t xml:space="preserve"> motor response preparation</w:t>
      </w:r>
      <w:r w:rsidR="0054046D" w:rsidRPr="00341B41">
        <w:t xml:space="preserve"> being one possible process</w:t>
      </w:r>
      <w:r w:rsidR="00196087" w:rsidRPr="00341B41">
        <w:t xml:space="preserve">. This is a purely </w:t>
      </w:r>
      <w:proofErr w:type="spellStart"/>
      <w:r w:rsidR="00196087" w:rsidRPr="00341B41">
        <w:t>speculatory</w:t>
      </w:r>
      <w:proofErr w:type="spellEnd"/>
      <w:r w:rsidR="00196087" w:rsidRPr="00341B41">
        <w:t xml:space="preserve"> observation. Whether it is possible to dissociate action observation from motor preparation using ICA methods is still unclear, and is an important area for future research.</w:t>
      </w:r>
    </w:p>
    <w:p w14:paraId="05A8687D" w14:textId="1E0601CD" w:rsidR="00A60911" w:rsidRPr="00341B41" w:rsidRDefault="00A60911" w:rsidP="00A60911">
      <w:pPr>
        <w:pStyle w:val="Heading3"/>
      </w:pPr>
      <w:bookmarkStart w:id="124" w:name="_Toc486260904"/>
      <w:r w:rsidRPr="00341B41">
        <w:t>6.4.3.</w:t>
      </w:r>
      <w:r w:rsidRPr="00341B41">
        <w:tab/>
        <w:t>Longitudinal designs into the development of anticipation skill</w:t>
      </w:r>
      <w:bookmarkEnd w:id="124"/>
    </w:p>
    <w:p w14:paraId="295221D4" w14:textId="27C0A472" w:rsidR="00A60911" w:rsidRPr="00341B41" w:rsidRDefault="00A60911" w:rsidP="00A60911">
      <w:r w:rsidRPr="00341B41">
        <w:t xml:space="preserve">This thesis has highlighted the importance of the sensorimotor system in facilitating anticipation skill in athletes. However, the design of the research was cross-sectional, and carried out on a sample of already experienced players. As such, it is not clear from this work how action anticipation skill develops in players through training. More generally, very little work has investigated sensorimotor activity during the training of a new action </w:t>
      </w:r>
      <w:r w:rsidRPr="00341B41">
        <w:fldChar w:fldCharType="begin" w:fldLock="1"/>
      </w:r>
      <w:r w:rsidR="00384056" w:rsidRPr="00341B41">
        <w:instrText>ADDIN CSL_CITATION { "citationItems" : [ { "id" : "ITEM-1", "itemData" : { "DOI" : "10.1016/j.neuroimage.2006.01.033", "ISSN" : "1053-8119", "PMID" : "16530429", "abstract" : "Research on action simulation identifies brain areas that are active while imagining or performing simple overlearned actions. Are areas engaged during imagined movement sensitive to the amount of actual physical practice? In the present study, participants were expert dancers who learned and rehearsed novel, complex whole-body dance sequences 5 h a week across 5 weeks. Brain activity was recorded weekly by fMRI as dancers observed and imagined performing different movement sequences. Half these sequences were rehearsed and half were unpracticed control movements. After each trial, participants rated how well they could perform the movement. We hypothesized that activity in premotor areas would increase as participants observed and simulated movements that they had learnt outside the scanner. Dancers' ratings of their ability to perform rehearsed sequences, but not the control sequences, increased with training. When dancers observed and simulated another dancer's movements, brain regions classically associated with both action simulation and action observation were active, including inferior parietal lobule, cingulate and supplementary motor areas, ventral premotor cortex, superior temporal sulcus and primary motor cortex. Critically, inferior parietal lobule and ventral premotor activity was modulated as a function of dancers' ratings of their own ability to perform the observed movements and their motor experience. These data demonstrate that a complex motor resonance can be built de novo over 5 weeks of rehearsal. Furthermore, activity in premotor and parietal areas during action simulation is enhanced by the ability to execute a learned action irrespective of stimulus familiarity or semantic label.", "author" : [ { "dropping-particle" : "", "family" : "Cross", "given" : "Emily S", "non-dropping-particle" : "", "parse-names" : false, "suffix" : "" }, { "dropping-particle" : "", "family" : "Hamilton", "given" : "Antonia F De C", "non-dropping-particle" : "", "parse-names" : false, "suffix" : "" }, { "dropping-particle" : "", "family" : "Grafton", "given" : "Scott T", "non-dropping-particle" : "", "parse-names" : false, "suffix" : "" } ], "container-title" : "NeuroImage", "id" : "ITEM-1", "issue" : "3", "issued" : { "date-parts" : [ [ "2006", "7", "1" ] ] }, "page" : "1257-67", "title" : "Building a motor simulation de novo: observation of dance by dancers.", "type" : "article-journal", "volume" : "31" }, "uris" : [ "http://www.mendeley.com/documents/?uuid=9628e43d-1440-4daf-9583-282029ffd3ce" ] } ], "mendeley" : { "formattedCitation" : "(Cross et al., 2006)", "plainTextFormattedCitation" : "(Cross et al., 2006)", "previouslyFormattedCitation" : "(Cross et al., 2006)" }, "properties" : { "noteIndex" : 0 }, "schema" : "https://github.com/citation-style-language/schema/raw/master/csl-citation.json" }</w:instrText>
      </w:r>
      <w:r w:rsidRPr="00341B41">
        <w:fldChar w:fldCharType="separate"/>
      </w:r>
      <w:r w:rsidR="004C1B53" w:rsidRPr="00341B41">
        <w:rPr>
          <w:noProof/>
        </w:rPr>
        <w:t>(Cross et al., 2006)</w:t>
      </w:r>
      <w:r w:rsidRPr="00341B41">
        <w:fldChar w:fldCharType="end"/>
      </w:r>
      <w:r w:rsidRPr="00341B41">
        <w:t xml:space="preserve">. A longitudinal study could assess both anticipation performance and sensorimotor activity at multiple points throughout an athlete’s development. </w:t>
      </w:r>
    </w:p>
    <w:p w14:paraId="14132153" w14:textId="1D832ED8" w:rsidR="00A60911" w:rsidRPr="00341B41" w:rsidRDefault="00A60911" w:rsidP="00A60911">
      <w:pPr>
        <w:ind w:firstLine="720"/>
      </w:pPr>
      <w:r w:rsidRPr="00341B41">
        <w:lastRenderedPageBreak/>
        <w:t xml:space="preserve">Such a study could directly test a hypothesis central to theoretical accounts of </w:t>
      </w:r>
      <w:proofErr w:type="spellStart"/>
      <w:r w:rsidRPr="00341B41">
        <w:t>hMNS</w:t>
      </w:r>
      <w:proofErr w:type="spellEnd"/>
      <w:r w:rsidRPr="00341B41">
        <w:t xml:space="preserve"> theories of action </w:t>
      </w:r>
      <w:r w:rsidR="005E1DC4" w:rsidRPr="00341B41">
        <w:t>understanding</w:t>
      </w:r>
      <w:r w:rsidRPr="00341B41">
        <w:t xml:space="preserve">, which is that individuals employ their own motor skills and representations to understand the actions of others. In this thesis, it has been shown that sensorimotor activity is greater in participants with more motor expertise in the actions being observed, however there was no assessment of each individual player’s proficiency at executing the types of actions (tennis groundstrokes) they were observing. In a longitudinal design an athlete’s ability to execute an action, and anticipate the same actions, could be assessed at multiple points of development. Based on the </w:t>
      </w:r>
      <w:proofErr w:type="spellStart"/>
      <w:r w:rsidRPr="00341B41">
        <w:t>hMNS</w:t>
      </w:r>
      <w:proofErr w:type="spellEnd"/>
      <w:r w:rsidRPr="00341B41">
        <w:t xml:space="preserve"> account of action understanding, it would be predicted that as the ability to execute actions increases, so too will anticipation ability of the same actions. This improvement would be accompanied by increased </w:t>
      </w:r>
      <w:proofErr w:type="spellStart"/>
      <w:r w:rsidRPr="00341B41">
        <w:t>hMNS</w:t>
      </w:r>
      <w:proofErr w:type="spellEnd"/>
      <w:r w:rsidRPr="00341B41">
        <w:t xml:space="preserve"> activity, possibly reflected in increased high-mu ERD.   </w:t>
      </w:r>
    </w:p>
    <w:p w14:paraId="2487D466" w14:textId="2210DC17" w:rsidR="00A60911" w:rsidRPr="00341B41" w:rsidRDefault="00A60911" w:rsidP="00A60911">
      <w:pPr>
        <w:ind w:firstLine="720"/>
      </w:pPr>
      <w:r w:rsidRPr="00341B41">
        <w:t>This can be studied alongside the long-term effectiveness of anticipation</w:t>
      </w:r>
      <w:r w:rsidR="00F34F40" w:rsidRPr="00341B41">
        <w:t xml:space="preserve"> training</w:t>
      </w:r>
      <w:r w:rsidRPr="00341B41">
        <w:t>, and whether such training has any effects on sensorimotor activity during action observation. The results of Farrow &amp; Abernethy’s (2002) work suggests that implicit training methods are effective in improving the accuracy of anticipatory judgments, at least over a short-term period. If this training facilitates genuine improvements in skilled anticipation, then it would be predicted that this accuracy improvement would also be related to increased sensorimotor activity during action observation post-training.</w:t>
      </w:r>
    </w:p>
    <w:p w14:paraId="4B0CB62D" w14:textId="748550D0" w:rsidR="00527EFF" w:rsidRPr="00341B41" w:rsidRDefault="00527EFF" w:rsidP="00527EFF">
      <w:pPr>
        <w:pStyle w:val="Heading3"/>
      </w:pPr>
      <w:bookmarkStart w:id="125" w:name="_Toc486260905"/>
      <w:r w:rsidRPr="00341B41">
        <w:t>6.4.4.</w:t>
      </w:r>
      <w:r w:rsidRPr="00341B41">
        <w:tab/>
        <w:t>Expertise of the experienced sample</w:t>
      </w:r>
      <w:bookmarkEnd w:id="125"/>
    </w:p>
    <w:p w14:paraId="52FEA715" w14:textId="44017059" w:rsidR="005F6F30" w:rsidRPr="00341B41" w:rsidRDefault="00527EFF" w:rsidP="00527EFF">
      <w:r w:rsidRPr="00341B41">
        <w:t xml:space="preserve">According to the criteria set out by Swann et al (2015), the expert groups used in this thesis would be considered semi-elite, meaning their highest level of performance in the sport is below the top standard possible </w:t>
      </w:r>
      <w:r w:rsidRPr="00341B41">
        <w:fldChar w:fldCharType="begin" w:fldLock="1"/>
      </w:r>
      <w:r w:rsidRPr="00341B41">
        <w:instrText>ADDIN CSL_CITATION { "citationItems" : [ { "id" : "ITEM-1", "itemData" : { "DOI" : "10.1016/j.psychsport.2014.07.004", "ISBN" : "http://eprints.lincoln.ac.uk/14589/1/Defining%20Elite%20Athletes_Issues%20in%20the%20Study%20of%20Expert%20Performance%20in%20Sport%20Psychology_ACCEPTED%20VERSION.docx", "ISSN" : "14690292", "abstract" : "Objectives: There has been considerable inconsistency and confusion in the definition of elite/expert athletes in sport psychology research, which has implications for studies conducted in this area and for the field as a whole. This study aimed to: (i) critically evaluate the ways in which recent research in sport psychology has defined elite/expert athletes; (ii) explore the rationale for using such athletes; and (iii) evaluate the conclusions that research in this field draws about the nature of expertise. Design: Conventional systematic review principles were employed to conduct a rigorous search and synthesise findings. Methods: A comprehensive literature search of SPORTDiscus, Academic Search Complete, PsycINFO, and PsycARTICLES was completed in September, 2013 which yielded 91 empirical studies published between 2010 and 2013. The primarily qualitative findings were analysed thematically. Results: Eight ways of defining elite/expert athletes were identified, ranging from Olympic champions to regional level competitors and those with as little as two years of experience in their sport. Three types of rationale were evident in these studies (i.e., \"necessity\", \"exploratory\" and \"superior\"); while findings also indicated that some elite athletes are psychologically idiosyncratic and perhaps even dysfunctional in their behaviour. Finally, only 19 of the 91 included studies provided conclusions about the nature of expertise in sport. Conclusions: This study suggests that the definitions of elite athletes vary on a continuum of validity, and the findings are translated into a taxonomy for classifying expert samples in sport psychology research in future. Recommendations are provided for researchers in this area.", "author" : [ { "dropping-particle" : "", "family" : "Swann", "given" : "Christian", "non-dropping-particle" : "", "parse-names" : false, "suffix" : "" }, { "dropping-particle" : "", "family" : "Moran", "given" : "Aidan", "non-dropping-particle" : "", "parse-names" : false, "suffix" : "" }, { "dropping-particle" : "", "family" : "Piggott", "given" : "David", "non-dropping-particle" : "", "parse-names" : false, "suffix" : "" } ], "container-title" : "Psychology of Sport and Exercise", "id" : "ITEM-1", "issue" : "P1", "issued" : { "date-parts" : [ [ "2015" ] ] }, "page" : "3-14", "publisher" : "Elsevier Ltd", "title" : "Defining elite athletes: Issues in the study of expert performance in sport psychology", "type" : "article-journal", "volume" : "16" }, "uris" : [ "http://www.mendeley.com/documents/?uuid=357ffbc4-313b-458d-a5dc-9533d349d34c" ] } ], "mendeley" : { "formattedCitation" : "(Swann et al., 2015)", "plainTextFormattedCitation" : "(Swann et al., 2015)", "previouslyFormattedCitation" : "(Swann et al., 2015)" }, "properties" : { "noteIndex" : 0 }, "schema" : "https://github.com/citation-style-language/schema/raw/master/csl-citation.json" }</w:instrText>
      </w:r>
      <w:r w:rsidRPr="00341B41">
        <w:fldChar w:fldCharType="separate"/>
      </w:r>
      <w:r w:rsidRPr="00341B41">
        <w:rPr>
          <w:noProof/>
        </w:rPr>
        <w:t>(Swann et al., 2015)</w:t>
      </w:r>
      <w:r w:rsidRPr="00341B41">
        <w:fldChar w:fldCharType="end"/>
      </w:r>
      <w:r w:rsidRPr="00341B41">
        <w:t xml:space="preserve">. Whilst the players recruited here were sufficiently more experienced than the novice samples to investigate expertise related </w:t>
      </w:r>
      <w:r w:rsidRPr="00341B41">
        <w:lastRenderedPageBreak/>
        <w:t xml:space="preserve">differences </w:t>
      </w:r>
      <w:r w:rsidRPr="00341B41">
        <w:fldChar w:fldCharType="begin" w:fldLock="1"/>
      </w:r>
      <w:r w:rsidR="006651DC" w:rsidRPr="00341B41">
        <w:instrText>ADDIN CSL_CITATION { "citationItems" : [ { "id" : "ITEM-1", "itemData" : { "DOI" : "10.1016/j.humov.2005.06.002", "ISSN" : "0167-9457", "PMID" : "16095739", "abstract" : "The number of researchers studying perceptual-cognitive expertise in sport is increasing. The intention in this paper is to review the currently accepted framework for studying expert performance and to consider implications for undertaking research work in the area of perceptual-cognitive expertise in sport. The expert performance approach presents a descriptive and inductive approach for the systematic study of expert performance. The nature of expert performance is initially captured in the laboratory using representative tasks that identify reliably superior performance. Process-tracing measures are employed to determine the mechanisms that mediate expert performance on the task. Finally, the specific types of activities that lead to the acquisition and development of these mediating mechanisms are identified. General principles and mechanisms may be discovered and then validated by more traditional experimental designs. The relevance of this approach to the study of perceptual-cognitive expertise in sport is discussed and suggestions for future work highlighted.", "author" : [ { "dropping-particle" : "", "family" : "Williams", "given" : "Andrew Mark", "non-dropping-particle" : "", "parse-names" : false, "suffix" : "" }, { "dropping-particle" : "", "family" : "Ericsson", "given" : "K Anders", "non-dropping-particle" : "", "parse-names" : false, "suffix" : "" } ], "container-title" : "Human Movement Science", "id" : "ITEM-1", "issue" : "3", "issued" : { "date-parts" : [ [ "2005", "6" ] ] }, "page" : "283-307", "title" : "Perceptual-cognitive expertise in sport: some considerations when applying the expert performance approach.", "type" : "article-journal", "volume" : "24" }, "uris" : [ "http://www.mendeley.com/documents/?uuid=b3805e9e-a1b3-4980-81c7-18ad81344bcd" ] } ], "mendeley" : { "formattedCitation" : "(Williams &amp; Ericsson, 2005)", "manualFormatting" : "(Williams &amp; Ericsson, 2005)", "plainTextFormattedCitation" : "(Williams &amp; Ericsson, 2005)", "previouslyFormattedCitation" : "(Williams &amp; Ericsson, 2005)" }, "properties" : { "noteIndex" : 0 }, "schema" : "https://github.com/citation-style-language/schema/raw/master/csl-citation.json" }</w:instrText>
      </w:r>
      <w:r w:rsidRPr="00341B41">
        <w:fldChar w:fldCharType="separate"/>
      </w:r>
      <w:r w:rsidRPr="00341B41">
        <w:rPr>
          <w:noProof/>
        </w:rPr>
        <w:t>(Williams &amp; Ericsson, 2005)</w:t>
      </w:r>
      <w:r w:rsidRPr="00341B41">
        <w:fldChar w:fldCharType="end"/>
      </w:r>
      <w:r w:rsidRPr="00341B41">
        <w:t>, and allowed for a larger sample than if a top elite group had been targeted, whether the results would have been different if a higher performing group of players had been used is important to consider. It might be expected that the observed group differences in mu and beta ERD would be more marked, indicating an even greater reliance on the sensorimotor</w:t>
      </w:r>
      <w:r w:rsidR="00AD2B8F" w:rsidRPr="00341B41">
        <w:t xml:space="preserve"> system</w:t>
      </w:r>
      <w:r w:rsidRPr="00341B41">
        <w:t xml:space="preserve"> during action observation, which would have been linked to a higher anticipation accuracy score. It was shown that when sensorimotor ERD was correlated with years of experience, hours played per week, and years of formal instruction that there was no </w:t>
      </w:r>
      <w:r w:rsidR="005F6F30" w:rsidRPr="00341B41">
        <w:t>association. However</w:t>
      </w:r>
      <w:r w:rsidR="00EC3984" w:rsidRPr="00341B41">
        <w:t>,</w:t>
      </w:r>
      <w:r w:rsidR="005F6F30" w:rsidRPr="00341B41">
        <w:t xml:space="preserve"> this may have been due to the limited sample, and should be investigated in samples with a greater diversity of experience levels. </w:t>
      </w:r>
    </w:p>
    <w:p w14:paraId="6CA7EE44" w14:textId="77777777" w:rsidR="005F6F30" w:rsidRPr="00341B41" w:rsidRDefault="00527EFF" w:rsidP="005F6F30">
      <w:pPr>
        <w:ind w:firstLine="720"/>
      </w:pPr>
      <w:r w:rsidRPr="00341B41">
        <w:t xml:space="preserve">A few studies using fMRI have assessed expert-novice differences that have included at least two groups of experienced players (e.g., expert and intermediate groups) have reported mixed results in terms of being able to distinguish between groups of players of differing experience levels. In one study of badminton players, significantly greater activations in </w:t>
      </w:r>
      <w:r w:rsidR="005F6F30" w:rsidRPr="00341B41">
        <w:t>the sensorimotor system</w:t>
      </w:r>
      <w:r w:rsidRPr="00341B41">
        <w:t xml:space="preserve"> were found in national/international level players compared to club/county level players </w:t>
      </w:r>
      <w:r w:rsidRPr="00341B41">
        <w:fldChar w:fldCharType="begin" w:fldLock="1"/>
      </w:r>
      <w:r w:rsidRPr="00341B41">
        <w:instrText>ADDIN CSL_CITATION { "citationItems" : [ { "id" : "ITEM-1", "itemData" : { "DOI" : "10.1097/WNR.0b013e328333dff2", "ISSN" : "1473-558X", "PMID" : "20051784", "abstract" : "We examined the effect of expertise on cortical activation during sports anticipation using functional MRI. In experiment 1, recreational players predicted badminton stroke direction and the pattern of active clusters was consistent with a proposed perception-of-action network. This pattern was not replicated in a stimulus-matched, action-unrelated control task. In experiment 2, players of three different skill levels anticipated stroke direction from clips occluded either 160 ms before or 80 ms after racquet-shuttle contact. Early-occluded sequences produced more activation than late-occluded sequences overall, in most cortical regions of interest, but experts showed an additional enhancement in medial, dorsolateral and ventrolateral frontal cortex. Anticipation in open-skill sports engages cortical areas integral to observing and understanding others' actions; such activity is enhanced in experts.", "author" : [ { "dropping-particle" : "", "family" : "Wright", "given" : "Michael J", "non-dropping-particle" : "", "parse-names" : false, "suffix" : "" }, { "dropping-particle" : "", "family" : "Bishop", "given" : "Daniel T", "non-dropping-particle" : "", "parse-names" : false, "suffix" : "" }, { "dropping-particle" : "", "family" : "Jackson", "given" : "Robin C", "non-dropping-particle" : "", "parse-names" : false, "suffix" : "" }, { "dropping-particle" : "", "family" : "Abernethy", "given" : "Bruce", "non-dropping-particle" : "", "parse-names" : false, "suffix" : "" } ], "container-title" : "Neuroreport", "id" : "ITEM-1", "issue" : "2", "issued" : { "date-parts" : [ [ "2010", "1", "27" ] ] }, "page" : "94-8", "title" : "Functional MRI reveals expert-novice differences during sport-related anticipation.", "type" : "article-journal", "volume" : "21" }, "uris" : [ "http://www.mendeley.com/documents/?uuid=725596c1-c912-41b6-83c3-6d654c4bff23" ] } ], "mendeley" : { "formattedCitation" : "(Wright et al., 2010)", "plainTextFormattedCitation" : "(Wright et al., 2010)", "previouslyFormattedCitation" : "(Wright et al., 2010)" }, "properties" : { "noteIndex" : 0 }, "schema" : "https://github.com/citation-style-language/schema/raw/master/csl-citation.json" }</w:instrText>
      </w:r>
      <w:r w:rsidRPr="00341B41">
        <w:fldChar w:fldCharType="separate"/>
      </w:r>
      <w:r w:rsidRPr="00341B41">
        <w:rPr>
          <w:noProof/>
        </w:rPr>
        <w:t>(Wright et al., 2010)</w:t>
      </w:r>
      <w:r w:rsidRPr="00341B41">
        <w:fldChar w:fldCharType="end"/>
      </w:r>
      <w:r w:rsidRPr="00341B41">
        <w:t xml:space="preserve">. However, another study of badminton players by the same research team did not find any differences in brain activations between national/international level players and club/county level players, though this study was limited by having a small sample size (8 participants per group) </w:t>
      </w:r>
      <w:r w:rsidRPr="00341B41">
        <w:fldChar w:fldCharType="begin" w:fldLock="1"/>
      </w:r>
      <w:r w:rsidRPr="00341B41">
        <w:instrText>ADDIN CSL_CITATION { "citationItems" : [ { "id" : "ITEM-1", "itemData" : { "DOI" : "10.1016/j.neulet.2011.06.045", "ISSN" : "1872-7972", "PMID" : "21741450", "abstract" : "Badminton players of varying skill levels viewed normal and point-light video clips of opponents striking the shuttle towards the viewer; their task was to predict in which quadrant of the court the shuttle would land. In a whole-brain fMRI analysis we identified bilateral cortical networks sensitive to the anticipation task relative to control stimuli. This network is more extensive and localised than previously reported. Voxel clusters responding more strongly in experts than novices were associated with all task-sensitive areas, whereas voxels responding more strongly in novices were found outside these areas. Task-sensitive areas for normal and point-light video were very similar, whereas early visual areas responded differentially, indicating the primacy of kinematic information for sport-related anticipation.", "author" : [ { "dropping-particle" : "", "family" : "Wright", "given" : "Michael J", "non-dropping-particle" : "", "parse-names" : false, "suffix" : "" }, { "dropping-particle" : "", "family" : "Bishop", "given" : "D T", "non-dropping-particle" : "", "parse-names" : false, "suffix" : "" }, { "dropping-particle" : "", "family" : "Jackson", "given" : "R C", "non-dropping-particle" : "", "parse-names" : false, "suffix" : "" }, { "dropping-particle" : "", "family" : "Abernethy", "given" : "Bruce", "non-dropping-particle" : "", "parse-names" : false, "suffix" : "" } ], "container-title" : "Neuroscience Letters", "id" : "ITEM-1", "issue" : "3", "issued" : { "date-parts" : [ [ "2011" ] ] }, "page" : "216-21", "title" : "Cortical fMRI activation to opponents' body kinematics in sport-related anticipation: expert-novice differences with normal and point-light video.", "type" : "article-journal", "volume" : "500" }, "uris" : [ "http://www.mendeley.com/documents/?uuid=9d91279c-b390-4039-aa15-5fc7ca720f97" ] } ], "mendeley" : { "formattedCitation" : "(Wright et al., 2011)", "plainTextFormattedCitation" : "(Wright et al., 2011)", "previouslyFormattedCitation" : "(Wright et al., 2011)" }, "properties" : { "noteIndex" : 0 }, "schema" : "https://github.com/citation-style-language/schema/raw/master/csl-citation.json" }</w:instrText>
      </w:r>
      <w:r w:rsidRPr="00341B41">
        <w:fldChar w:fldCharType="separate"/>
      </w:r>
      <w:r w:rsidRPr="00341B41">
        <w:rPr>
          <w:noProof/>
        </w:rPr>
        <w:t>(Wright et al., 2011)</w:t>
      </w:r>
      <w:r w:rsidRPr="00341B41">
        <w:fldChar w:fldCharType="end"/>
      </w:r>
      <w:r w:rsidRPr="00341B41">
        <w:t>.</w:t>
      </w:r>
      <w:r w:rsidR="005F6F30" w:rsidRPr="00341B41">
        <w:t xml:space="preserve"> </w:t>
      </w:r>
    </w:p>
    <w:p w14:paraId="41B5BFA1" w14:textId="051D6536" w:rsidR="00527EFF" w:rsidRPr="00341B41" w:rsidRDefault="00527EFF" w:rsidP="005F6F30">
      <w:pPr>
        <w:ind w:firstLine="720"/>
      </w:pPr>
      <w:r w:rsidRPr="00341B41">
        <w:t xml:space="preserve">From the current literature, it is unclear whether differences in </w:t>
      </w:r>
      <w:r w:rsidR="005F6F30" w:rsidRPr="00341B41">
        <w:t>sensorimotor</w:t>
      </w:r>
      <w:r w:rsidRPr="00341B41">
        <w:t xml:space="preserve"> activity can be identified between groups of experienced players varying in expertise levels. As discussed above, it would be expected that as action execution ability increases, so does </w:t>
      </w:r>
      <w:r w:rsidRPr="00341B41">
        <w:lastRenderedPageBreak/>
        <w:t xml:space="preserve">action anticipation ability, along with increased </w:t>
      </w:r>
      <w:r w:rsidR="005F6F30" w:rsidRPr="00341B41">
        <w:t>sensorimotor</w:t>
      </w:r>
      <w:r w:rsidRPr="00341B41">
        <w:t xml:space="preserve"> activity. If two experienced samples were used, one corresponding to a semi-elite group of university players, and another corresponding to world-class elite, the latter would be predicted to show significantly greater skill at executing domain-specific actions. </w:t>
      </w:r>
      <w:r w:rsidR="001A7CC2" w:rsidRPr="00341B41">
        <w:t>They would also likely have observed more tennis actions, and as such expected to be more accurate at anticipating.</w:t>
      </w:r>
      <w:r w:rsidRPr="00341B41">
        <w:t xml:space="preserve"> The mixed findings regarding whether an expert group shows greater </w:t>
      </w:r>
      <w:r w:rsidR="005F6F30" w:rsidRPr="00341B41">
        <w:t>sensorimotor</w:t>
      </w:r>
      <w:r w:rsidRPr="00341B41">
        <w:t xml:space="preserve"> activity than an intermediate group could be due to the small sample siz</w:t>
      </w:r>
      <w:r w:rsidR="00574A90" w:rsidRPr="00341B41">
        <w:t>es employed in studies show far. It</w:t>
      </w:r>
      <w:r w:rsidRPr="00341B41">
        <w:t xml:space="preserve"> could</w:t>
      </w:r>
      <w:r w:rsidR="00574A90" w:rsidRPr="00341B41">
        <w:t xml:space="preserve"> also</w:t>
      </w:r>
      <w:r w:rsidRPr="00341B41">
        <w:t xml:space="preserve"> reflect a ceiling effect in terms of </w:t>
      </w:r>
      <w:r w:rsidR="005F6F30" w:rsidRPr="00341B41">
        <w:t>sensorimotor</w:t>
      </w:r>
      <w:r w:rsidRPr="00341B41">
        <w:t xml:space="preserve"> activation, where increasing activity only occurs up until a certain level of action expertise. Future studies should aim to employ multiple groups of experienced players of differing expertise levels with larger sample sizes, to address this question. Again, longitudinal designs could be useful to chart the degree of </w:t>
      </w:r>
      <w:r w:rsidR="005F6F30" w:rsidRPr="00341B41">
        <w:t>sensorimotor</w:t>
      </w:r>
      <w:r w:rsidRPr="00341B41">
        <w:t xml:space="preserve"> activity (indexed by mu ERD) across the development of a player.  </w:t>
      </w:r>
    </w:p>
    <w:p w14:paraId="72F3D27F" w14:textId="28E7FF76" w:rsidR="005F6F30" w:rsidRPr="00341B41" w:rsidRDefault="005F6F30" w:rsidP="005F6F30">
      <w:pPr>
        <w:pStyle w:val="Heading3"/>
      </w:pPr>
      <w:bookmarkStart w:id="126" w:name="_Toc486260906"/>
      <w:r w:rsidRPr="00341B41">
        <w:t>6.4.5.</w:t>
      </w:r>
      <w:r w:rsidRPr="00341B41">
        <w:tab/>
        <w:t>The effect of task-related changes on neural activity during action anticipation</w:t>
      </w:r>
      <w:bookmarkEnd w:id="126"/>
    </w:p>
    <w:p w14:paraId="5DB3F724" w14:textId="77777777" w:rsidR="005F6F30" w:rsidRPr="00341B41" w:rsidRDefault="005F6F30" w:rsidP="005F6F30">
      <w:r w:rsidRPr="00341B41">
        <w:t xml:space="preserve">The temporal occlusion paradigm used here to assess anticipation accuracy was a simple two-choice forced reaction time task, where participants were required to anticipate ball direction as either left or right. As already mentioned in Chapter 3, future studies employing a more complex research design will further untangle the individual roles of mu and beta ERD during action observation i.e. through increasing the number of response options available to participants to better distinguish mu from beta activity (see Chapter 3 for details). </w:t>
      </w:r>
    </w:p>
    <w:p w14:paraId="7E4570B7" w14:textId="77777777" w:rsidR="005F6F30" w:rsidRPr="00341B41" w:rsidRDefault="005F6F30" w:rsidP="005F6F30">
      <w:pPr>
        <w:ind w:firstLine="720"/>
      </w:pPr>
      <w:r w:rsidRPr="00341B41">
        <w:t xml:space="preserve">The aim of this work was specifically to investigate the role of kinematic cues in successful anticipation. In the experiments performed, each trial consisted of a shot taken </w:t>
      </w:r>
      <w:r w:rsidRPr="00341B41">
        <w:lastRenderedPageBreak/>
        <w:t xml:space="preserve">from an individual ball feed. The importance of this is that each trial wasn’t part of a sequential sequence, meaning that participants could not take advantage of situational probabilities and expectations when anticipating. It is known that expert athletes show better anticipation performance when trials are presented in a sequential order, when the preceding trial provides expectancy cues as to the outcome of the following one (see section 1.6.3.). </w:t>
      </w:r>
    </w:p>
    <w:p w14:paraId="6F681587" w14:textId="070ED1E9" w:rsidR="005F6F30" w:rsidRPr="00341B41" w:rsidRDefault="005F6F30" w:rsidP="005F6F30">
      <w:pPr>
        <w:ind w:firstLine="720"/>
      </w:pPr>
      <w:r w:rsidRPr="00341B41">
        <w:t xml:space="preserve">Furthermore, prior knowledge regarding action outcome is a crucial step of the predictive coding account of the </w:t>
      </w:r>
      <w:proofErr w:type="spellStart"/>
      <w:r w:rsidRPr="00341B41">
        <w:t>hMNS</w:t>
      </w:r>
      <w:proofErr w:type="spellEnd"/>
      <w:r w:rsidRPr="00341B41">
        <w:t xml:space="preserve">, and it has been suggested that this prior is generated independently of the </w:t>
      </w:r>
      <w:proofErr w:type="spellStart"/>
      <w:r w:rsidRPr="00341B41">
        <w:t>hMNS</w:t>
      </w:r>
      <w:proofErr w:type="spellEnd"/>
      <w:r w:rsidRPr="00341B41">
        <w:t xml:space="preserve"> in the middle temporal gyrus and anterior IFG </w:t>
      </w:r>
      <w:r w:rsidRPr="00341B41">
        <w:fldChar w:fldCharType="begin" w:fldLock="1"/>
      </w:r>
      <w:r w:rsidRPr="00341B41">
        <w:instrText>ADDIN CSL_CITATION { "citationItems" : [ { "id" : "ITEM-1", "itemData" : { "DOI" : "10.1016/j.tics.2011.06.005", "ISBN" : "1879-307X (Electronic)\\r1364-6613 (Linking)", "ISSN" : "13646613", "PMID" : "21775191", "abstract" : "Many believe that the ability to understand the actions of others is made possible by mirror neurons and a network of brain areas known as the action-observation network (AON). Despite nearly two decades of research into mirror neurons and the AON, however, there is little evidence that they enable the inference of the intention of observed actions. Instead, theories of action selection during action execution indicate that a ventral pathway, linking middle temporal gyrus with the anterior inferior frontal gyrus, might encode these abstract features during action observation. Here I propose that action understanding requires more than merely the AON, and might be achieved through interactions between a ventral pathway and the dorsal AON. ?? 2011 Elsevier Ltd.", "author" : [ { "dropping-particle" : "", "family" : "Kilner", "given" : "James M", "non-dropping-particle" : "", "parse-names" : false, "suffix" : "" } ], "container-title" : "Trends in Cognitive Sciences", "id" : "ITEM-1", "issue" : "8", "issued" : { "date-parts" : [ [ "2011" ] ] }, "page" : "352-357", "title" : "More than one pathway to action understanding", "type" : "article-journal", "volume" : "15" }, "uris" : [ "http://www.mendeley.com/documents/?uuid=00b99736-dff1-47df-baa2-0246d1b8891e" ] } ], "mendeley" : { "formattedCitation" : "(Kilner, 2011)", "plainTextFormattedCitation" : "(Kilner, 2011)", "previouslyFormattedCitation" : "(Kilner, 2011)" }, "properties" : { "noteIndex" : 0 }, "schema" : "https://github.com/citation-style-language/schema/raw/master/csl-citation.json" }</w:instrText>
      </w:r>
      <w:r w:rsidRPr="00341B41">
        <w:fldChar w:fldCharType="separate"/>
      </w:r>
      <w:r w:rsidRPr="00341B41">
        <w:rPr>
          <w:noProof/>
        </w:rPr>
        <w:t>(Kilner, 2011)</w:t>
      </w:r>
      <w:r w:rsidRPr="00341B41">
        <w:fldChar w:fldCharType="end"/>
      </w:r>
      <w:r w:rsidRPr="00341B41">
        <w:t xml:space="preserve">. Future studies should try to take into account both the use of kinematic cues and prior expectations by having two conditions. One where trials are presented in a natural sequential order, and experts are able to use this expectancy information to anticipate, alongside kinematic cues. The second condition would present trials in a random order, thereby removing the ability to rely on expectations. Such a design would be more ecologically valid; as multiple different anticipation strategies will interact </w:t>
      </w:r>
      <w:r w:rsidRPr="00341B41">
        <w:fldChar w:fldCharType="begin" w:fldLock="1"/>
      </w:r>
      <w:r w:rsidRPr="00341B41">
        <w:instrText>ADDIN CSL_CITATION { "citationItems" : [ { "id" : "ITEM-1", "itemData" : { "DOI" : "10.3389/fpsyg.2016.00792", "author" : [ { "dropping-particle" : "", "family" : "Roca", "given" : "A", "non-dropping-particle" : "", "parse-names" : false, "suffix" : "" }, { "dropping-particle" : "", "family" : "Williams", "given" : "Andrew Mark", "non-dropping-particle" : "", "parse-names" : false, "suffix" : "" } ], "container-title" : "Frontiers in Psychology", "id" : "ITEM-1", "issue" : "May", "issued" : { "date-parts" : [ [ "2016" ] ] }, "page" : "1-4", "title" : "Expertise and the Interaction between Different Perceptual-Cognitive Skills : Implications for Testing and Training", "type" : "article-journal", "volume" : "7" }, "uris" : [ "http://www.mendeley.com/documents/?uuid=579b393f-fc54-4691-9b59-be6ba9aa3cea" ] } ], "mendeley" : { "formattedCitation" : "(Roca &amp; Williams, 2016)", "plainTextFormattedCitation" : "(Roca &amp; Williams, 2016)", "previouslyFormattedCitation" : "(Roca &amp; Williams, 2016)" }, "properties" : { "noteIndex" : 0 }, "schema" : "https://github.com/citation-style-language/schema/raw/master/csl-citation.json" }</w:instrText>
      </w:r>
      <w:r w:rsidRPr="00341B41">
        <w:fldChar w:fldCharType="separate"/>
      </w:r>
      <w:r w:rsidRPr="00341B41">
        <w:rPr>
          <w:noProof/>
        </w:rPr>
        <w:t>(Roca &amp; Williams, 2016)</w:t>
      </w:r>
      <w:r w:rsidRPr="00341B41">
        <w:fldChar w:fldCharType="end"/>
      </w:r>
      <w:r w:rsidRPr="00341B41">
        <w:t>. Second, it would allow for a better understanding of the relationship between brain areas related to the formation of a prior regarding action outcome, and kinematic cue understanding facilitated by the sensorimotor system.</w:t>
      </w:r>
    </w:p>
    <w:p w14:paraId="5E97807B" w14:textId="3898EEBE" w:rsidR="005F6F30" w:rsidRPr="00341B41" w:rsidRDefault="005F6F30" w:rsidP="005F6F30">
      <w:pPr>
        <w:pStyle w:val="Heading3"/>
      </w:pPr>
      <w:bookmarkStart w:id="127" w:name="_Toc486260907"/>
      <w:r w:rsidRPr="00341B41">
        <w:t>6.4.6.</w:t>
      </w:r>
      <w:r w:rsidRPr="00341B41">
        <w:tab/>
        <w:t>Action anticipation in a dynamic environment</w:t>
      </w:r>
      <w:bookmarkEnd w:id="127"/>
    </w:p>
    <w:p w14:paraId="7777FB4A" w14:textId="77777777" w:rsidR="005F6F30" w:rsidRPr="00341B41" w:rsidRDefault="005F6F30" w:rsidP="005F6F30">
      <w:r w:rsidRPr="00341B41">
        <w:t xml:space="preserve">One challenge facing cognitive neuroscience, and in particular cognitive neuroscience relevant to sports, is how easily work from a laboratory environment can be translated into the real-world </w:t>
      </w:r>
      <w:r w:rsidRPr="00341B41">
        <w:fldChar w:fldCharType="begin" w:fldLock="1"/>
      </w:r>
      <w:r w:rsidRPr="00341B41">
        <w:instrText>ADDIN CSL_CITATION { "citationItems" : [ { "id" : "ITEM-1", "itemData" : { "DOI" : "10.1016/j.cub.2014.08.003", "ISSN" : "09609822", "author" : [ { "dropping-particle" : "", "family" : "Walsh", "given" : "Vincent", "non-dropping-particle" : "", "parse-names" : false, "suffix" : "" } ], "container-title" : "Current Biology", "id" : "ITEM-1", "issue" : "18", "issued" : { "date-parts" : [ [ "2014", "9" ] ] }, "page" : "R859-R860", "publisher" : "Elsevier", "title" : "Is sport the brain\u2019s biggest challenge?", "type" : "article-journal", "volume" : "24" }, "uris" : [ "http://www.mendeley.com/documents/?uuid=571edec4-886d-4564-b096-000884731081" ] }, { "id" : "ITEM-2", "itemData" : { "DOI" : "10.1068/p5340", "ISSN" : "0301-0066", "author" : [ { "dropping-particle" : "", "family" : "Makris", "given" : "Stergios", "non-dropping-particle" : "", "parse-names" : false, "suffix" : "" } ], "container-title" : "Frontiers in Human Neuroscience", "id" : "ITEM-2", "issue" : "929", "issued" : { "date-parts" : [ [ "2014" ] ] }, "page" : "1-2", "title" : "Sport neuroscience revisited (?): A commentary", "type" : "article-journal", "volume" : "8" }, "uris" : [ "http://www.mendeley.com/documents/?uuid=5fc18be6-a861-45b0-ac4f-73e80a937c56" ] } ], "mendeley" : { "formattedCitation" : "(Makris, 2014; Walsh, 2014)", "plainTextFormattedCitation" : "(Makris, 2014; Walsh, 2014)", "previouslyFormattedCitation" : "(Makris, 2014; Walsh, 2014)" }, "properties" : { "noteIndex" : 0 }, "schema" : "https://github.com/citation-style-language/schema/raw/master/csl-citation.json" }</w:instrText>
      </w:r>
      <w:r w:rsidRPr="00341B41">
        <w:fldChar w:fldCharType="separate"/>
      </w:r>
      <w:r w:rsidRPr="00341B41">
        <w:rPr>
          <w:noProof/>
        </w:rPr>
        <w:t>(Makris, 2014; Walsh, 2014)</w:t>
      </w:r>
      <w:r w:rsidRPr="00341B41">
        <w:fldChar w:fldCharType="end"/>
      </w:r>
      <w:r w:rsidRPr="00341B41">
        <w:t xml:space="preserve">. Due to limitations regarding movement artefacts in most neuroimaging and EEG techniques, experiments need to be conducted in a </w:t>
      </w:r>
      <w:r w:rsidRPr="00341B41">
        <w:lastRenderedPageBreak/>
        <w:t xml:space="preserve">static environment in order to achieve adequately clean data. However, this is notably not the environment in which athletes anticipate in real-life match situations. Specifically related to the work conducted here, it should be noted that whilst the sensorimotor system was examined during action observation, there was no action execution condition. It may be that the neural activity during action observation would differ if subsequent action execution is required to respond to the action </w:t>
      </w:r>
      <w:r w:rsidRPr="00341B41">
        <w:fldChar w:fldCharType="begin" w:fldLock="1"/>
      </w:r>
      <w:r w:rsidRPr="00341B41">
        <w:instrText>ADDIN CSL_CITATION { "citationItems" : [ { "id" : "ITEM-1", "itemData" : { "DOI" : "10.1068/i0569ic", "ISSN" : "20416695", "PMID" : "23799189", "abstract" : "Neurophysiological measurement techniques like fMRI and TMS are increasingly being used to examine the perceptual-motor processes underpinning the ability to anticipate the actions of others. Crucially, these techniques invariably restrict the experimental task that can be used and consequently limit the degree to which the findings can be generalised. These limitations are discussed based on a recent paper by Tomeo et al. (2012) who sought to examine responses to fooling actions by using TMS on participants who passively observed spliced video clips where bodily information was, and was not, linked to the action outcome. We outline two particular concerns with this approach. First, spliced video clips that show physically impossible actions are unlikely to simulate a \"fooling\" action. Second, it is difficult to make meaningful inferences about perceptual-motor expertise from experiments where participants cannot move. Taken together, we argue that wider generalisations based on these findings may provide a misunderstanding of the phenomenon such a study is designed to explore.", "author" : [ { "dropping-particle" : "", "family" : "Mann", "given" : "David", "non-dropping-particle" : "", "parse-names" : false, "suffix" : "" }, { "dropping-particle" : "", "family" : "Dicks", "given" : "Matt", "non-dropping-particle" : "", "parse-names" : false, "suffix" : "" }, { "dropping-particle" : "", "family" : "Ca\u00f1al-Bruland", "given" : "Rouwen", "non-dropping-particle" : "", "parse-names" : false, "suffix" : "" }, { "dropping-particle" : "", "family" : "Kamp", "given" : "John", "non-dropping-particle" : "van der", "parse-names" : false, "suffix" : "" } ], "container-title" : "i-Perception", "id" : "ITEM-1", "issue" : "1", "issued" : { "date-parts" : [ [ "2013" ] ] }, "page" : "78-80", "title" : "Neurophysiological studies may provide a misleading picture of how perceptual-motor interactions are coordinated", "type" : "article-journal", "volume" : "4" }, "uris" : [ "http://www.mendeley.com/documents/?uuid=dc6f6db9-e020-48c8-a954-bdeabb0ee581" ] } ], "mendeley" : { "formattedCitation" : "(D. Mann, Dicks, Ca\u00f1al-Bruland, &amp; van der Kamp, 2013)", "manualFormatting" : "(Mann, Dicks, Ca\u00f1al-Bruland, &amp; van der Kamp, 2013)", "plainTextFormattedCitation" : "(D. Mann, Dicks, Ca\u00f1al-Bruland, &amp; van der Kamp, 2013)", "previouslyFormattedCitation" : "(D. Mann, Dicks, Ca\u00f1al-Bruland, &amp; van der Kamp, 2013)" }, "properties" : { "noteIndex" : 0 }, "schema" : "https://github.com/citation-style-language/schema/raw/master/csl-citation.json" }</w:instrText>
      </w:r>
      <w:r w:rsidRPr="00341B41">
        <w:fldChar w:fldCharType="separate"/>
      </w:r>
      <w:r w:rsidRPr="00341B41">
        <w:rPr>
          <w:noProof/>
        </w:rPr>
        <w:t>(Mann, Dicks, Cañal-Bruland, &amp; van der Kamp, 2013)</w:t>
      </w:r>
      <w:r w:rsidRPr="00341B41">
        <w:fldChar w:fldCharType="end"/>
      </w:r>
      <w:r w:rsidRPr="00341B41">
        <w:t xml:space="preserve">. </w:t>
      </w:r>
    </w:p>
    <w:p w14:paraId="5EFB0DB7" w14:textId="77777777" w:rsidR="005F6F30" w:rsidRPr="00341B41" w:rsidRDefault="005F6F30" w:rsidP="005F6F30">
      <w:pPr>
        <w:ind w:firstLine="720"/>
      </w:pPr>
      <w:r w:rsidRPr="00341B41">
        <w:t xml:space="preserve">Whilst it should be acknowledged that studying action observation and anticipation in a static setting may be a limitation in applying the results to more real-world tasks, a couple of points should be noted. Firstly, as discussed in Chapter 2, video-based anticipation tasks have been shown to clearly separate expert and novice performance, and results are generally compatible with findings from in-situ anticipation tests. Secondly, fMRI work has attempted to change the task requirements to get closer to a design involving both action observation and execution </w:t>
      </w:r>
      <w:r w:rsidRPr="00341B41">
        <w:fldChar w:fldCharType="begin" w:fldLock="1"/>
      </w:r>
      <w:r w:rsidRPr="00341B41">
        <w:instrText>ADDIN CSL_CITATION { "citationItems" : [ { "id" : "ITEM-1", "itemData" : { "DOI" : "10.1002/hbm.22455", "ISSN" : "10970193", "PMID" : "24453190", "abstract" : "The action observation network (AON) is supposed to play a crucial role when athletes anticipate the effect of others' actions in sports such as tennis. We used functional magnetic resonance imaging to explore whether motor expertise leads to a differential activation pattern within the AON during effect anticipation and whether spatial and motor anticipation tasks are associated with a differential activation pattern within the AON depending on participant expertise level. Expert (N = 16) and novice (N = 16) tennis players observed video clips depicting forehand strokes with the instruction to either indicate the predicted direction of ball flight (spatial anticipation) or to decide on an appropriate response to the observed action (motor anticipation). The experts performed better than novices on both tennis anticipation tasks, with the experts showing stronger neural activation in areas of the AON, namely, the superior parietal lobe, the intraparietal sulcus, the inferior frontal gyrus, and the cerebellum. When novices were contrasted with experts, motor anticipation resulted in stronger activation of the ventral premotor cortex, the supplementary motor area, and the superior parietal lobe than spatial anticipation task did. In experts, the comparison of motor and spatial anticipation revealed no increased activation. We suggest that the stronger activation of areas in the AON during the anticipation of action effects in experts reflects their use of the more fine-tuned motor representations they have acquired and improved during years of training. Furthermore, results suggest that the neural processing of different anticipation tasks depends on the expertise level. Hum Brain Mapp 35:4016-4034, 2014. \u00a9 2014 Wiley Periodicals, Inc.", "author" : [ { "dropping-particle" : "", "family" : "Balser", "given" : "Nils", "non-dropping-particle" : "", "parse-names" : false, "suffix" : "" }, { "dropping-particle" : "", "family" : "Lorey", "given" : "Britta", "non-dropping-particle" : "", "parse-names" : false, "suffix" : "" }, { "dropping-particle" : "", "family" : "Pilgramm", "given" : "Sebastian", "non-dropping-particle" : "", "parse-names" : false, "suffix" : "" }, { "dropping-particle" : "", "family" : "Stark", "given" : "Rudolf", "non-dropping-particle" : "", "parse-names" : false, "suffix" : "" }, { "dropping-particle" : "", "family" : "Bischoff", "given" : "Matthias", "non-dropping-particle" : "", "parse-names" : false, "suffix" : "" }, { "dropping-particle" : "", "family" : "Zentgraf", "given" : "Karen", "non-dropping-particle" : "", "parse-names" : false, "suffix" : "" }, { "dropping-particle" : "", "family" : "Williams", "given" : "Andrew Mark", "non-dropping-particle" : "", "parse-names" : false, "suffix" : "" }, { "dropping-particle" : "", "family" : "Munzert", "given" : "J\u00f6rn", "non-dropping-particle" : "", "parse-names" : false, "suffix" : "" } ], "container-title" : "Human Brain Mapping", "id" : "ITEM-1", "issued" : { "date-parts" : [ [ "2014" ] ] }, "page" : "4016-4034", "title" : "Prediction of human actions: Expertise and task-related effects on neural activation of the action observation network", "type" : "article-journal", "volume" : "35" }, "uris" : [ "http://www.mendeley.com/documents/?uuid=c0e7ecf2-22f7-49f9-b53c-7d682fa20585" ] } ], "mendeley" : { "formattedCitation" : "(Balser, Lorey, Pilgramm, Stark, et al., 2014)", "plainTextFormattedCitation" : "(Balser, Lorey, Pilgramm, Stark, et al., 2014)", "previouslyFormattedCitation" : "(Balser, Lorey, Pilgramm, Stark, et al., 2014)" }, "properties" : { "noteIndex" : 0 }, "schema" : "https://github.com/citation-style-language/schema/raw/master/csl-citation.json" }</w:instrText>
      </w:r>
      <w:r w:rsidRPr="00341B41">
        <w:fldChar w:fldCharType="separate"/>
      </w:r>
      <w:r w:rsidRPr="00341B41">
        <w:rPr>
          <w:noProof/>
        </w:rPr>
        <w:t>(Balser, Lorey, Pilgramm, Stark, et al., 2014)</w:t>
      </w:r>
      <w:r w:rsidRPr="00341B41">
        <w:fldChar w:fldCharType="end"/>
      </w:r>
      <w:r w:rsidRPr="00341B41">
        <w:t xml:space="preserve">. This study showed that sensorimotor activity in expert tennis players was similar both when participants were asked to anticipate the outcome of an action e.g. shot direction, and then asked to anticipate the most appropriate action to make in response e.g. forehand or backhand stroke.  </w:t>
      </w:r>
    </w:p>
    <w:p w14:paraId="7528C84B" w14:textId="297428C7" w:rsidR="005F6F30" w:rsidRPr="00341B41" w:rsidRDefault="005F6F30" w:rsidP="005F6F30">
      <w:pPr>
        <w:ind w:firstLine="720"/>
      </w:pPr>
      <w:r w:rsidRPr="00341B41">
        <w:t xml:space="preserve">Finally, one of the advantages of EEG as a methodology to study brain function is that there is great potential to use EEG in a mobile, dynamic environment </w:t>
      </w:r>
      <w:r w:rsidRPr="00341B41">
        <w:fldChar w:fldCharType="begin" w:fldLock="1"/>
      </w:r>
      <w:r w:rsidRPr="00341B41">
        <w:instrText>ADDIN CSL_CITATION { "citationItems" : [ { "id" : "ITEM-1", "itemData" : { "DOI" : "10.1016/j.neubiorev.2015.02.014", "ISSN" : "01497634", "author" : [ { "dropping-particle" : "", "family" : "Park", "given" : "Joanne L.", "non-dropping-particle" : "", "parse-names" : false, "suffix" : "" }, { "dropping-particle" : "", "family" : "Fairweather", "given" : "Malcolm M.", "non-dropping-particle" : "", "parse-names" : false, "suffix" : "" }, { "dropping-particle" : "", "family" : "Donaldson", "given" : "David I.", "non-dropping-particle" : "", "parse-names" : false, "suffix" : "" } ], "container-title" : "Neuroscience and Biobehavioural Reviews", "id" : "ITEM-1", "issued" : { "date-parts" : [ [ "2015" ] ] }, "page" : "117-130", "publisher" : "Elsevier Ltd", "title" : "Making the case for mobile cognition: EEG and sports performance", "type" : "article-journal", "volume" : "52" }, "uris" : [ "http://www.mendeley.com/documents/?uuid=19bd5e2c-fa52-4042-9962-ea2e1f01e996" ] } ], "mendeley" : { "formattedCitation" : "(J. L. Park et al., 2015)", "manualFormatting" : "(Park et al., 2015)", "plainTextFormattedCitation" : "(J. L. Park et al., 2015)", "previouslyFormattedCitation" : "(J. L. Park et al., 2015)" }, "properties" : { "noteIndex" : 0 }, "schema" : "https://github.com/citation-style-language/schema/raw/master/csl-citation.json" }</w:instrText>
      </w:r>
      <w:r w:rsidRPr="00341B41">
        <w:fldChar w:fldCharType="separate"/>
      </w:r>
      <w:r w:rsidRPr="00341B41">
        <w:rPr>
          <w:noProof/>
        </w:rPr>
        <w:t>(Park et al., 2015)</w:t>
      </w:r>
      <w:r w:rsidRPr="00341B41">
        <w:fldChar w:fldCharType="end"/>
      </w:r>
      <w:r w:rsidRPr="00341B41">
        <w:t>. Recently, the development of mobile brain/body imaging (</w:t>
      </w:r>
      <w:proofErr w:type="spellStart"/>
      <w:r w:rsidRPr="00341B41">
        <w:t>MoBI</w:t>
      </w:r>
      <w:proofErr w:type="spellEnd"/>
      <w:r w:rsidRPr="00341B41">
        <w:t xml:space="preserve">) devices allow for the simultaneous recording of EEG and motion capture, and it has been shown that typically EEG analysis methods e.g. time/frequency analysis and ERPs can be successfully </w:t>
      </w:r>
      <w:r w:rsidRPr="00341B41">
        <w:lastRenderedPageBreak/>
        <w:t xml:space="preserve">performed using data collected in a mobile environment </w:t>
      </w:r>
      <w:r w:rsidRPr="00341B41">
        <w:fldChar w:fldCharType="begin" w:fldLock="1"/>
      </w:r>
      <w:r w:rsidRPr="00341B41">
        <w:instrText>ADDIN CSL_CITATION { "citationItems" : [ { "id" : "ITEM-1", "itemData" : { "DOI" : "10.3389/978-2-88919-271-7", "ISBN" : "9782889192717", "author"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"dropping-particle" : "", "family" : "Neuroscience", "given" : "Human", "non-dropping-particle" : "", "parse-names" : false, "suffix" : "" } ], "collection-title" : "Frontiers Research Topics", "editor"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"id" : "ITEM-1", "issued" : { "date-parts" : [ [ "2014" ] ] }, "publisher" : "Frontiers Media SA", "title" : "Towards a New Cognitive Neuroscience: Modeling Natural Brain Dynamics", "type" : "book" }, "uris" : [ "http://www.mendeley.com/documents/?uuid=fb557b6d-697b-4581-b064-3a1be8df3a71" ] }, { "id" : "ITEM-2", "itemData" : { "DOI" : "10.1007/978-3-642-02812-0_85", "ISBN" : "364202811X", "ISSN" : "03029743", "abstract" : "Current brain-computer interface (BCI) research attempts to estimate intended operator body or Cursor movements from (EEG) activity alone. More general methods of monitoring operator cognitive state, intentions, motivations, and reactions to events might be based on continuous monitoring of the operator's (EEG) as well as his of her body and eye movements and, to the extent possible, her or his multisensory input. Joint modeling of this data should attempt to identify individualized nodes of brain/body activity and/or reactivity that appear in the operator's brain and/or behavior in distinct cognitive contexts, if Successful producing, in effect, a new mobile brain/body), imaging (MoBI) modality. Robust MoBI could allow development of new brain/body-system interface (BBI) designs performing multidimensional monitoring of an operator's changing cognitive state including their movement intentions and motivations and ('top-down') apprehension of sensory events.", "author" : [ { "dropping-particle" : "", "family" : "Makeig", "given" : "Scott", "non-dropping-particle" : "", "parse-names" : false, "suffix" : "" } ], "container-title" : "Lecture Notes in Computer Science (including subseries Lecture Notes in Artificial Intelligence and Lecture Notes in Bioinformatics)", "id" : "ITEM-2", "issued" : { "date-parts" : [ [ "2009" ] ] }, "page" : "749-758", "title" : "Mind monitoring via mobile brain-body imaging", "type" : "article-journal", "volume" : "5638 LNAI" }, "uris" : [ "http://www.mendeley.com/documents/?uuid=561ae424-4b02-44e1-b543-2b91bca06c36" ] } ], "mendeley" : { "formattedCitation" : "(Gramann et al., 2014; Makeig, 2009)", "plainTextFormattedCitation" : "(Gramann et al., 2014; Makeig, 2009)", "previouslyFormattedCitation" : "(Gramann et al., 2014; Makeig, 2009)" }, "properties" : { "noteIndex" : 0 }, "schema" : "https://github.com/citation-style-language/schema/raw/master/csl-citation.json" }</w:instrText>
      </w:r>
      <w:r w:rsidRPr="00341B41">
        <w:fldChar w:fldCharType="separate"/>
      </w:r>
      <w:r w:rsidRPr="00341B41">
        <w:rPr>
          <w:noProof/>
        </w:rPr>
        <w:t>(Gramann et al., 2014; Makeig, 2009)</w:t>
      </w:r>
      <w:r w:rsidRPr="00341B41">
        <w:fldChar w:fldCharType="end"/>
      </w:r>
      <w:r w:rsidRPr="00341B41">
        <w:t xml:space="preserve">. Comparisons of EEG data collected in a mobile environment to similar data recorded in a traditional experimental set-up suggests that many results obtained in a laboratory environment are replicated in a mobile setting </w:t>
      </w:r>
      <w:r w:rsidRPr="00341B41">
        <w:fldChar w:fldCharType="begin" w:fldLock="1"/>
      </w:r>
      <w:r w:rsidRPr="00341B41">
        <w:instrText>ADDIN CSL_CITATION { "citationItems" : [ { "id" : "ITEM-1", "itemData" : { "DOI" : "10.3389/978-2-88919-271-7", "ISBN" : "9782889192717", "author"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"dropping-particle" : "", "family" : "Neuroscience", "given" : "Human", "non-dropping-particle" : "", "parse-names" : false, "suffix" : "" } ], "collection-title" : "Frontiers Research Topics", "editor"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"id" : "ITEM-1", "issued" : { "date-parts" : [ [ "2014" ] ] }, "publisher" : "Frontiers Media SA", "title" : "Towards a New Cognitive Neuroscience: Modeling Natural Brain Dynamics", "type" : "book" }, "uris" : [ "http://www.mendeley.com/documents/?uuid=fb557b6d-697b-4581-b064-3a1be8df3a71" ] } ], "mendeley" : { "formattedCitation" : "(Gramann et al., 2014)", "plainTextFormattedCitation" : "(Gramann et al., 2014)", "previouslyFormattedCitation" : "(Gramann et al., 2014)" }, "properties" : { "noteIndex" : 0 }, "schema" : "https://github.com/citation-style-language/schema/raw/master/csl-citation.json" }</w:instrText>
      </w:r>
      <w:r w:rsidRPr="00341B41">
        <w:fldChar w:fldCharType="separate"/>
      </w:r>
      <w:r w:rsidRPr="00341B41">
        <w:rPr>
          <w:noProof/>
        </w:rPr>
        <w:t>(Gramann et al., 2014)</w:t>
      </w:r>
      <w:r w:rsidRPr="00341B41">
        <w:fldChar w:fldCharType="end"/>
      </w:r>
      <w:r w:rsidR="0020355C" w:rsidRPr="00341B41">
        <w:t>. H</w:t>
      </w:r>
      <w:r w:rsidRPr="00341B41">
        <w:t>owever</w:t>
      </w:r>
      <w:r w:rsidR="0020355C" w:rsidRPr="00341B41">
        <w:t>,</w:t>
      </w:r>
      <w:r w:rsidRPr="00341B41">
        <w:t xml:space="preserve"> it has been shown that new sources of activity discovered in the mobile recording does have an impact on the nature of the activity in the EEG sources that are active in both experimental designs </w:t>
      </w:r>
      <w:r w:rsidRPr="00341B41">
        <w:fldChar w:fldCharType="begin" w:fldLock="1"/>
      </w:r>
      <w:r w:rsidRPr="00341B41">
        <w:instrText>ADDIN CSL_CITATION { "citationItems" : [ { "id" : "ITEM-1", "itemData" : { "DOI" : "10.1162/jocn.2009.21369", "ISBN" : "0898-929X", "ISSN" : "0898-929X", "PMID" : "19925183", "abstract" : "Maintaining spatial orientation while travelling requires integrating spatial information encountered from an egocentric viewpoint with accumulated information represented within egocentric and/or allocentric reference frames. Here, we report changes in high-density EEG activity during a virtual tunnel passage task in which subjects respond to a postnavigation homing challenge in distinctly different ways--either compatible with a continued experience of the virtual environment from a solely egocentric perspective or as if also maintaining their original entrance orientation, indicating use of a parallel allocentric reference frame. By spatially filtering the EEG data using independent component analysis, we found that these two equal subject subgroups exhibited differences in EEG power spectral modulation during tunnel passages in only a few cortical areas. During tunnel turns, stronger alpha blocking occurred only in or near right primary visual cortex of subjects whose homing responses were compatible with continued use of an egocentric reference frame. In contrast, approaching and during tunnel turns, subjects who responded in a way compatible with use of an allocentric reference frame exhibited stronger alpha blocking of occipito-temporal, bilateral inferior parietal, and retrosplenial cortical areas, all areas implicated by hemodynamic imaging and neuropsychological observation in construction and maintenance of an allocentric reference frame. We conclude that in these subjects, stronger activation of retrosplenial and related cortical areas during turns support a continuous translation of egocentrically experienced visual flow into an allocentric model of their virtual position and movement.", "author" : [ { "dropping-particle" : "", "family" : "Gramann", "given" : "Klaus", "non-dropping-particle" : "", "parse-names" : false, "suffix" : "" }, { "dropping-particle" : "", "family" : "Onton", "given" : "Julie", "non-dropping-particle" : "", "parse-names" : false, "suffix" : "" }, { "dropping-particle" : "", "family" : "Riccobon", "given" : "Davide", "non-dropping-particle" : "", "parse-names" : false, "suffix" : "" }, { "dropping-particle" : "", "family" : "Mueller", "given" : "Hermann J", "non-dropping-particle" : "", "parse-names" : false, "suffix" : "" }, { "dropping-particle" : "", "family" : "Bardins", "given" : "Stanislav", "non-dropping-particle" : "", "parse-names" : false, "suffix" : "" }, { "dropping-particle" : "", "family" : "Makeig", "given" : "Scott", "non-dropping-particle" : "", "parse-names" : false, "suffix" : "" } ], "container-title" : "Journal of Cognitive Neuroscience", "id" : "ITEM-1", "issue" : "12", "issued" : { "date-parts" : [ [ "2010" ] ] }, "page" : "2836-2849", "title" : "Human brain dynamics accompanying use of egocentric and allocentric reference frames during navigation.", "type" : "article-journal", "volume" : "22" }, "uris" : [ "http://www.mendeley.com/documents/?uuid=65c3bf9b-29af-428c-b948-bc49e1c41c8c" ] }, { "id" : "ITEM-2", "itemData" : { "DOI" : "10.3389/978-2-88919-271-7", "ISBN" : "9782889192717", "author"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"dropping-particle" : "", "family" : "Neuroscience", "given" : "Human", "non-dropping-particle" : "", "parse-names" : false, "suffix" : "" } ], "collection-title" : "Frontiers Research Topics", "editor" : [ { "dropping-particle" : "", "family" : "Gramann", "given" : "Klaus", "non-dropping-particle" : "", "parse-names" : false, "suffix" : "" }, { "dropping-particle" : "", "family" : "Jung", "given" : "Tzyy-Ping", "non-dropping-particle" : "", "parse-names" : false, "suffix" : "" }, { "dropping-particle" : "", "family" : "Ferris", "given" : "Daniel P.", "non-dropping-particle" : "", "parse-names" : false, "suffix" : "" }, { "dropping-particle" : "", "family" : "Lin", "given" : "Chin-Teng", "non-dropping-particle" : "", "parse-names" : false, "suffix" : "" }, { "dropping-particle" : "", "family" : "Makeig", "given" : "Scott", "non-dropping-particle" : "", "parse-names" : false, "suffix" : "" } ], "id" : "ITEM-2", "issued" : { "date-parts" : [ [ "2014" ] ] }, "publisher" : "Frontiers Media SA", "title" : "Towards a New Cognitive Neuroscience: Modeling Natural Brain Dynamics", "type" : "book" }, "uris" : [ "http://www.mendeley.com/documents/?uuid=fb557b6d-697b-4581-b064-3a1be8df3a71" ] } ], "mendeley" : { "formattedCitation" : "(Gramann et al., 2010, 2014)", "plainTextFormattedCitation" : "(Gramann et al., 2010, 2014)", "previouslyFormattedCitation" : "(Gramann et al., 2010, 2014)" }, "properties" : { "noteIndex" : 0 }, "schema" : "https://github.com/citation-style-language/schema/raw/master/csl-citation.json" }</w:instrText>
      </w:r>
      <w:r w:rsidRPr="00341B41">
        <w:fldChar w:fldCharType="separate"/>
      </w:r>
      <w:r w:rsidRPr="00341B41">
        <w:rPr>
          <w:noProof/>
        </w:rPr>
        <w:t>(Gramann et al., 2010, 2014)</w:t>
      </w:r>
      <w:r w:rsidRPr="00341B41">
        <w:fldChar w:fldCharType="end"/>
      </w:r>
      <w:r w:rsidRPr="00341B41">
        <w:t>. Whilst these techniques are still in their infancy, there is great potential for future research on the neural basis of skilled anticipation to be conducted in a real-world environment. With regards to this, the current thesis provides important groundwork upon which such a study could develop hypotheses regarding neural activity ongoing during action observation and anticipation.</w:t>
      </w:r>
    </w:p>
    <w:p w14:paraId="292A2FCA" w14:textId="77777777" w:rsidR="007A7E98" w:rsidRPr="00341B41" w:rsidRDefault="007A7E98" w:rsidP="000E5280">
      <w:pPr>
        <w:sectPr w:rsidR="007A7E98" w:rsidRPr="00341B41" w:rsidSect="00805FAB">
          <w:pgSz w:w="12240" w:h="15840"/>
          <w:pgMar w:top="1440" w:right="1138" w:bottom="1440" w:left="2275" w:header="720" w:footer="720" w:gutter="0"/>
          <w:cols w:space="720"/>
          <w:titlePg/>
          <w:docGrid w:linePitch="360"/>
        </w:sectPr>
      </w:pPr>
    </w:p>
    <w:p w14:paraId="71DEB010" w14:textId="64E14C45" w:rsidR="000E5280" w:rsidRPr="00341B41" w:rsidRDefault="007A7E98" w:rsidP="007A7E98">
      <w:pPr>
        <w:pStyle w:val="Heading1"/>
      </w:pPr>
      <w:bookmarkStart w:id="128" w:name="_Toc486260908"/>
      <w:r w:rsidRPr="00341B41">
        <w:lastRenderedPageBreak/>
        <w:t>Bibliography</w:t>
      </w:r>
      <w:bookmarkEnd w:id="128"/>
    </w:p>
    <w:p w14:paraId="13C54574" w14:textId="16A6C8CD" w:rsidR="001846B6" w:rsidRPr="00341B41" w:rsidRDefault="007A7E98" w:rsidP="001846B6">
      <w:pPr>
        <w:widowControl w:val="0"/>
        <w:autoSpaceDE w:val="0"/>
        <w:autoSpaceDN w:val="0"/>
        <w:adjustRightInd w:val="0"/>
        <w:ind w:left="480" w:hanging="480"/>
        <w:rPr>
          <w:rFonts w:eastAsia="Times New Roman" w:cs="Times New Roman"/>
          <w:noProof/>
        </w:rPr>
      </w:pPr>
      <w:r w:rsidRPr="00341B41">
        <w:fldChar w:fldCharType="begin" w:fldLock="1"/>
      </w:r>
      <w:r w:rsidRPr="00341B41">
        <w:instrText xml:space="preserve">ADDIN Mendeley Bibliography CSL_BIBLIOGRAPHY </w:instrText>
      </w:r>
      <w:r w:rsidRPr="00341B41">
        <w:fldChar w:fldCharType="separate"/>
      </w:r>
      <w:r w:rsidR="001846B6" w:rsidRPr="00341B41">
        <w:rPr>
          <w:rFonts w:eastAsia="Times New Roman" w:cs="Times New Roman"/>
          <w:noProof/>
        </w:rPr>
        <w:t xml:space="preserve">Abernethy, B. (1990). Expertise, visual search, and information pick-up in squash. </w:t>
      </w:r>
      <w:r w:rsidR="001846B6" w:rsidRPr="00341B41">
        <w:rPr>
          <w:rFonts w:eastAsia="Times New Roman" w:cs="Times New Roman"/>
          <w:i/>
          <w:iCs/>
          <w:noProof/>
        </w:rPr>
        <w:t>Perception</w:t>
      </w:r>
      <w:r w:rsidR="001846B6" w:rsidRPr="00341B41">
        <w:rPr>
          <w:rFonts w:eastAsia="Times New Roman" w:cs="Times New Roman"/>
          <w:noProof/>
        </w:rPr>
        <w:t xml:space="preserve">, </w:t>
      </w:r>
      <w:r w:rsidR="001846B6" w:rsidRPr="00341B41">
        <w:rPr>
          <w:rFonts w:eastAsia="Times New Roman" w:cs="Times New Roman"/>
          <w:i/>
          <w:iCs/>
          <w:noProof/>
        </w:rPr>
        <w:t>19</w:t>
      </w:r>
      <w:r w:rsidR="001846B6" w:rsidRPr="00341B41">
        <w:rPr>
          <w:rFonts w:eastAsia="Times New Roman" w:cs="Times New Roman"/>
          <w:noProof/>
        </w:rPr>
        <w:t>(1), 63–77.</w:t>
      </w:r>
    </w:p>
    <w:p w14:paraId="1206207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Abernethy, B., Gill, D. P., Parks, S. L., &amp; Packer, S. T. (2001). Expertise and the perception of kinematic and situational probability information. </w:t>
      </w:r>
      <w:r w:rsidRPr="00341B41">
        <w:rPr>
          <w:rFonts w:eastAsia="Times New Roman" w:cs="Times New Roman"/>
          <w:i/>
          <w:iCs/>
          <w:noProof/>
        </w:rPr>
        <w:t>Perception</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(2), 233–252. http://doi.org/10.1068/p2872</w:t>
      </w:r>
    </w:p>
    <w:p w14:paraId="101897A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Abernethy, B., &amp; Russell, D. G. (1987a). Expert novice differences in an applied selective attention task. </w:t>
      </w:r>
      <w:r w:rsidRPr="00341B41">
        <w:rPr>
          <w:rFonts w:eastAsia="Times New Roman" w:cs="Times New Roman"/>
          <w:i/>
          <w:iCs/>
          <w:noProof/>
        </w:rPr>
        <w:t>Journal of Sport Psychology</w:t>
      </w:r>
      <w:r w:rsidRPr="00341B41">
        <w:rPr>
          <w:rFonts w:eastAsia="Times New Roman" w:cs="Times New Roman"/>
          <w:noProof/>
        </w:rPr>
        <w:t xml:space="preserve">, </w:t>
      </w:r>
      <w:r w:rsidRPr="00341B41">
        <w:rPr>
          <w:rFonts w:eastAsia="Times New Roman" w:cs="Times New Roman"/>
          <w:i/>
          <w:iCs/>
          <w:noProof/>
        </w:rPr>
        <w:t>9</w:t>
      </w:r>
      <w:r w:rsidRPr="00341B41">
        <w:rPr>
          <w:rFonts w:eastAsia="Times New Roman" w:cs="Times New Roman"/>
          <w:noProof/>
        </w:rPr>
        <w:t>(4), 326–345.</w:t>
      </w:r>
    </w:p>
    <w:p w14:paraId="1A7F99E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Abernethy, B., &amp; Russell, D. G. (1987b). The relationship between expertise and visual search strategy in a racquet sport. </w:t>
      </w:r>
      <w:r w:rsidRPr="00341B41">
        <w:rPr>
          <w:rFonts w:eastAsia="Times New Roman" w:cs="Times New Roman"/>
          <w:i/>
          <w:iCs/>
          <w:noProof/>
        </w:rPr>
        <w:t>Human Movement Science</w:t>
      </w:r>
      <w:r w:rsidRPr="00341B41">
        <w:rPr>
          <w:rFonts w:eastAsia="Times New Roman" w:cs="Times New Roman"/>
          <w:noProof/>
        </w:rPr>
        <w:t xml:space="preserve">, </w:t>
      </w:r>
      <w:r w:rsidRPr="00341B41">
        <w:rPr>
          <w:rFonts w:eastAsia="Times New Roman" w:cs="Times New Roman"/>
          <w:i/>
          <w:iCs/>
          <w:noProof/>
        </w:rPr>
        <w:t>6</w:t>
      </w:r>
      <w:r w:rsidRPr="00341B41">
        <w:rPr>
          <w:rFonts w:eastAsia="Times New Roman" w:cs="Times New Roman"/>
          <w:noProof/>
        </w:rPr>
        <w:t>, 283–319.</w:t>
      </w:r>
    </w:p>
    <w:p w14:paraId="2C3FBC1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Abernethy, B., &amp; Zawi, K. (2007). Pickup of essential kinematics underpins expert perception of movement patterns. </w:t>
      </w:r>
      <w:r w:rsidRPr="00341B41">
        <w:rPr>
          <w:rFonts w:eastAsia="Times New Roman" w:cs="Times New Roman"/>
          <w:i/>
          <w:iCs/>
          <w:noProof/>
        </w:rPr>
        <w:t>Journal of Motor Behaviour</w:t>
      </w:r>
      <w:r w:rsidRPr="00341B41">
        <w:rPr>
          <w:rFonts w:eastAsia="Times New Roman" w:cs="Times New Roman"/>
          <w:noProof/>
        </w:rPr>
        <w:t xml:space="preserve">, </w:t>
      </w:r>
      <w:r w:rsidRPr="00341B41">
        <w:rPr>
          <w:rFonts w:eastAsia="Times New Roman" w:cs="Times New Roman"/>
          <w:i/>
          <w:iCs/>
          <w:noProof/>
        </w:rPr>
        <w:t>39</w:t>
      </w:r>
      <w:r w:rsidRPr="00341B41">
        <w:rPr>
          <w:rFonts w:eastAsia="Times New Roman" w:cs="Times New Roman"/>
          <w:noProof/>
        </w:rPr>
        <w:t>(5), 353–67. http://doi.org/10.3200/JMBR.39.5.353-368</w:t>
      </w:r>
    </w:p>
    <w:p w14:paraId="241E6B6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Abreu, A. M., Macaluso, E., Azevedo, R. T., Cesari, P., Urgesi, C., &amp; Aglioti, S. M. (2012). Action anticipation beyond the action observation network : a functional magnetic resonance imaging study in expert basketball players. </w:t>
      </w:r>
      <w:r w:rsidRPr="00341B41">
        <w:rPr>
          <w:rFonts w:eastAsia="Times New Roman" w:cs="Times New Roman"/>
          <w:i/>
          <w:iCs/>
          <w:noProof/>
        </w:rPr>
        <w:t>European Journal of Neuroscience</w:t>
      </w:r>
      <w:r w:rsidRPr="00341B41">
        <w:rPr>
          <w:rFonts w:eastAsia="Times New Roman" w:cs="Times New Roman"/>
          <w:noProof/>
        </w:rPr>
        <w:t xml:space="preserve">, </w:t>
      </w:r>
      <w:r w:rsidRPr="00341B41">
        <w:rPr>
          <w:rFonts w:eastAsia="Times New Roman" w:cs="Times New Roman"/>
          <w:i/>
          <w:iCs/>
          <w:noProof/>
        </w:rPr>
        <w:t>35</w:t>
      </w:r>
      <w:r w:rsidRPr="00341B41">
        <w:rPr>
          <w:rFonts w:eastAsia="Times New Roman" w:cs="Times New Roman"/>
          <w:noProof/>
        </w:rPr>
        <w:t>, 1646–1654. http://doi.org/10.1111/j.1460-9568.2012.08104.x</w:t>
      </w:r>
    </w:p>
    <w:p w14:paraId="3E0C4EF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Acar, Z. A., &amp; Makeig, S. (2010). Neuroelectromagnetic Forward Head Modeling Toolbox. </w:t>
      </w:r>
      <w:r w:rsidRPr="00341B41">
        <w:rPr>
          <w:rFonts w:eastAsia="Times New Roman" w:cs="Times New Roman"/>
          <w:i/>
          <w:iCs/>
          <w:noProof/>
        </w:rPr>
        <w:t>Journal of Neuroscience Methods</w:t>
      </w:r>
      <w:r w:rsidRPr="00341B41">
        <w:rPr>
          <w:rFonts w:eastAsia="Times New Roman" w:cs="Times New Roman"/>
          <w:noProof/>
        </w:rPr>
        <w:t xml:space="preserve">, </w:t>
      </w:r>
      <w:r w:rsidRPr="00341B41">
        <w:rPr>
          <w:rFonts w:eastAsia="Times New Roman" w:cs="Times New Roman"/>
          <w:i/>
          <w:iCs/>
          <w:noProof/>
        </w:rPr>
        <w:t>190</w:t>
      </w:r>
      <w:r w:rsidRPr="00341B41">
        <w:rPr>
          <w:rFonts w:eastAsia="Times New Roman" w:cs="Times New Roman"/>
          <w:noProof/>
        </w:rPr>
        <w:t>(2), 258–270. http://doi.org/10.1016/j.jneumeth.2010.04.031</w:t>
      </w:r>
    </w:p>
    <w:p w14:paraId="793DA10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Aglioti, S. M., Cesari, P., Romani, M., &amp; Urgesi, C. (2008). Action anticipation and motor resonance in elite basketball players. </w:t>
      </w:r>
      <w:r w:rsidRPr="00341B41">
        <w:rPr>
          <w:rFonts w:eastAsia="Times New Roman" w:cs="Times New Roman"/>
          <w:i/>
          <w:iCs/>
          <w:noProof/>
        </w:rPr>
        <w:t>Nature Neuroscience</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(9), 1109–1116. http://doi.org/10.1038/nn.2182</w:t>
      </w:r>
    </w:p>
    <w:p w14:paraId="4C56B6A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Amoruso, L., Sedeño, L., Huepe, D., Tomio, A., Kamienkowski, J., Hurtado, E., … Ibáñez, A. (2014). Time to Tango: Expertise and contextual anticipation during action observation.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98</w:t>
      </w:r>
      <w:r w:rsidRPr="00341B41">
        <w:rPr>
          <w:rFonts w:eastAsia="Times New Roman" w:cs="Times New Roman"/>
          <w:noProof/>
        </w:rPr>
        <w:t>, 366–85. http://doi.org/10.1016/j.neuroimage.2014.05.005</w:t>
      </w:r>
    </w:p>
    <w:p w14:paraId="35AAC28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Anemuller, J., Sejnowski, T. J., &amp; Makeig, S. (2003). Complex independent component ananlysis of frequency-domain electroencephalographic data. </w:t>
      </w:r>
      <w:r w:rsidRPr="00341B41">
        <w:rPr>
          <w:rFonts w:eastAsia="Times New Roman" w:cs="Times New Roman"/>
          <w:i/>
          <w:iCs/>
          <w:noProof/>
        </w:rPr>
        <w:t>Neural Networks</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 1311–1323.</w:t>
      </w:r>
    </w:p>
    <w:p w14:paraId="72F5409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Arieli, A., Sterkin, A., Grinvald, A., &amp; Aertsen, A. (1996). Dynamics of ongoing activity: Explanation og the large variability in evoked cortical responses. </w:t>
      </w:r>
      <w:r w:rsidRPr="00341B41">
        <w:rPr>
          <w:rFonts w:eastAsia="Times New Roman" w:cs="Times New Roman"/>
          <w:i/>
          <w:iCs/>
          <w:noProof/>
        </w:rPr>
        <w:t>Science</w:t>
      </w:r>
      <w:r w:rsidRPr="00341B41">
        <w:rPr>
          <w:rFonts w:eastAsia="Times New Roman" w:cs="Times New Roman"/>
          <w:noProof/>
        </w:rPr>
        <w:t xml:space="preserve">, </w:t>
      </w:r>
      <w:r w:rsidRPr="00341B41">
        <w:rPr>
          <w:rFonts w:eastAsia="Times New Roman" w:cs="Times New Roman"/>
          <w:i/>
          <w:iCs/>
          <w:noProof/>
        </w:rPr>
        <w:t>273</w:t>
      </w:r>
      <w:r w:rsidRPr="00341B41">
        <w:rPr>
          <w:rFonts w:eastAsia="Times New Roman" w:cs="Times New Roman"/>
          <w:noProof/>
        </w:rPr>
        <w:t>, 1868–1871.</w:t>
      </w:r>
    </w:p>
    <w:p w14:paraId="45BB6CE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Arnstein, D., Cui, F., Keysers, C., Maurits, N. M., &amp; Gazzola, V. (2011). μ-suppression during action observation and execution correlates with BOLD in dorsal premotor, inferior parietal, and SI cortices.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(40), 14243–14249. http://doi.org/10.1523/JNEUROSCI.0963-11.2011</w:t>
      </w:r>
    </w:p>
    <w:p w14:paraId="424E56A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Avenanti, A., Candidi, M., &amp; Urgesi, C. (2013). Vicarious motor activation during action perception: beyond correlational evidence.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(May), 185. http://doi.org/10.3389/fnhum.2013.00185</w:t>
      </w:r>
    </w:p>
    <w:p w14:paraId="525F11F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Babiloni, C., Del Percio, C., Vecchio, F., Sebastiano, F., Di Gennaro, G., Quarato, P. P., … </w:t>
      </w:r>
      <w:r w:rsidRPr="00341B41">
        <w:rPr>
          <w:rFonts w:eastAsia="Times New Roman" w:cs="Times New Roman"/>
          <w:noProof/>
        </w:rPr>
        <w:lastRenderedPageBreak/>
        <w:t xml:space="preserve">Mirabella, G. (2015). Alpha, beta and gamma electrocorticographic rhythms in somatosensory, motor, premotor and prefrontal cortical areas differ in movement execution and observation in humans.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127</w:t>
      </w:r>
      <w:r w:rsidRPr="00341B41">
        <w:rPr>
          <w:rFonts w:eastAsia="Times New Roman" w:cs="Times New Roman"/>
          <w:noProof/>
        </w:rPr>
        <w:t>(1), 1–14. http://doi.org/10.1016/j.clinph.2015.04.068</w:t>
      </w:r>
    </w:p>
    <w:p w14:paraId="2442287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Badre, D., &amp; D’Esposito, M. (2009). Is the rostro-caudal axis of the frontal lobe hierarchical. </w:t>
      </w:r>
      <w:r w:rsidRPr="00341B41">
        <w:rPr>
          <w:rFonts w:eastAsia="Times New Roman" w:cs="Times New Roman"/>
          <w:i/>
          <w:iCs/>
          <w:noProof/>
        </w:rPr>
        <w:t>Nature Reviews Neuroscience</w:t>
      </w:r>
      <w:r w:rsidRPr="00341B41">
        <w:rPr>
          <w:rFonts w:eastAsia="Times New Roman" w:cs="Times New Roman"/>
          <w:noProof/>
        </w:rPr>
        <w:t xml:space="preserve">, </w:t>
      </w:r>
      <w:r w:rsidRPr="00341B41">
        <w:rPr>
          <w:rFonts w:eastAsia="Times New Roman" w:cs="Times New Roman"/>
          <w:i/>
          <w:iCs/>
          <w:noProof/>
        </w:rPr>
        <w:t>10</w:t>
      </w:r>
      <w:r w:rsidRPr="00341B41">
        <w:rPr>
          <w:rFonts w:eastAsia="Times New Roman" w:cs="Times New Roman"/>
          <w:noProof/>
        </w:rPr>
        <w:t>, 659–669.</w:t>
      </w:r>
    </w:p>
    <w:p w14:paraId="1918673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Balser, N., Lorey, B., Pilgramm, S., Naumann, T., Kindermann, S., Stark, R., … Munzert, J. (2014). The influence of expertise on brain activation of the action observation network during anticipation of tennis and volleyball serves.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(568), 1–13.</w:t>
      </w:r>
    </w:p>
    <w:p w14:paraId="583C124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Balser, N., Lorey, B., Pilgramm, S., Stark, R., Bischoff, M., Zentgraf, K., … Munzert, J. (2014). Prediction of human actions: Expertise and task-related effects on neural activation of the action observation network. </w:t>
      </w:r>
      <w:r w:rsidRPr="00341B41">
        <w:rPr>
          <w:rFonts w:eastAsia="Times New Roman" w:cs="Times New Roman"/>
          <w:i/>
          <w:iCs/>
          <w:noProof/>
        </w:rPr>
        <w:t>Human Brain Mapping</w:t>
      </w:r>
      <w:r w:rsidRPr="00341B41">
        <w:rPr>
          <w:rFonts w:eastAsia="Times New Roman" w:cs="Times New Roman"/>
          <w:noProof/>
        </w:rPr>
        <w:t xml:space="preserve">, </w:t>
      </w:r>
      <w:r w:rsidRPr="00341B41">
        <w:rPr>
          <w:rFonts w:eastAsia="Times New Roman" w:cs="Times New Roman"/>
          <w:i/>
          <w:iCs/>
          <w:noProof/>
        </w:rPr>
        <w:t>35</w:t>
      </w:r>
      <w:r w:rsidRPr="00341B41">
        <w:rPr>
          <w:rFonts w:eastAsia="Times New Roman" w:cs="Times New Roman"/>
          <w:noProof/>
        </w:rPr>
        <w:t>, 4016–4034. http://doi.org/10.1002/hbm.22455</w:t>
      </w:r>
    </w:p>
    <w:p w14:paraId="1396063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Barfield, W. R., Kirkendall, D. T., &amp; Yu, B. (2002). Kinematic instep kicking differences between elite female and male soccer players. </w:t>
      </w:r>
      <w:r w:rsidRPr="00341B41">
        <w:rPr>
          <w:rFonts w:eastAsia="Times New Roman" w:cs="Times New Roman"/>
          <w:i/>
          <w:iCs/>
          <w:noProof/>
        </w:rPr>
        <w:t>Journal of Sports Science and Medicine</w:t>
      </w:r>
      <w:r w:rsidRPr="00341B41">
        <w:rPr>
          <w:rFonts w:eastAsia="Times New Roman" w:cs="Times New Roman"/>
          <w:noProof/>
        </w:rPr>
        <w:t xml:space="preserve">, </w:t>
      </w:r>
      <w:r w:rsidRPr="00341B41">
        <w:rPr>
          <w:rFonts w:eastAsia="Times New Roman" w:cs="Times New Roman"/>
          <w:i/>
          <w:iCs/>
          <w:noProof/>
        </w:rPr>
        <w:t>1</w:t>
      </w:r>
      <w:r w:rsidRPr="00341B41">
        <w:rPr>
          <w:rFonts w:eastAsia="Times New Roman" w:cs="Times New Roman"/>
          <w:noProof/>
        </w:rPr>
        <w:t>(3), 72–79.</w:t>
      </w:r>
    </w:p>
    <w:p w14:paraId="7D7905F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Behan, M., &amp; Wilson, M. (2008). State anxiety and visual attention: The role of the quiet eye period in aiming to a far target.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26</w:t>
      </w:r>
      <w:r w:rsidRPr="00341B41">
        <w:rPr>
          <w:rFonts w:eastAsia="Times New Roman" w:cs="Times New Roman"/>
          <w:noProof/>
        </w:rPr>
        <w:t>(2), 207–215. http://doi.org/10.1080/02640410701446919</w:t>
      </w:r>
    </w:p>
    <w:p w14:paraId="26E7492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Bell, A. J., &amp; Sejnowski, T. J. (1995). An information-maximization approach to blind </w:t>
      </w:r>
      <w:r w:rsidRPr="00341B41">
        <w:rPr>
          <w:rFonts w:eastAsia="Times New Roman" w:cs="Times New Roman"/>
          <w:noProof/>
        </w:rPr>
        <w:lastRenderedPageBreak/>
        <w:t xml:space="preserve">separation and blind deconvolution. </w:t>
      </w:r>
      <w:r w:rsidRPr="00341B41">
        <w:rPr>
          <w:rFonts w:eastAsia="Times New Roman" w:cs="Times New Roman"/>
          <w:i/>
          <w:iCs/>
          <w:noProof/>
        </w:rPr>
        <w:t>Neural Computation</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(6), 1129–1159. http://doi.org/10.1162/neco.1995.7.6.1129</w:t>
      </w:r>
    </w:p>
    <w:p w14:paraId="11EDFE1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Bernardi, G., Ricciardi, E., Sani, L., Gaglianese, A., Papasogli, A., Ceccarelli, R., … Pietrini, P. (2013). How skill expertise shapes the brain functional architecture: an FMRI study of visuo-spatial and motor processing in professional racing-car and naïve drivers.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(10), 1–11. http://doi.org/10.1371/journal.pone.0077764</w:t>
      </w:r>
    </w:p>
    <w:p w14:paraId="72387BA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Bernier, R., Aaronson, B., &amp; McPartland, J. (2013). The role of imitation in the observed heterogeneity in EEG mu rhythm in autism and typical development. </w:t>
      </w:r>
      <w:r w:rsidRPr="00341B41">
        <w:rPr>
          <w:rFonts w:eastAsia="Times New Roman" w:cs="Times New Roman"/>
          <w:i/>
          <w:iCs/>
          <w:noProof/>
        </w:rPr>
        <w:t>Brain and Cognition</w:t>
      </w:r>
      <w:r w:rsidRPr="00341B41">
        <w:rPr>
          <w:rFonts w:eastAsia="Times New Roman" w:cs="Times New Roman"/>
          <w:noProof/>
        </w:rPr>
        <w:t xml:space="preserve">, </w:t>
      </w:r>
      <w:r w:rsidRPr="00341B41">
        <w:rPr>
          <w:rFonts w:eastAsia="Times New Roman" w:cs="Times New Roman"/>
          <w:i/>
          <w:iCs/>
          <w:noProof/>
        </w:rPr>
        <w:t>82</w:t>
      </w:r>
      <w:r w:rsidRPr="00341B41">
        <w:rPr>
          <w:rFonts w:eastAsia="Times New Roman" w:cs="Times New Roman"/>
          <w:noProof/>
        </w:rPr>
        <w:t>(1), 69–75. http://doi.org/10.1016/j.bandc.2013.02.008</w:t>
      </w:r>
    </w:p>
    <w:p w14:paraId="7BEDDA8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Bernier, R., Dawson, G., Webb, S., &amp; Murias, M. (2007). EEG mu rhythm and imitation impairments in individuals with autism spectrum disorder. </w:t>
      </w:r>
      <w:r w:rsidRPr="00341B41">
        <w:rPr>
          <w:rFonts w:eastAsia="Times New Roman" w:cs="Times New Roman"/>
          <w:i/>
          <w:iCs/>
          <w:noProof/>
        </w:rPr>
        <w:t>Brain and Cognition</w:t>
      </w:r>
      <w:r w:rsidRPr="00341B41">
        <w:rPr>
          <w:rFonts w:eastAsia="Times New Roman" w:cs="Times New Roman"/>
          <w:noProof/>
        </w:rPr>
        <w:t xml:space="preserve">, </w:t>
      </w:r>
      <w:r w:rsidRPr="00341B41">
        <w:rPr>
          <w:rFonts w:eastAsia="Times New Roman" w:cs="Times New Roman"/>
          <w:i/>
          <w:iCs/>
          <w:noProof/>
        </w:rPr>
        <w:t>64</w:t>
      </w:r>
      <w:r w:rsidRPr="00341B41">
        <w:rPr>
          <w:rFonts w:eastAsia="Times New Roman" w:cs="Times New Roman"/>
          <w:noProof/>
        </w:rPr>
        <w:t>(3), 228–237. http://doi.org/10.1016/j.bandc.2007.03.004</w:t>
      </w:r>
    </w:p>
    <w:p w14:paraId="6EE5C49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Bigdely-Shamlo, N., Mullen, T., Kreutz-Delgado, K., &amp; Makeig, S. (2013). Measure projection analysis: A probabilistic approach to EEG source comparison and multi-subject inference.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72</w:t>
      </w:r>
      <w:r w:rsidRPr="00341B41">
        <w:rPr>
          <w:rFonts w:eastAsia="Times New Roman" w:cs="Times New Roman"/>
          <w:noProof/>
        </w:rPr>
        <w:t>, 287–303. http://doi.org/10.1016/j.neuroimage.2013.01.040</w:t>
      </w:r>
    </w:p>
    <w:p w14:paraId="7FB484D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Binder, J. R., Desai, R. H., Graves, W. W., &amp; Conant, L. L. (2009). Where is the semantic system? A critical review and meta-analysis of 120 functional neuroimaging studies. </w:t>
      </w:r>
      <w:r w:rsidRPr="00341B41">
        <w:rPr>
          <w:rFonts w:eastAsia="Times New Roman" w:cs="Times New Roman"/>
          <w:i/>
          <w:iCs/>
          <w:noProof/>
        </w:rPr>
        <w:t>Cerebral Cortex</w:t>
      </w:r>
      <w:r w:rsidRPr="00341B41">
        <w:rPr>
          <w:rFonts w:eastAsia="Times New Roman" w:cs="Times New Roman"/>
          <w:noProof/>
        </w:rPr>
        <w:t xml:space="preserve">, </w:t>
      </w:r>
      <w:r w:rsidRPr="00341B41">
        <w:rPr>
          <w:rFonts w:eastAsia="Times New Roman" w:cs="Times New Roman"/>
          <w:i/>
          <w:iCs/>
          <w:noProof/>
        </w:rPr>
        <w:t>19</w:t>
      </w:r>
      <w:r w:rsidRPr="00341B41">
        <w:rPr>
          <w:rFonts w:eastAsia="Times New Roman" w:cs="Times New Roman"/>
          <w:noProof/>
        </w:rPr>
        <w:t>, 2767–2796.</w:t>
      </w:r>
    </w:p>
    <w:p w14:paraId="4B5902C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Bishop, D. T., Wright, M. J., Jackson, R. C., &amp; Abernethy, B. (2013). Neural bases for anticipation skill in soccer: an FMRI study.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lastRenderedPageBreak/>
        <w:t>35</w:t>
      </w:r>
      <w:r w:rsidRPr="00341B41">
        <w:rPr>
          <w:rFonts w:eastAsia="Times New Roman" w:cs="Times New Roman"/>
          <w:noProof/>
        </w:rPr>
        <w:t>(1), 98–109. Retrieved from http://www.ncbi.nlm.nih.gov/pubmed/23404883</w:t>
      </w:r>
    </w:p>
    <w:p w14:paraId="30CD2C1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Blacker, K. J., &amp; Curby, K. M. (2013). Enhanced visual short-term memory in action video game players. </w:t>
      </w:r>
      <w:r w:rsidRPr="00341B41">
        <w:rPr>
          <w:rFonts w:eastAsia="Times New Roman" w:cs="Times New Roman"/>
          <w:i/>
          <w:iCs/>
          <w:noProof/>
        </w:rPr>
        <w:t>Attention, Perception and Psychophysics</w:t>
      </w:r>
      <w:r w:rsidRPr="00341B41">
        <w:rPr>
          <w:rFonts w:eastAsia="Times New Roman" w:cs="Times New Roman"/>
          <w:noProof/>
        </w:rPr>
        <w:t xml:space="preserve">, </w:t>
      </w:r>
      <w:r w:rsidRPr="00341B41">
        <w:rPr>
          <w:rFonts w:eastAsia="Times New Roman" w:cs="Times New Roman"/>
          <w:i/>
          <w:iCs/>
          <w:noProof/>
        </w:rPr>
        <w:t>75</w:t>
      </w:r>
      <w:r w:rsidRPr="00341B41">
        <w:rPr>
          <w:rFonts w:eastAsia="Times New Roman" w:cs="Times New Roman"/>
          <w:noProof/>
        </w:rPr>
        <w:t>(6), 1128–36. http://doi.org/10.3758/s13414-013-0487-0</w:t>
      </w:r>
    </w:p>
    <w:p w14:paraId="4A21625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Bonini, L., Rozzi, S., Serventi, F. U., Simone, L., Ferrari, P. F., &amp; Fogassi, L. (2010). Ventral premotor and inferior parietal cortices make distinct contribution to action organization and intention understanding. </w:t>
      </w:r>
      <w:r w:rsidRPr="00341B41">
        <w:rPr>
          <w:rFonts w:eastAsia="Times New Roman" w:cs="Times New Roman"/>
          <w:i/>
          <w:iCs/>
          <w:noProof/>
        </w:rPr>
        <w:t>Cerebral Cortex</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(6), 1372–1385. http://doi.org/10.1093/cercor/bhp200</w:t>
      </w:r>
    </w:p>
    <w:p w14:paraId="7DC6AAB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Borowsky, A., &amp; Oron-Gilad, T. (2013). Exploring the effects of driving experience on hazard awareness and risk perception via real-time hazard identification, hazard classification, and rating tasks. </w:t>
      </w:r>
      <w:r w:rsidRPr="00341B41">
        <w:rPr>
          <w:rFonts w:eastAsia="Times New Roman" w:cs="Times New Roman"/>
          <w:i/>
          <w:iCs/>
          <w:noProof/>
        </w:rPr>
        <w:t>Accident Analysis and Prevention</w:t>
      </w:r>
      <w:r w:rsidRPr="00341B41">
        <w:rPr>
          <w:rFonts w:eastAsia="Times New Roman" w:cs="Times New Roman"/>
          <w:noProof/>
        </w:rPr>
        <w:t xml:space="preserve">, </w:t>
      </w:r>
      <w:r w:rsidRPr="00341B41">
        <w:rPr>
          <w:rFonts w:eastAsia="Times New Roman" w:cs="Times New Roman"/>
          <w:i/>
          <w:iCs/>
          <w:noProof/>
        </w:rPr>
        <w:t>59</w:t>
      </w:r>
      <w:r w:rsidRPr="00341B41">
        <w:rPr>
          <w:rFonts w:eastAsia="Times New Roman" w:cs="Times New Roman"/>
          <w:noProof/>
        </w:rPr>
        <w:t>, 548–65. http://doi.org/10.1016/j.aap.2013.07.008</w:t>
      </w:r>
    </w:p>
    <w:p w14:paraId="498F81F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Bowers, A., Saltuklaroglu, T., Harkrider, A., &amp; Cuellar, M. (2013). Suppression of the µ rhythm during speech and non-speech discrimination revealed by independent component analysis: implications for sensorimotor integration in speech processing.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(8), e72024. http://doi.org/10.1371/journal.pone.0072024</w:t>
      </w:r>
    </w:p>
    <w:p w14:paraId="217A0B7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Bowman, L. C., Bakermans-Kranenburg, M. J., Yoo, K. H., Cannon, E. N., Vanderwert, R. E., Ferrari, P., … Fox, N. A. (2017). The mu-rhythm can mirror: Insights from experimental design, and looking past the controversy. </w:t>
      </w:r>
      <w:r w:rsidRPr="00341B41">
        <w:rPr>
          <w:rFonts w:eastAsia="Times New Roman" w:cs="Times New Roman"/>
          <w:i/>
          <w:iCs/>
          <w:noProof/>
        </w:rPr>
        <w:t>Cortex</w:t>
      </w:r>
      <w:r w:rsidRPr="00341B41">
        <w:rPr>
          <w:rFonts w:eastAsia="Times New Roman" w:cs="Times New Roman"/>
          <w:noProof/>
        </w:rPr>
        <w:t>. http://doi.org/10.1016/j.cortex.2017.03.025</w:t>
      </w:r>
    </w:p>
    <w:p w14:paraId="6217B90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Braadbaart, L., Williams, J. H. G., &amp; Waiter, G. D. (2013). Do mirror neuron areas mediate </w:t>
      </w:r>
      <w:r w:rsidRPr="00341B41">
        <w:rPr>
          <w:rFonts w:eastAsia="Times New Roman" w:cs="Times New Roman"/>
          <w:noProof/>
        </w:rPr>
        <w:lastRenderedPageBreak/>
        <w:t xml:space="preserve">mu rhythm suppression during imitation and action observation? </w:t>
      </w:r>
      <w:r w:rsidRPr="00341B41">
        <w:rPr>
          <w:rFonts w:eastAsia="Times New Roman" w:cs="Times New Roman"/>
          <w:i/>
          <w:iCs/>
          <w:noProof/>
        </w:rPr>
        <w:t>International Journal of Psychophysiology</w:t>
      </w:r>
      <w:r w:rsidRPr="00341B41">
        <w:rPr>
          <w:rFonts w:eastAsia="Times New Roman" w:cs="Times New Roman"/>
          <w:noProof/>
        </w:rPr>
        <w:t xml:space="preserve">, </w:t>
      </w:r>
      <w:r w:rsidRPr="00341B41">
        <w:rPr>
          <w:rFonts w:eastAsia="Times New Roman" w:cs="Times New Roman"/>
          <w:i/>
          <w:iCs/>
          <w:noProof/>
        </w:rPr>
        <w:t>89</w:t>
      </w:r>
      <w:r w:rsidRPr="00341B41">
        <w:rPr>
          <w:rFonts w:eastAsia="Times New Roman" w:cs="Times New Roman"/>
          <w:noProof/>
        </w:rPr>
        <w:t>(1), 99–105. http://doi.org/10.1016/j.ijpsycho.2013.05.019</w:t>
      </w:r>
    </w:p>
    <w:p w14:paraId="43228D6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Brinkman, L., Stolk,  a., Dijkerman, H. C., de Lange, F. P., &amp; Toni, I. (2014). Distinct Roles for Alpha- and Beta-Band Oscillations during Mental Simulation of Goal-Directed Actions.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34</w:t>
      </w:r>
      <w:r w:rsidRPr="00341B41">
        <w:rPr>
          <w:rFonts w:eastAsia="Times New Roman" w:cs="Times New Roman"/>
          <w:noProof/>
        </w:rPr>
        <w:t>(44), 14783–14792. http://doi.org/10.1523/JNEUROSCI.2039-14.2014</w:t>
      </w:r>
    </w:p>
    <w:p w14:paraId="1F984B7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Buccino, G., Lui, F., Canessa, N., Patteri, I., Lagravinese, G., Benuzzi, F., … Rizzolatti, G. (2004). Neural circuits involved in the recognition of actions performed by nonconspecifics: an FMRI study. </w:t>
      </w:r>
      <w:r w:rsidRPr="00341B41">
        <w:rPr>
          <w:rFonts w:eastAsia="Times New Roman" w:cs="Times New Roman"/>
          <w:i/>
          <w:iCs/>
          <w:noProof/>
        </w:rPr>
        <w:t>Journal of Cognitive Neuroscience</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(1), 114–26. http://doi.org/10.1162/089892904322755601</w:t>
      </w:r>
    </w:p>
    <w:p w14:paraId="3092F46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Cacioppo, S., Fontang, F., Patel, N., Decety, J., Monteleone, G., &amp; Cacioppo, J. T. (2014). Intention understanding over T: A neuroimaging study on shared representations and tennis return predictions.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(781), 1–18.</w:t>
      </w:r>
    </w:p>
    <w:p w14:paraId="10B7292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Calvo-Merino, B., Glaser, D. E., Grèzes, J., Passingham, R. E., &amp; Haggard, P. (2005). Action observation and acquired motor skills: an FMRI study with expert dancers. </w:t>
      </w:r>
      <w:r w:rsidRPr="00341B41">
        <w:rPr>
          <w:rFonts w:eastAsia="Times New Roman" w:cs="Times New Roman"/>
          <w:i/>
          <w:iCs/>
          <w:noProof/>
        </w:rPr>
        <w:t>Cerebral Cortex</w:t>
      </w:r>
      <w:r w:rsidRPr="00341B41">
        <w:rPr>
          <w:rFonts w:eastAsia="Times New Roman" w:cs="Times New Roman"/>
          <w:noProof/>
        </w:rPr>
        <w:t xml:space="preserve">, </w:t>
      </w:r>
      <w:r w:rsidRPr="00341B41">
        <w:rPr>
          <w:rFonts w:eastAsia="Times New Roman" w:cs="Times New Roman"/>
          <w:i/>
          <w:iCs/>
          <w:noProof/>
        </w:rPr>
        <w:t>15</w:t>
      </w:r>
      <w:r w:rsidRPr="00341B41">
        <w:rPr>
          <w:rFonts w:eastAsia="Times New Roman" w:cs="Times New Roman"/>
          <w:noProof/>
        </w:rPr>
        <w:t>(8), 1243–9. http://doi.org/10.1093/cercor/bhi007</w:t>
      </w:r>
    </w:p>
    <w:p w14:paraId="5DB1875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Calvo-Merino, B., Grèzes, J., Glaser, D. E., Passingham, R. E., &amp; Haggard, P. (2006). Seeing or doing? Influence of visual and motor familiarity in action observation.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(19), 1905–10. http://doi.org/10.1016/j.cub.2006.07.065</w:t>
      </w:r>
    </w:p>
    <w:p w14:paraId="7EA10E5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Campos Viola, F., Thorne, J., Edmonds, B., Schneider, T., Eichele, T., &amp; Debener, S. (2009). Semi-automatic identification of independent components representing EEG </w:t>
      </w:r>
      <w:r w:rsidRPr="00341B41">
        <w:rPr>
          <w:rFonts w:eastAsia="Times New Roman" w:cs="Times New Roman"/>
          <w:noProof/>
        </w:rPr>
        <w:lastRenderedPageBreak/>
        <w:t xml:space="preserve">artifact.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120</w:t>
      </w:r>
      <w:r w:rsidRPr="00341B41">
        <w:rPr>
          <w:rFonts w:eastAsia="Times New Roman" w:cs="Times New Roman"/>
          <w:noProof/>
        </w:rPr>
        <w:t>(5), 868–877. http://doi.org/10.1016/j.clinph.2009.01.015</w:t>
      </w:r>
    </w:p>
    <w:p w14:paraId="03AFBFE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Cañal-Bruland, R., &amp; Williams, A. M. (2010). Recognizing and predicting movement effects: identifying critical movement features. </w:t>
      </w:r>
      <w:r w:rsidRPr="00341B41">
        <w:rPr>
          <w:rFonts w:eastAsia="Times New Roman" w:cs="Times New Roman"/>
          <w:i/>
          <w:iCs/>
          <w:noProof/>
        </w:rPr>
        <w:t>Experimental Psychology</w:t>
      </w:r>
      <w:r w:rsidRPr="00341B41">
        <w:rPr>
          <w:rFonts w:eastAsia="Times New Roman" w:cs="Times New Roman"/>
          <w:noProof/>
        </w:rPr>
        <w:t xml:space="preserve">, </w:t>
      </w:r>
      <w:r w:rsidRPr="00341B41">
        <w:rPr>
          <w:rFonts w:eastAsia="Times New Roman" w:cs="Times New Roman"/>
          <w:i/>
          <w:iCs/>
          <w:noProof/>
        </w:rPr>
        <w:t>57</w:t>
      </w:r>
      <w:r w:rsidRPr="00341B41">
        <w:rPr>
          <w:rFonts w:eastAsia="Times New Roman" w:cs="Times New Roman"/>
          <w:noProof/>
        </w:rPr>
        <w:t>(4), 320–6. http://doi.org/10.1027/1618-3169/a000038</w:t>
      </w:r>
    </w:p>
    <w:p w14:paraId="0861BF7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Cannon, E. N., Yoo, K. H., Vanderwert, R. E., Ferrari, P. F., Woodward, A. L., &amp; Fox, N. a. (2014). Action experience, more than observation, influences mu rhythm desynchronization.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9</w:t>
      </w:r>
      <w:r w:rsidRPr="00341B41">
        <w:rPr>
          <w:rFonts w:eastAsia="Times New Roman" w:cs="Times New Roman"/>
          <w:noProof/>
        </w:rPr>
        <w:t>(3), e92002. http://doi.org/10.1371/journal.pone.0092002</w:t>
      </w:r>
    </w:p>
    <w:p w14:paraId="28FBC53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Caspers, S., Zilles, K., Laird, A. R., &amp; Eickhoff, S. B. (2010). ALE meta-analysis of action observation and imitation in the human brain.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50</w:t>
      </w:r>
      <w:r w:rsidRPr="00341B41">
        <w:rPr>
          <w:rFonts w:eastAsia="Times New Roman" w:cs="Times New Roman"/>
          <w:noProof/>
        </w:rPr>
        <w:t>(3), 1148–67. http://doi.org/10.1016/j.neuroimage.2009.12.112</w:t>
      </w:r>
    </w:p>
    <w:p w14:paraId="5DC9F8F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Catmur, C., Walsh, V., &amp; Heyes, C. (2007). Sensorimotor learning configures the human mirror system.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17</w:t>
      </w:r>
      <w:r w:rsidRPr="00341B41">
        <w:rPr>
          <w:rFonts w:eastAsia="Times New Roman" w:cs="Times New Roman"/>
          <w:noProof/>
        </w:rPr>
        <w:t>, 1527–1531.</w:t>
      </w:r>
    </w:p>
    <w:p w14:paraId="2862079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Causer, J., &amp; Williams, A. M. (2015). The Use of Patterns to Disguise Environmental Cues During an Anticipatory Judgment Task. </w:t>
      </w:r>
      <w:r w:rsidRPr="00341B41">
        <w:rPr>
          <w:rFonts w:eastAsia="Times New Roman" w:cs="Times New Roman"/>
          <w:i/>
          <w:iCs/>
          <w:noProof/>
        </w:rPr>
        <w:t>Journal of Sport &amp; Exercise Psychology</w:t>
      </w:r>
      <w:r w:rsidRPr="00341B41">
        <w:rPr>
          <w:rFonts w:eastAsia="Times New Roman" w:cs="Times New Roman"/>
          <w:noProof/>
        </w:rPr>
        <w:t xml:space="preserve">, </w:t>
      </w:r>
      <w:r w:rsidRPr="00341B41">
        <w:rPr>
          <w:rFonts w:eastAsia="Times New Roman" w:cs="Times New Roman"/>
          <w:i/>
          <w:iCs/>
          <w:noProof/>
        </w:rPr>
        <w:t>37</w:t>
      </w:r>
      <w:r w:rsidRPr="00341B41">
        <w:rPr>
          <w:rFonts w:eastAsia="Times New Roman" w:cs="Times New Roman"/>
          <w:noProof/>
        </w:rPr>
        <w:t>(1), 74–82. http://doi.org/http://dx.doi.org/10.1123/jsep.2014-0200</w:t>
      </w:r>
    </w:p>
    <w:p w14:paraId="53C9BAC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Chambon, V., Domenech, P., Pacherie, E., Koechlin, E., Baraduc, P., &amp; Farrer, C. (2011). What are they up to? The role of sensory evidence and prior knowledge in action understanding.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6</w:t>
      </w:r>
      <w:r w:rsidRPr="00341B41">
        <w:rPr>
          <w:rFonts w:eastAsia="Times New Roman" w:cs="Times New Roman"/>
          <w:noProof/>
        </w:rPr>
        <w:t>(2). http://doi.org/10.1371/journal.pone.0017133</w:t>
      </w:r>
    </w:p>
    <w:p w14:paraId="7D0ED0A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Chase, M. H., &amp; Harper, R. M. (1971). Somatomotor and visceromotor correlates of </w:t>
      </w:r>
      <w:r w:rsidRPr="00341B41">
        <w:rPr>
          <w:rFonts w:eastAsia="Times New Roman" w:cs="Times New Roman"/>
          <w:noProof/>
        </w:rPr>
        <w:lastRenderedPageBreak/>
        <w:t xml:space="preserve">operantly conditioned 12-14 C-SEC sensorimotor activity. </w:t>
      </w:r>
      <w:r w:rsidRPr="00341B41">
        <w:rPr>
          <w:rFonts w:eastAsia="Times New Roman" w:cs="Times New Roman"/>
          <w:i/>
          <w:iCs/>
          <w:noProof/>
        </w:rPr>
        <w:t>Electroencephalography and Clinical Neurophysiology</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 85–92.</w:t>
      </w:r>
    </w:p>
    <w:p w14:paraId="3C67CCF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Cheron, G. (2015). From biomechanics to sport psychology: the current oscillatory approach. </w:t>
      </w:r>
      <w:r w:rsidRPr="00341B41">
        <w:rPr>
          <w:rFonts w:eastAsia="Times New Roman" w:cs="Times New Roman"/>
          <w:i/>
          <w:iCs/>
          <w:noProof/>
        </w:rPr>
        <w:t>Frontiers in Psychology</w:t>
      </w:r>
      <w:r w:rsidRPr="00341B41">
        <w:rPr>
          <w:rFonts w:eastAsia="Times New Roman" w:cs="Times New Roman"/>
          <w:noProof/>
        </w:rPr>
        <w:t xml:space="preserve">, </w:t>
      </w:r>
      <w:r w:rsidRPr="00341B41">
        <w:rPr>
          <w:rFonts w:eastAsia="Times New Roman" w:cs="Times New Roman"/>
          <w:i/>
          <w:iCs/>
          <w:noProof/>
        </w:rPr>
        <w:t>6</w:t>
      </w:r>
      <w:r w:rsidRPr="00341B41">
        <w:rPr>
          <w:rFonts w:eastAsia="Times New Roman" w:cs="Times New Roman"/>
          <w:noProof/>
        </w:rPr>
        <w:t>(October), 1–6. http://doi.org/10.3389/fpsyg.2015.01642</w:t>
      </w:r>
    </w:p>
    <w:p w14:paraId="752F1D6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Cheron, G., Petit, G., Cheron, J., Leroy, A., Cebolla, A., Cevallos, C., … Dan, B. (2016). Brain Oscillations in Sport: Toward EEG Biomarkers of Performance. </w:t>
      </w:r>
      <w:r w:rsidRPr="00341B41">
        <w:rPr>
          <w:rFonts w:eastAsia="Times New Roman" w:cs="Times New Roman"/>
          <w:i/>
          <w:iCs/>
          <w:noProof/>
        </w:rPr>
        <w:t>Frontiers in Psychology</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(February), 246. http://doi.org/10.3389/fpsyg.2016.00246</w:t>
      </w:r>
    </w:p>
    <w:p w14:paraId="2B8729E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Coll, M.-P., Press, C., Hobson, H., Catmur, C., &amp; Bird, G. (2017). Crossmodal classification of mu rhythm activity during action observation and execution suggests specificity to somatosensory features of actions. </w:t>
      </w:r>
      <w:r w:rsidRPr="00341B41">
        <w:rPr>
          <w:rFonts w:eastAsia="Times New Roman" w:cs="Times New Roman"/>
          <w:i/>
          <w:iCs/>
          <w:noProof/>
        </w:rPr>
        <w:t>The Journal of Neuroscience</w:t>
      </w:r>
      <w:r w:rsidRPr="00341B41">
        <w:rPr>
          <w:rFonts w:eastAsia="Times New Roman" w:cs="Times New Roman"/>
          <w:noProof/>
        </w:rPr>
        <w:t>.</w:t>
      </w:r>
    </w:p>
    <w:p w14:paraId="7B5F023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Colzato, L. S., van den Wildenberg, W. P. M., Zmigrod, S., &amp; Hommel, B. (2013). Action video gaming and cognitive control: playing first person shooter games is associated with improvement in working memory but not action inhibition. </w:t>
      </w:r>
      <w:r w:rsidRPr="00341B41">
        <w:rPr>
          <w:rFonts w:eastAsia="Times New Roman" w:cs="Times New Roman"/>
          <w:i/>
          <w:iCs/>
          <w:noProof/>
        </w:rPr>
        <w:t>Psychological Research</w:t>
      </w:r>
      <w:r w:rsidRPr="00341B41">
        <w:rPr>
          <w:rFonts w:eastAsia="Times New Roman" w:cs="Times New Roman"/>
          <w:noProof/>
        </w:rPr>
        <w:t xml:space="preserve">, </w:t>
      </w:r>
      <w:r w:rsidRPr="00341B41">
        <w:rPr>
          <w:rFonts w:eastAsia="Times New Roman" w:cs="Times New Roman"/>
          <w:i/>
          <w:iCs/>
          <w:noProof/>
        </w:rPr>
        <w:t>77</w:t>
      </w:r>
      <w:r w:rsidRPr="00341B41">
        <w:rPr>
          <w:rFonts w:eastAsia="Times New Roman" w:cs="Times New Roman"/>
          <w:noProof/>
        </w:rPr>
        <w:t>(2), 234–239. http://doi.org/10.1007/s00426-012-0415-2</w:t>
      </w:r>
    </w:p>
    <w:p w14:paraId="06E5EC6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Comon, P. (1994). Independent component analysis, A new concept? </w:t>
      </w:r>
      <w:r w:rsidRPr="00341B41">
        <w:rPr>
          <w:rFonts w:eastAsia="Times New Roman" w:cs="Times New Roman"/>
          <w:i/>
          <w:iCs/>
          <w:noProof/>
        </w:rPr>
        <w:t>Signal Processing</w:t>
      </w:r>
      <w:r w:rsidRPr="00341B41">
        <w:rPr>
          <w:rFonts w:eastAsia="Times New Roman" w:cs="Times New Roman"/>
          <w:noProof/>
        </w:rPr>
        <w:t xml:space="preserve">, </w:t>
      </w:r>
      <w:r w:rsidRPr="00341B41">
        <w:rPr>
          <w:rFonts w:eastAsia="Times New Roman" w:cs="Times New Roman"/>
          <w:i/>
          <w:iCs/>
          <w:noProof/>
        </w:rPr>
        <w:t>36</w:t>
      </w:r>
      <w:r w:rsidRPr="00341B41">
        <w:rPr>
          <w:rFonts w:eastAsia="Times New Roman" w:cs="Times New Roman"/>
          <w:noProof/>
        </w:rPr>
        <w:t>(3), 287–314. http://doi.org/10.1016/0165-1684(94)90029-9</w:t>
      </w:r>
    </w:p>
    <w:p w14:paraId="3DA9EF6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Coombes, S. A., Higgins, T., Gamble, K. M., Cauraugh, J. H., &amp; Janelle, C. M. (2009). Attentional control theory: Anxiety, emotion, and motor planning. </w:t>
      </w:r>
      <w:r w:rsidRPr="00341B41">
        <w:rPr>
          <w:rFonts w:eastAsia="Times New Roman" w:cs="Times New Roman"/>
          <w:i/>
          <w:iCs/>
          <w:noProof/>
        </w:rPr>
        <w:t>Journal of Anxiety Disorders</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(8), 1072–1079. http://doi.org/10.1016/j.janxdis.2009.07.009</w:t>
      </w:r>
    </w:p>
    <w:p w14:paraId="3B52E63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Crognier, L., &amp; Féry, Y. A. (2005). Effect of tactical initiative on predicting passing shots </w:t>
      </w:r>
      <w:r w:rsidRPr="00341B41">
        <w:rPr>
          <w:rFonts w:eastAsia="Times New Roman" w:cs="Times New Roman"/>
          <w:noProof/>
        </w:rPr>
        <w:lastRenderedPageBreak/>
        <w:t xml:space="preserve">in tennis. </w:t>
      </w:r>
      <w:r w:rsidRPr="00341B41">
        <w:rPr>
          <w:rFonts w:eastAsia="Times New Roman" w:cs="Times New Roman"/>
          <w:i/>
          <w:iCs/>
          <w:noProof/>
        </w:rPr>
        <w:t>Applied Cognitive Psychology</w:t>
      </w:r>
      <w:r w:rsidRPr="00341B41">
        <w:rPr>
          <w:rFonts w:eastAsia="Times New Roman" w:cs="Times New Roman"/>
          <w:noProof/>
        </w:rPr>
        <w:t xml:space="preserve">, </w:t>
      </w:r>
      <w:r w:rsidRPr="00341B41">
        <w:rPr>
          <w:rFonts w:eastAsia="Times New Roman" w:cs="Times New Roman"/>
          <w:i/>
          <w:iCs/>
          <w:noProof/>
        </w:rPr>
        <w:t>19</w:t>
      </w:r>
      <w:r w:rsidRPr="00341B41">
        <w:rPr>
          <w:rFonts w:eastAsia="Times New Roman" w:cs="Times New Roman"/>
          <w:noProof/>
        </w:rPr>
        <w:t>(5), 637–649. http://doi.org/10.1002/acp.1100</w:t>
      </w:r>
    </w:p>
    <w:p w14:paraId="7655A51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Crone, N. E., Crone, N. E., Miglioretti, D. L., Miglioretti, D. L., Gordon, B., Gordon, B., … Lesser, R. P. (1998). Functional mapping of human sensorimotor cortex with electrocorticographic spectral analysis. I. Alpha and beta event-related desynchronization. </w:t>
      </w:r>
      <w:r w:rsidRPr="00341B41">
        <w:rPr>
          <w:rFonts w:eastAsia="Times New Roman" w:cs="Times New Roman"/>
          <w:i/>
          <w:iCs/>
          <w:noProof/>
        </w:rPr>
        <w:t>Brain</w:t>
      </w:r>
      <w:r w:rsidRPr="00341B41">
        <w:rPr>
          <w:rFonts w:eastAsia="Times New Roman" w:cs="Times New Roman"/>
          <w:noProof/>
        </w:rPr>
        <w:t xml:space="preserve">, </w:t>
      </w:r>
      <w:r w:rsidRPr="00341B41">
        <w:rPr>
          <w:rFonts w:eastAsia="Times New Roman" w:cs="Times New Roman"/>
          <w:i/>
          <w:iCs/>
          <w:noProof/>
        </w:rPr>
        <w:t>121 ( Pt 1</w:t>
      </w:r>
      <w:r w:rsidRPr="00341B41">
        <w:rPr>
          <w:rFonts w:eastAsia="Times New Roman" w:cs="Times New Roman"/>
          <w:noProof/>
        </w:rPr>
        <w:t>, 2271–99. http://doi.org/10.1093/brain/121.12.2271</w:t>
      </w:r>
    </w:p>
    <w:p w14:paraId="4EAC360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Cross, E. S., Hamilton, A. F. D. C., &amp; Grafton, S. T. (2006). Building a motor simulation de novo: observation of dance by dancers.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(3), 1257–67. http://doi.org/10.1016/j.neuroimage.2006.01.033</w:t>
      </w:r>
    </w:p>
    <w:p w14:paraId="3FA1AB5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Crundall, D., Chapman, P., Phelps, N., &amp; Underwood, G. (2003). Eye movements and hazard perception in police pursuit and emergency response driving. </w:t>
      </w:r>
      <w:r w:rsidRPr="00341B41">
        <w:rPr>
          <w:rFonts w:eastAsia="Times New Roman" w:cs="Times New Roman"/>
          <w:i/>
          <w:iCs/>
          <w:noProof/>
        </w:rPr>
        <w:t>Journal of Experimental Psychology: Applied</w:t>
      </w:r>
      <w:r w:rsidRPr="00341B41">
        <w:rPr>
          <w:rFonts w:eastAsia="Times New Roman" w:cs="Times New Roman"/>
          <w:noProof/>
        </w:rPr>
        <w:t xml:space="preserve">, </w:t>
      </w:r>
      <w:r w:rsidRPr="00341B41">
        <w:rPr>
          <w:rFonts w:eastAsia="Times New Roman" w:cs="Times New Roman"/>
          <w:i/>
          <w:iCs/>
          <w:noProof/>
        </w:rPr>
        <w:t>9</w:t>
      </w:r>
      <w:r w:rsidRPr="00341B41">
        <w:rPr>
          <w:rFonts w:eastAsia="Times New Roman" w:cs="Times New Roman"/>
          <w:noProof/>
        </w:rPr>
        <w:t>(3), 163–74. http://doi.org/10.1037/1076-898X.9.3.163</w:t>
      </w:r>
    </w:p>
    <w:p w14:paraId="3837320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Crundall, D., Chapman, P., Trawley, S., Collins, L., van Loon, E., Andrews, B., &amp; Underwood, G. (2012). Some hazards are more attractive than others: drivers of varying experience respond differently to different types of hazard. </w:t>
      </w:r>
      <w:r w:rsidRPr="00341B41">
        <w:rPr>
          <w:rFonts w:eastAsia="Times New Roman" w:cs="Times New Roman"/>
          <w:i/>
          <w:iCs/>
          <w:noProof/>
        </w:rPr>
        <w:t>Accident Analysis and Prevention</w:t>
      </w:r>
      <w:r w:rsidRPr="00341B41">
        <w:rPr>
          <w:rFonts w:eastAsia="Times New Roman" w:cs="Times New Roman"/>
          <w:noProof/>
        </w:rPr>
        <w:t xml:space="preserve">, </w:t>
      </w:r>
      <w:r w:rsidRPr="00341B41">
        <w:rPr>
          <w:rFonts w:eastAsia="Times New Roman" w:cs="Times New Roman"/>
          <w:i/>
          <w:iCs/>
          <w:noProof/>
        </w:rPr>
        <w:t>45</w:t>
      </w:r>
      <w:r w:rsidRPr="00341B41">
        <w:rPr>
          <w:rFonts w:eastAsia="Times New Roman" w:cs="Times New Roman"/>
          <w:noProof/>
        </w:rPr>
        <w:t>, 600–9. http://doi.org/10.1016/j.aap.2011.09.049</w:t>
      </w:r>
    </w:p>
    <w:p w14:paraId="3886EEF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Debener, S., Makeig, S., Delorme, A., &amp; Engel, A. K. (2005). What is novel in the novelty oddball paradigm? Functional significance of the novelty P3 event-related potential as revealed by independent component analysis. </w:t>
      </w:r>
      <w:r w:rsidRPr="00341B41">
        <w:rPr>
          <w:rFonts w:eastAsia="Times New Roman" w:cs="Times New Roman"/>
          <w:i/>
          <w:iCs/>
          <w:noProof/>
        </w:rPr>
        <w:t>Cognitive Brain Research</w:t>
      </w:r>
      <w:r w:rsidRPr="00341B41">
        <w:rPr>
          <w:rFonts w:eastAsia="Times New Roman" w:cs="Times New Roman"/>
          <w:noProof/>
        </w:rPr>
        <w:t xml:space="preserve">, </w:t>
      </w:r>
      <w:r w:rsidRPr="00341B41">
        <w:rPr>
          <w:rFonts w:eastAsia="Times New Roman" w:cs="Times New Roman"/>
          <w:i/>
          <w:iCs/>
          <w:noProof/>
        </w:rPr>
        <w:t>22</w:t>
      </w:r>
      <w:r w:rsidRPr="00341B41">
        <w:rPr>
          <w:rFonts w:eastAsia="Times New Roman" w:cs="Times New Roman"/>
          <w:noProof/>
        </w:rPr>
        <w:t>(3), 309–321. http://doi.org/10.1016/j.cogbrainres.2004.09.006</w:t>
      </w:r>
    </w:p>
    <w:p w14:paraId="2B8A4AF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Debener, S., Ullsperger, M., Siegel, M., Fiehler, K., Cramon, D. Y. von, &amp; Engel, A. K. (2005). Trial-by-Trial Coupling of Concurrent Electroencephalogram and Functional Magnetic Resonance Imaging Identifies the Dynamics of Performance Monitoring.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25</w:t>
      </w:r>
      <w:r w:rsidRPr="00341B41">
        <w:rPr>
          <w:rFonts w:eastAsia="Times New Roman" w:cs="Times New Roman"/>
          <w:noProof/>
        </w:rPr>
        <w:t>(50), 11730–11737. http://doi.org/10.1523/JNEUROSCI.3286-05.2005</w:t>
      </w:r>
    </w:p>
    <w:p w14:paraId="736A489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Del Percio, C., Babiloni, C., Marzano, N., Iacoboni, M., Infarinato, F., Vecchio, F., … Eusebi, F. (2009). “Neural efficiency” of athletes’ brain for upright standing: a high-resolution EEG study. </w:t>
      </w:r>
      <w:r w:rsidRPr="00341B41">
        <w:rPr>
          <w:rFonts w:eastAsia="Times New Roman" w:cs="Times New Roman"/>
          <w:i/>
          <w:iCs/>
          <w:noProof/>
        </w:rPr>
        <w:t>Brain Research Bulletin</w:t>
      </w:r>
      <w:r w:rsidRPr="00341B41">
        <w:rPr>
          <w:rFonts w:eastAsia="Times New Roman" w:cs="Times New Roman"/>
          <w:noProof/>
        </w:rPr>
        <w:t xml:space="preserve">, </w:t>
      </w:r>
      <w:r w:rsidRPr="00341B41">
        <w:rPr>
          <w:rFonts w:eastAsia="Times New Roman" w:cs="Times New Roman"/>
          <w:i/>
          <w:iCs/>
          <w:noProof/>
        </w:rPr>
        <w:t>79</w:t>
      </w:r>
      <w:r w:rsidRPr="00341B41">
        <w:rPr>
          <w:rFonts w:eastAsia="Times New Roman" w:cs="Times New Roman"/>
          <w:noProof/>
        </w:rPr>
        <w:t>(3–4), 193–200. http://doi.org/10.1016/j.brainresbull.2009.02.001</w:t>
      </w:r>
    </w:p>
    <w:p w14:paraId="4F6F631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Delorme, A., &amp; Makeig, S. (2004). EEGLAB: an open source toolbox for analysis of single-trial EEG dynamics including independent component analysis. </w:t>
      </w:r>
      <w:r w:rsidRPr="00341B41">
        <w:rPr>
          <w:rFonts w:eastAsia="Times New Roman" w:cs="Times New Roman"/>
          <w:i/>
          <w:iCs/>
          <w:noProof/>
        </w:rPr>
        <w:t>Journal of Neuroscience Methods</w:t>
      </w:r>
      <w:r w:rsidRPr="00341B41">
        <w:rPr>
          <w:rFonts w:eastAsia="Times New Roman" w:cs="Times New Roman"/>
          <w:noProof/>
        </w:rPr>
        <w:t xml:space="preserve">, </w:t>
      </w:r>
      <w:r w:rsidRPr="00341B41">
        <w:rPr>
          <w:rFonts w:eastAsia="Times New Roman" w:cs="Times New Roman"/>
          <w:i/>
          <w:iCs/>
          <w:noProof/>
        </w:rPr>
        <w:t>134</w:t>
      </w:r>
      <w:r w:rsidRPr="00341B41">
        <w:rPr>
          <w:rFonts w:eastAsia="Times New Roman" w:cs="Times New Roman"/>
          <w:noProof/>
        </w:rPr>
        <w:t>(1), 9–21. http://doi.org/10.1016/j.jneumeth.2003.10.009</w:t>
      </w:r>
    </w:p>
    <w:p w14:paraId="7F38E64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Delorme, A., Palmer, J., Onton, J., Oostenveld, R., &amp; Makeig, S. (2012). Independent EEG sources are dipolar.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(2), e30135. http://doi.org/10.1371/journal.pone.0030135</w:t>
      </w:r>
    </w:p>
    <w:p w14:paraId="44E7473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Delorme, A., Sejnowski, T., &amp; Makeig, S. (2007). Enhanced detection of artifacts in EEG data using higher-order statistics and independent component analysis.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34</w:t>
      </w:r>
      <w:r w:rsidRPr="00341B41">
        <w:rPr>
          <w:rFonts w:eastAsia="Times New Roman" w:cs="Times New Roman"/>
          <w:noProof/>
        </w:rPr>
        <w:t>(4), 1443–1449. http://doi.org/10.1016/j.neuroimage.2006.11.004</w:t>
      </w:r>
    </w:p>
    <w:p w14:paraId="77A350D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Dessing, J. C., Peper, C. E., &amp; Beek, B. J. (2010). A Comparison of Real Catching With Catching Using Stereoscopic Visual Displays. </w:t>
      </w:r>
      <w:r w:rsidRPr="00341B41">
        <w:rPr>
          <w:rFonts w:eastAsia="Times New Roman" w:cs="Times New Roman"/>
          <w:i/>
          <w:iCs/>
          <w:noProof/>
        </w:rPr>
        <w:t>Ecological Psychology</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(1), 1–21. http://doi.org/10.1207/s15326969eco1601</w:t>
      </w:r>
    </w:p>
    <w:p w14:paraId="4F61DFE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di Pellegrino, G., Fadiga, L., Fogassi, L., Gallese, V., &amp; Rizzolatti, G. (1992). Understanding motor events: A neurophysiological study. </w:t>
      </w:r>
      <w:r w:rsidRPr="00341B41">
        <w:rPr>
          <w:rFonts w:eastAsia="Times New Roman" w:cs="Times New Roman"/>
          <w:i/>
          <w:iCs/>
          <w:noProof/>
        </w:rPr>
        <w:t>Experimental Brain Research</w:t>
      </w:r>
      <w:r w:rsidRPr="00341B41">
        <w:rPr>
          <w:rFonts w:eastAsia="Times New Roman" w:cs="Times New Roman"/>
          <w:noProof/>
        </w:rPr>
        <w:t xml:space="preserve">, </w:t>
      </w:r>
      <w:r w:rsidRPr="00341B41">
        <w:rPr>
          <w:rFonts w:eastAsia="Times New Roman" w:cs="Times New Roman"/>
          <w:i/>
          <w:iCs/>
          <w:noProof/>
        </w:rPr>
        <w:t>91</w:t>
      </w:r>
      <w:r w:rsidRPr="00341B41">
        <w:rPr>
          <w:rFonts w:eastAsia="Times New Roman" w:cs="Times New Roman"/>
          <w:noProof/>
        </w:rPr>
        <w:t>, 176–180.</w:t>
      </w:r>
    </w:p>
    <w:p w14:paraId="78D6EAE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Dicks, M., Button, C., &amp; Davids, K. (2010). Examination of gaze behaviors under in situ and video simulation task constraints reveals differences in information pickup for perception and action. </w:t>
      </w:r>
      <w:r w:rsidRPr="00341B41">
        <w:rPr>
          <w:rFonts w:eastAsia="Times New Roman" w:cs="Times New Roman"/>
          <w:i/>
          <w:iCs/>
          <w:noProof/>
        </w:rPr>
        <w:t>Attention, Perception and Psychophysics</w:t>
      </w:r>
      <w:r w:rsidRPr="00341B41">
        <w:rPr>
          <w:rFonts w:eastAsia="Times New Roman" w:cs="Times New Roman"/>
          <w:noProof/>
        </w:rPr>
        <w:t xml:space="preserve">, </w:t>
      </w:r>
      <w:r w:rsidRPr="00341B41">
        <w:rPr>
          <w:rFonts w:eastAsia="Times New Roman" w:cs="Times New Roman"/>
          <w:i/>
          <w:iCs/>
          <w:noProof/>
        </w:rPr>
        <w:t>72</w:t>
      </w:r>
      <w:r w:rsidRPr="00341B41">
        <w:rPr>
          <w:rFonts w:eastAsia="Times New Roman" w:cs="Times New Roman"/>
          <w:noProof/>
        </w:rPr>
        <w:t>(3), 706–720. http://doi.org/10.3758/APP</w:t>
      </w:r>
    </w:p>
    <w:p w14:paraId="67FE2E7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Diersch, N., Mueller, K., Cross, E. S., Stadler, W., Rieger, M., &amp; Schütz-Bosbach, S. (2013). Action prediction in younger versus older adults: neural correlates of motor familiarity.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(5), e64195. http://doi.org/10.1371/journal.pone.0064195</w:t>
      </w:r>
    </w:p>
    <w:p w14:paraId="1D48FB4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Dittrich, W. H. (1999). Seeing biological motion: Is there a role for cognitive strategies? In A. Braffort, R. Gherbi, S. Giber, J. Richardson, &amp; D. Teil (Eds.), </w:t>
      </w:r>
      <w:r w:rsidRPr="00341B41">
        <w:rPr>
          <w:rFonts w:eastAsia="Times New Roman" w:cs="Times New Roman"/>
          <w:i/>
          <w:iCs/>
          <w:noProof/>
        </w:rPr>
        <w:t>Gesture-based communication in human-computer interaction</w:t>
      </w:r>
      <w:r w:rsidRPr="00341B41">
        <w:rPr>
          <w:rFonts w:eastAsia="Times New Roman" w:cs="Times New Roman"/>
          <w:noProof/>
        </w:rPr>
        <w:t xml:space="preserve"> (pp. 3–22). Berlin, Germany: Springer-Verlag.</w:t>
      </w:r>
    </w:p>
    <w:p w14:paraId="13DC6BD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Dushanova, J., &amp; Donoghue, J. (2010). Neurons in primary motor cortex engaged during action observation. </w:t>
      </w:r>
      <w:r w:rsidRPr="00341B41">
        <w:rPr>
          <w:rFonts w:eastAsia="Times New Roman" w:cs="Times New Roman"/>
          <w:i/>
          <w:iCs/>
          <w:noProof/>
        </w:rPr>
        <w:t>European Journal of Neuroscience</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(2), 386–398. http://doi.org/10.1111/j.1460-9568.2009.07067.x</w:t>
      </w:r>
    </w:p>
    <w:p w14:paraId="0A21246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Elliott, B. C., Whiteside, D., Lay, B., &amp; Reid, M. (2013). The female tennis serve: An analagous version of the male serve? In </w:t>
      </w:r>
      <w:r w:rsidRPr="00341B41">
        <w:rPr>
          <w:rFonts w:eastAsia="Times New Roman" w:cs="Times New Roman"/>
          <w:i/>
          <w:iCs/>
          <w:noProof/>
        </w:rPr>
        <w:t>31st Conference of the International Society of Biomechanics in Sport</w:t>
      </w:r>
      <w:r w:rsidRPr="00341B41">
        <w:rPr>
          <w:rFonts w:eastAsia="Times New Roman" w:cs="Times New Roman"/>
          <w:noProof/>
        </w:rPr>
        <w:t>. Taipei.</w:t>
      </w:r>
    </w:p>
    <w:p w14:paraId="347DE6A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Endsley, M. R. (1995). Towards a theory of situation awareness in dynamic systems. </w:t>
      </w:r>
      <w:r w:rsidRPr="00341B41">
        <w:rPr>
          <w:rFonts w:eastAsia="Times New Roman" w:cs="Times New Roman"/>
          <w:i/>
          <w:iCs/>
          <w:noProof/>
        </w:rPr>
        <w:lastRenderedPageBreak/>
        <w:t>Human Factors</w:t>
      </w:r>
      <w:r w:rsidRPr="00341B41">
        <w:rPr>
          <w:rFonts w:eastAsia="Times New Roman" w:cs="Times New Roman"/>
          <w:noProof/>
        </w:rPr>
        <w:t xml:space="preserve">, </w:t>
      </w:r>
      <w:r w:rsidRPr="00341B41">
        <w:rPr>
          <w:rFonts w:eastAsia="Times New Roman" w:cs="Times New Roman"/>
          <w:i/>
          <w:iCs/>
          <w:noProof/>
        </w:rPr>
        <w:t>37</w:t>
      </w:r>
      <w:r w:rsidRPr="00341B41">
        <w:rPr>
          <w:rFonts w:eastAsia="Times New Roman" w:cs="Times New Roman"/>
          <w:noProof/>
        </w:rPr>
        <w:t>(1), 32–64.</w:t>
      </w:r>
    </w:p>
    <w:p w14:paraId="5D062B5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Endsley, M. R. (2000). Situation Models: An Avenue to the Modeling of Mental Models. </w:t>
      </w:r>
      <w:r w:rsidRPr="00341B41">
        <w:rPr>
          <w:rFonts w:eastAsia="Times New Roman" w:cs="Times New Roman"/>
          <w:i/>
          <w:iCs/>
          <w:noProof/>
        </w:rPr>
        <w:t>Proceedings of the Human Factors and Ergonomics Society Annual Meeting</w:t>
      </w:r>
      <w:r w:rsidRPr="00341B41">
        <w:rPr>
          <w:rFonts w:eastAsia="Times New Roman" w:cs="Times New Roman"/>
          <w:noProof/>
        </w:rPr>
        <w:t xml:space="preserve">, </w:t>
      </w:r>
      <w:r w:rsidRPr="00341B41">
        <w:rPr>
          <w:rFonts w:eastAsia="Times New Roman" w:cs="Times New Roman"/>
          <w:i/>
          <w:iCs/>
          <w:noProof/>
        </w:rPr>
        <w:t>44</w:t>
      </w:r>
      <w:r w:rsidRPr="00341B41">
        <w:rPr>
          <w:rFonts w:eastAsia="Times New Roman" w:cs="Times New Roman"/>
          <w:noProof/>
        </w:rPr>
        <w:t>(1), 61–64. http://doi.org/10.1177/154193120004400117</w:t>
      </w:r>
    </w:p>
    <w:p w14:paraId="50BAB6C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Ericsson, K. A., &amp; Kintsch, W. (1995). Long-term working memory. </w:t>
      </w:r>
      <w:r w:rsidRPr="00341B41">
        <w:rPr>
          <w:rFonts w:eastAsia="Times New Roman" w:cs="Times New Roman"/>
          <w:i/>
          <w:iCs/>
          <w:noProof/>
        </w:rPr>
        <w:t>Psychological Review</w:t>
      </w:r>
      <w:r w:rsidRPr="00341B41">
        <w:rPr>
          <w:rFonts w:eastAsia="Times New Roman" w:cs="Times New Roman"/>
          <w:noProof/>
        </w:rPr>
        <w:t xml:space="preserve">, </w:t>
      </w:r>
      <w:r w:rsidRPr="00341B41">
        <w:rPr>
          <w:rFonts w:eastAsia="Times New Roman" w:cs="Times New Roman"/>
          <w:i/>
          <w:iCs/>
          <w:noProof/>
        </w:rPr>
        <w:t>102</w:t>
      </w:r>
      <w:r w:rsidRPr="00341B41">
        <w:rPr>
          <w:rFonts w:eastAsia="Times New Roman" w:cs="Times New Roman"/>
          <w:noProof/>
        </w:rPr>
        <w:t>(2), 211–245.</w:t>
      </w:r>
    </w:p>
    <w:p w14:paraId="2602ACE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Ericsson, K. A., Krampe, R., &amp; Tesch-Romer, C. (1993). The role of deliberate practice in the acqisition of expert performance. </w:t>
      </w:r>
      <w:r w:rsidRPr="00341B41">
        <w:rPr>
          <w:rFonts w:eastAsia="Times New Roman" w:cs="Times New Roman"/>
          <w:i/>
          <w:iCs/>
          <w:noProof/>
        </w:rPr>
        <w:t>Psychological Review</w:t>
      </w:r>
      <w:r w:rsidRPr="00341B41">
        <w:rPr>
          <w:rFonts w:eastAsia="Times New Roman" w:cs="Times New Roman"/>
          <w:noProof/>
        </w:rPr>
        <w:t xml:space="preserve">, </w:t>
      </w:r>
      <w:r w:rsidRPr="00341B41">
        <w:rPr>
          <w:rFonts w:eastAsia="Times New Roman" w:cs="Times New Roman"/>
          <w:i/>
          <w:iCs/>
          <w:noProof/>
        </w:rPr>
        <w:t>100</w:t>
      </w:r>
      <w:r w:rsidRPr="00341B41">
        <w:rPr>
          <w:rFonts w:eastAsia="Times New Roman" w:cs="Times New Roman"/>
          <w:noProof/>
        </w:rPr>
        <w:t>(3), 363–406.</w:t>
      </w:r>
    </w:p>
    <w:p w14:paraId="4FB03E7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Ericsson, K. A., &amp; Smith, J. (1991). Prospects and limits of the empirical study of expertise: An introduction. In K. A. Ericsson &amp; J. Smith (Eds.), </w:t>
      </w:r>
      <w:r w:rsidRPr="00341B41">
        <w:rPr>
          <w:rFonts w:eastAsia="Times New Roman" w:cs="Times New Roman"/>
          <w:i/>
          <w:iCs/>
          <w:noProof/>
        </w:rPr>
        <w:t>Toward a General Theory of Expertise: Prospects and Limits</w:t>
      </w:r>
      <w:r w:rsidRPr="00341B41">
        <w:rPr>
          <w:rFonts w:eastAsia="Times New Roman" w:cs="Times New Roman"/>
          <w:noProof/>
        </w:rPr>
        <w:t xml:space="preserve"> (pp. 1–38). Cambridge, MA: Cambridge University Press.</w:t>
      </w:r>
    </w:p>
    <w:p w14:paraId="37590A3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Fadiga, L., Fogassi, L., Pavesi, G., &amp; Rizzolatti, G. (1995). Motor Facilitation During Action Observation: A Magnetic Stimulation Study. </w:t>
      </w:r>
      <w:r w:rsidRPr="00341B41">
        <w:rPr>
          <w:rFonts w:eastAsia="Times New Roman" w:cs="Times New Roman"/>
          <w:i/>
          <w:iCs/>
          <w:noProof/>
        </w:rPr>
        <w:t>Neurophysiology</w:t>
      </w:r>
      <w:r w:rsidRPr="00341B41">
        <w:rPr>
          <w:rFonts w:eastAsia="Times New Roman" w:cs="Times New Roman"/>
          <w:noProof/>
        </w:rPr>
        <w:t xml:space="preserve">, </w:t>
      </w:r>
      <w:r w:rsidRPr="00341B41">
        <w:rPr>
          <w:rFonts w:eastAsia="Times New Roman" w:cs="Times New Roman"/>
          <w:i/>
          <w:iCs/>
          <w:noProof/>
        </w:rPr>
        <w:t>73</w:t>
      </w:r>
      <w:r w:rsidRPr="00341B41">
        <w:rPr>
          <w:rFonts w:eastAsia="Times New Roman" w:cs="Times New Roman"/>
          <w:noProof/>
        </w:rPr>
        <w:t>(6).</w:t>
      </w:r>
    </w:p>
    <w:p w14:paraId="6DE98F2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Farrow, D., &amp; Abernethy, B. (2002). Can anticipatory skills be learned through implicit video-based perceptual training?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(6), 471–485. http://doi.org/10.1080/02640410252925143</w:t>
      </w:r>
    </w:p>
    <w:p w14:paraId="3426E88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Filho, E., Di Fronso, S., Mazzoni, C., Robazza, C., Bortoli, L., &amp; Bertollo, M. (2015). My heart is racing! Psychophysiological dynamics of skilled racecar drivers. </w:t>
      </w:r>
      <w:r w:rsidRPr="00341B41">
        <w:rPr>
          <w:rFonts w:eastAsia="Times New Roman" w:cs="Times New Roman"/>
          <w:i/>
          <w:iCs/>
          <w:noProof/>
        </w:rPr>
        <w:t>Journal of Sports Sciences</w:t>
      </w:r>
      <w:r w:rsidRPr="00341B41">
        <w:rPr>
          <w:rFonts w:eastAsia="Times New Roman" w:cs="Times New Roman"/>
          <w:noProof/>
        </w:rPr>
        <w:t>, 1–15. http://doi.org/10.1080/02640414.2014.977940</w:t>
      </w:r>
    </w:p>
    <w:p w14:paraId="53B4210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Fleisig, G., Nicholls, R., Elliott, B., &amp; Escamilla, R. (2003). Kinematics used by world </w:t>
      </w:r>
      <w:r w:rsidRPr="00341B41">
        <w:rPr>
          <w:rFonts w:eastAsia="Times New Roman" w:cs="Times New Roman"/>
          <w:noProof/>
        </w:rPr>
        <w:lastRenderedPageBreak/>
        <w:t xml:space="preserve">class tennis players to produce high-velocity serves. </w:t>
      </w:r>
      <w:r w:rsidRPr="00341B41">
        <w:rPr>
          <w:rFonts w:eastAsia="Times New Roman" w:cs="Times New Roman"/>
          <w:i/>
          <w:iCs/>
          <w:noProof/>
        </w:rPr>
        <w:t>Sports Biomechanics</w:t>
      </w:r>
      <w:r w:rsidRPr="00341B41">
        <w:rPr>
          <w:rFonts w:eastAsia="Times New Roman" w:cs="Times New Roman"/>
          <w:noProof/>
        </w:rPr>
        <w:t xml:space="preserve">, </w:t>
      </w:r>
      <w:r w:rsidRPr="00341B41">
        <w:rPr>
          <w:rFonts w:eastAsia="Times New Roman" w:cs="Times New Roman"/>
          <w:i/>
          <w:iCs/>
          <w:noProof/>
        </w:rPr>
        <w:t>2</w:t>
      </w:r>
      <w:r w:rsidRPr="00341B41">
        <w:rPr>
          <w:rFonts w:eastAsia="Times New Roman" w:cs="Times New Roman"/>
          <w:noProof/>
        </w:rPr>
        <w:t>(1), 51–64. http://doi.org/10.1080/14763140308522807</w:t>
      </w:r>
    </w:p>
    <w:p w14:paraId="4064893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Fogassi, L., Ferrari, P. F., Gesierich, B., Rozzi, S., Chersi, F., &amp; Rizzolatti, G. (2005). Parietal lobe: From action organization to intention understanding. </w:t>
      </w:r>
      <w:r w:rsidRPr="00341B41">
        <w:rPr>
          <w:rFonts w:eastAsia="Times New Roman" w:cs="Times New Roman"/>
          <w:i/>
          <w:iCs/>
          <w:noProof/>
        </w:rPr>
        <w:t>Science</w:t>
      </w:r>
      <w:r w:rsidRPr="00341B41">
        <w:rPr>
          <w:rFonts w:eastAsia="Times New Roman" w:cs="Times New Roman"/>
          <w:noProof/>
        </w:rPr>
        <w:t xml:space="preserve">, </w:t>
      </w:r>
      <w:r w:rsidRPr="00341B41">
        <w:rPr>
          <w:rFonts w:eastAsia="Times New Roman" w:cs="Times New Roman"/>
          <w:i/>
          <w:iCs/>
          <w:noProof/>
        </w:rPr>
        <w:t>308</w:t>
      </w:r>
      <w:r w:rsidRPr="00341B41">
        <w:rPr>
          <w:rFonts w:eastAsia="Times New Roman" w:cs="Times New Roman"/>
          <w:noProof/>
        </w:rPr>
        <w:t>(5722), 662–667. http://doi.org/10.1038/020493a0</w:t>
      </w:r>
    </w:p>
    <w:p w14:paraId="6BF03A1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Fox, N. A., Bakermans-Kranenburg, M. ., Yoo, K. H., Bowman, L. ., Cannon, E. N., Vanderwert, R. E., … van Ijzenoom, M. . (2016). Assessing human mirror activity with EEG mu rhythm : A meta-analysis. </w:t>
      </w:r>
      <w:r w:rsidRPr="00341B41">
        <w:rPr>
          <w:rFonts w:eastAsia="Times New Roman" w:cs="Times New Roman"/>
          <w:i/>
          <w:iCs/>
          <w:noProof/>
        </w:rPr>
        <w:t>Psychological Bulletin</w:t>
      </w:r>
      <w:r w:rsidRPr="00341B41">
        <w:rPr>
          <w:rFonts w:eastAsia="Times New Roman" w:cs="Times New Roman"/>
          <w:noProof/>
        </w:rPr>
        <w:t xml:space="preserve">, </w:t>
      </w:r>
      <w:r w:rsidRPr="00341B41">
        <w:rPr>
          <w:rFonts w:eastAsia="Times New Roman" w:cs="Times New Roman"/>
          <w:i/>
          <w:iCs/>
          <w:noProof/>
        </w:rPr>
        <w:t>142</w:t>
      </w:r>
      <w:r w:rsidRPr="00341B41">
        <w:rPr>
          <w:rFonts w:eastAsia="Times New Roman" w:cs="Times New Roman"/>
          <w:noProof/>
        </w:rPr>
        <w:t>(3), 291–313.</w:t>
      </w:r>
    </w:p>
    <w:p w14:paraId="79F0CED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Freeman, W. . (2004). Origin, structure, and role of background EEG activity. Part 2. Analytic phase.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115</w:t>
      </w:r>
      <w:r w:rsidRPr="00341B41">
        <w:rPr>
          <w:rFonts w:eastAsia="Times New Roman" w:cs="Times New Roman"/>
          <w:noProof/>
        </w:rPr>
        <w:t>, 2077–2088.</w:t>
      </w:r>
    </w:p>
    <w:p w14:paraId="263C8D6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Friston, K. (2003). Learning and inference in the brain. </w:t>
      </w:r>
      <w:r w:rsidRPr="00341B41">
        <w:rPr>
          <w:rFonts w:eastAsia="Times New Roman" w:cs="Times New Roman"/>
          <w:i/>
          <w:iCs/>
          <w:noProof/>
        </w:rPr>
        <w:t>Neural Networks</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(9), 1325–1352. http://doi.org/10.1016/j.neunet.2003.06.005</w:t>
      </w:r>
    </w:p>
    <w:p w14:paraId="7C08E31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Fumuro, T., Matsuhashi, M., Miyazaki, T., Inouchi, M., Hitomi, T., Matsumoto, R., … Ikeda, A. (2015). Alpha-band desynchronization in human parietal area during reach planning.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126</w:t>
      </w:r>
      <w:r w:rsidRPr="00341B41">
        <w:rPr>
          <w:rFonts w:eastAsia="Times New Roman" w:cs="Times New Roman"/>
          <w:noProof/>
        </w:rPr>
        <w:t>(4), 756–762. http://doi.org/10.1016/j.clinph.2014.07.026</w:t>
      </w:r>
    </w:p>
    <w:p w14:paraId="7BFD825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Gallese, V., Fadiga, L., Fogassi, L., &amp; Rizzolatti, G. (1996). Action recognition in the premotor cortex. </w:t>
      </w:r>
      <w:r w:rsidRPr="00341B41">
        <w:rPr>
          <w:rFonts w:eastAsia="Times New Roman" w:cs="Times New Roman"/>
          <w:i/>
          <w:iCs/>
          <w:noProof/>
        </w:rPr>
        <w:t>Brain</w:t>
      </w:r>
      <w:r w:rsidRPr="00341B41">
        <w:rPr>
          <w:rFonts w:eastAsia="Times New Roman" w:cs="Times New Roman"/>
          <w:noProof/>
        </w:rPr>
        <w:t xml:space="preserve">, </w:t>
      </w:r>
      <w:r w:rsidRPr="00341B41">
        <w:rPr>
          <w:rFonts w:eastAsia="Times New Roman" w:cs="Times New Roman"/>
          <w:i/>
          <w:iCs/>
          <w:noProof/>
        </w:rPr>
        <w:t>119 ( Pt 2</w:t>
      </w:r>
      <w:r w:rsidRPr="00341B41">
        <w:rPr>
          <w:rFonts w:eastAsia="Times New Roman" w:cs="Times New Roman"/>
          <w:noProof/>
        </w:rPr>
        <w:t>, 593–609. http://doi.org/10.1093/brain/119.2.593</w:t>
      </w:r>
    </w:p>
    <w:p w14:paraId="477DFD1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Genewein, T., &amp; Braun, D. a. (2012). A sensorimotor paradigm for Bayesian model selection.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6</w:t>
      </w:r>
      <w:r w:rsidRPr="00341B41">
        <w:rPr>
          <w:rFonts w:eastAsia="Times New Roman" w:cs="Times New Roman"/>
          <w:noProof/>
        </w:rPr>
        <w:t>(October), 1–16. http://doi.org/10.3389/fnhum.2012.00291</w:t>
      </w:r>
    </w:p>
    <w:p w14:paraId="4762A80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Genewein, T., Hez, E., Razzaghpanah, Z., &amp; Braun, D. A. (2015). Structure Learning in Bayesian Sensorimotor Integration. </w:t>
      </w:r>
      <w:r w:rsidRPr="00341B41">
        <w:rPr>
          <w:rFonts w:eastAsia="Times New Roman" w:cs="Times New Roman"/>
          <w:i/>
          <w:iCs/>
          <w:noProof/>
        </w:rPr>
        <w:t>PLoS Computational Biology</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(8), e1004369. http://doi.org/10.1371/journal.pcbi.1004369</w:t>
      </w:r>
    </w:p>
    <w:p w14:paraId="2ED5047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Giese, M. A., &amp; Poggio, T. (2003). Neural Mechanisms for the Recognition of Biological Movements. </w:t>
      </w:r>
      <w:r w:rsidRPr="00341B41">
        <w:rPr>
          <w:rFonts w:eastAsia="Times New Roman" w:cs="Times New Roman"/>
          <w:i/>
          <w:iCs/>
          <w:noProof/>
        </w:rPr>
        <w:t>Nature Reviews Neuroscience</w:t>
      </w:r>
      <w:r w:rsidRPr="00341B41">
        <w:rPr>
          <w:rFonts w:eastAsia="Times New Roman" w:cs="Times New Roman"/>
          <w:noProof/>
        </w:rPr>
        <w:t xml:space="preserve">, </w:t>
      </w:r>
      <w:r w:rsidRPr="00341B41">
        <w:rPr>
          <w:rFonts w:eastAsia="Times New Roman" w:cs="Times New Roman"/>
          <w:i/>
          <w:iCs/>
          <w:noProof/>
        </w:rPr>
        <w:t>4</w:t>
      </w:r>
      <w:r w:rsidRPr="00341B41">
        <w:rPr>
          <w:rFonts w:eastAsia="Times New Roman" w:cs="Times New Roman"/>
          <w:noProof/>
        </w:rPr>
        <w:t>(3), 179–192. http://doi.org/10.1038/nrn1057</w:t>
      </w:r>
    </w:p>
    <w:p w14:paraId="3D19F11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Gramann, K., Jung, T., Ferris, D. P., Lin, C., Makeig, S., &amp; Neuroscience, H. (2014). </w:t>
      </w:r>
      <w:r w:rsidRPr="00341B41">
        <w:rPr>
          <w:rFonts w:eastAsia="Times New Roman" w:cs="Times New Roman"/>
          <w:i/>
          <w:iCs/>
          <w:noProof/>
        </w:rPr>
        <w:t>Towards a New Cognitive Neuroscience: Modeling Natural Brain Dynamics</w:t>
      </w:r>
      <w:r w:rsidRPr="00341B41">
        <w:rPr>
          <w:rFonts w:eastAsia="Times New Roman" w:cs="Times New Roman"/>
          <w:noProof/>
        </w:rPr>
        <w:t>. (K. Gramann, T.-P. Jung, D. P. Ferris, C.-T. Lin, &amp; S. Makeig, Eds.). Frontiers Media SA. http://doi.org/10.3389/978-2-88919-271-7</w:t>
      </w:r>
    </w:p>
    <w:p w14:paraId="2744179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Gramann, K., Onton, J., Riccobon, D., Mueller, H. J., Bardins, S., &amp; Makeig, S. (2010). Human brain dynamics accompanying use of egocentric and allocentric reference frames during navigation. </w:t>
      </w:r>
      <w:r w:rsidRPr="00341B41">
        <w:rPr>
          <w:rFonts w:eastAsia="Times New Roman" w:cs="Times New Roman"/>
          <w:i/>
          <w:iCs/>
          <w:noProof/>
        </w:rPr>
        <w:t>Journal of Cognitive Neuroscience</w:t>
      </w:r>
      <w:r w:rsidRPr="00341B41">
        <w:rPr>
          <w:rFonts w:eastAsia="Times New Roman" w:cs="Times New Roman"/>
          <w:noProof/>
        </w:rPr>
        <w:t xml:space="preserve">, </w:t>
      </w:r>
      <w:r w:rsidRPr="00341B41">
        <w:rPr>
          <w:rFonts w:eastAsia="Times New Roman" w:cs="Times New Roman"/>
          <w:i/>
          <w:iCs/>
          <w:noProof/>
        </w:rPr>
        <w:t>22</w:t>
      </w:r>
      <w:r w:rsidRPr="00341B41">
        <w:rPr>
          <w:rFonts w:eastAsia="Times New Roman" w:cs="Times New Roman"/>
          <w:noProof/>
        </w:rPr>
        <w:t>(12), 2836–2849. http://doi.org/10.1162/jocn.2009.21369</w:t>
      </w:r>
    </w:p>
    <w:p w14:paraId="7A48DF5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Grandchamp, R., Braboszcz, C., Makeig, S., &amp; Delorme, A. (2012). Stability of ICA decomposition across within-subject EEG datasets. </w:t>
      </w:r>
      <w:r w:rsidRPr="00341B41">
        <w:rPr>
          <w:rFonts w:eastAsia="Times New Roman" w:cs="Times New Roman"/>
          <w:i/>
          <w:iCs/>
          <w:noProof/>
        </w:rPr>
        <w:t>Proceedings of the Annual International Conference of the IEEE Engineering in Medicine and Biology Society, EMBS</w:t>
      </w:r>
      <w:r w:rsidRPr="00341B41">
        <w:rPr>
          <w:rFonts w:eastAsia="Times New Roman" w:cs="Times New Roman"/>
          <w:noProof/>
        </w:rPr>
        <w:t xml:space="preserve">, </w:t>
      </w:r>
      <w:r w:rsidRPr="00341B41">
        <w:rPr>
          <w:rFonts w:eastAsia="Times New Roman" w:cs="Times New Roman"/>
          <w:i/>
          <w:iCs/>
          <w:noProof/>
        </w:rPr>
        <w:t>33</w:t>
      </w:r>
      <w:r w:rsidRPr="00341B41">
        <w:rPr>
          <w:rFonts w:eastAsia="Times New Roman" w:cs="Times New Roman"/>
          <w:noProof/>
        </w:rPr>
        <w:t>(0), 6735–6739. http://doi.org/10.1109/EMBC.2012.6347540</w:t>
      </w:r>
    </w:p>
    <w:p w14:paraId="58AC888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Grandchamp, R., &amp; Delorme, A. (2011). Single-trial normalization for event-related spectral decomposition reduces sensitivity to noisy trials. </w:t>
      </w:r>
      <w:r w:rsidRPr="00341B41">
        <w:rPr>
          <w:rFonts w:eastAsia="Times New Roman" w:cs="Times New Roman"/>
          <w:i/>
          <w:iCs/>
          <w:noProof/>
        </w:rPr>
        <w:t>Frontiers in Psychology</w:t>
      </w:r>
      <w:r w:rsidRPr="00341B41">
        <w:rPr>
          <w:rFonts w:eastAsia="Times New Roman" w:cs="Times New Roman"/>
          <w:noProof/>
        </w:rPr>
        <w:t xml:space="preserve">, </w:t>
      </w:r>
      <w:r w:rsidRPr="00341B41">
        <w:rPr>
          <w:rFonts w:eastAsia="Times New Roman" w:cs="Times New Roman"/>
          <w:i/>
          <w:iCs/>
          <w:noProof/>
        </w:rPr>
        <w:t>2</w:t>
      </w:r>
      <w:r w:rsidRPr="00341B41">
        <w:rPr>
          <w:rFonts w:eastAsia="Times New Roman" w:cs="Times New Roman"/>
          <w:noProof/>
        </w:rPr>
        <w:t>(SEP), 1–14. http://doi.org/10.3389/fpsyg.2011.00236</w:t>
      </w:r>
    </w:p>
    <w:p w14:paraId="6DFFB74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Green, C. S., &amp; Bavelier, D. (2003). Action video game modifies visual selective attention. </w:t>
      </w:r>
      <w:r w:rsidRPr="00341B41">
        <w:rPr>
          <w:rFonts w:eastAsia="Times New Roman" w:cs="Times New Roman"/>
          <w:i/>
          <w:iCs/>
          <w:noProof/>
        </w:rPr>
        <w:t>Nature</w:t>
      </w:r>
      <w:r w:rsidRPr="00341B41">
        <w:rPr>
          <w:rFonts w:eastAsia="Times New Roman" w:cs="Times New Roman"/>
          <w:noProof/>
        </w:rPr>
        <w:t xml:space="preserve">, </w:t>
      </w:r>
      <w:r w:rsidRPr="00341B41">
        <w:rPr>
          <w:rFonts w:eastAsia="Times New Roman" w:cs="Times New Roman"/>
          <w:i/>
          <w:iCs/>
          <w:noProof/>
        </w:rPr>
        <w:t>423</w:t>
      </w:r>
      <w:r w:rsidRPr="00341B41">
        <w:rPr>
          <w:rFonts w:eastAsia="Times New Roman" w:cs="Times New Roman"/>
          <w:noProof/>
        </w:rPr>
        <w:t>(May), 3–6.</w:t>
      </w:r>
    </w:p>
    <w:p w14:paraId="06271D2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Grossman, E. D., &amp; Blake, R. (2002). Brain Areas Active during Visual Perception of Biological Motion. </w:t>
      </w:r>
      <w:r w:rsidRPr="00341B41">
        <w:rPr>
          <w:rFonts w:eastAsia="Times New Roman" w:cs="Times New Roman"/>
          <w:i/>
          <w:iCs/>
          <w:noProof/>
        </w:rPr>
        <w:t>Neuron</w:t>
      </w:r>
      <w:r w:rsidRPr="00341B41">
        <w:rPr>
          <w:rFonts w:eastAsia="Times New Roman" w:cs="Times New Roman"/>
          <w:noProof/>
        </w:rPr>
        <w:t xml:space="preserve">, </w:t>
      </w:r>
      <w:r w:rsidRPr="00341B41">
        <w:rPr>
          <w:rFonts w:eastAsia="Times New Roman" w:cs="Times New Roman"/>
          <w:i/>
          <w:iCs/>
          <w:noProof/>
        </w:rPr>
        <w:t>35</w:t>
      </w:r>
      <w:r w:rsidRPr="00341B41">
        <w:rPr>
          <w:rFonts w:eastAsia="Times New Roman" w:cs="Times New Roman"/>
          <w:noProof/>
        </w:rPr>
        <w:t>(6), 1167–75. Retrieved from http://www.ncbi.nlm.nih.gov/pubmed/12354405</w:t>
      </w:r>
    </w:p>
    <w:p w14:paraId="259511B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Grossman, E. D., Jardine, N. L., &amp; Pyles, J. a. (2010). fMR-Adaptation Reveals Invariant Coding of Biological Motion on the Human STS.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4</w:t>
      </w:r>
      <w:r w:rsidRPr="00341B41">
        <w:rPr>
          <w:rFonts w:eastAsia="Times New Roman" w:cs="Times New Roman"/>
          <w:noProof/>
        </w:rPr>
        <w:t>(March), 15. http://doi.org/10.3389/neuro.09.015.2010</w:t>
      </w:r>
    </w:p>
    <w:p w14:paraId="62D48E9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Hagemann, N. (2009). The advantage of being left-handed in interactive sports. </w:t>
      </w:r>
      <w:r w:rsidRPr="00341B41">
        <w:rPr>
          <w:rFonts w:eastAsia="Times New Roman" w:cs="Times New Roman"/>
          <w:i/>
          <w:iCs/>
          <w:noProof/>
        </w:rPr>
        <w:t>Attention, Perception and Psychophysics</w:t>
      </w:r>
      <w:r w:rsidRPr="00341B41">
        <w:rPr>
          <w:rFonts w:eastAsia="Times New Roman" w:cs="Times New Roman"/>
          <w:noProof/>
        </w:rPr>
        <w:t xml:space="preserve">, </w:t>
      </w:r>
      <w:r w:rsidRPr="00341B41">
        <w:rPr>
          <w:rFonts w:eastAsia="Times New Roman" w:cs="Times New Roman"/>
          <w:i/>
          <w:iCs/>
          <w:noProof/>
        </w:rPr>
        <w:t>71</w:t>
      </w:r>
      <w:r w:rsidRPr="00341B41">
        <w:rPr>
          <w:rFonts w:eastAsia="Times New Roman" w:cs="Times New Roman"/>
          <w:noProof/>
        </w:rPr>
        <w:t>(7), 1641–1648. http://doi.org/10.3758/APP</w:t>
      </w:r>
    </w:p>
    <w:p w14:paraId="0F6E0D4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Hagemann, N., Schorer, J., Canal-Bruland, R., Lotz, S., &amp; Strauss, B. (2010). Visual perception in fencing: Do the eye movements of fencers represent their information pickup? </w:t>
      </w:r>
      <w:r w:rsidRPr="00341B41">
        <w:rPr>
          <w:rFonts w:eastAsia="Times New Roman" w:cs="Times New Roman"/>
          <w:i/>
          <w:iCs/>
          <w:noProof/>
        </w:rPr>
        <w:t>Attention, Perception and Psychophysics</w:t>
      </w:r>
      <w:r w:rsidRPr="00341B41">
        <w:rPr>
          <w:rFonts w:eastAsia="Times New Roman" w:cs="Times New Roman"/>
          <w:noProof/>
        </w:rPr>
        <w:t xml:space="preserve">, </w:t>
      </w:r>
      <w:r w:rsidRPr="00341B41">
        <w:rPr>
          <w:rFonts w:eastAsia="Times New Roman" w:cs="Times New Roman"/>
          <w:i/>
          <w:iCs/>
          <w:noProof/>
        </w:rPr>
        <w:t>72</w:t>
      </w:r>
      <w:r w:rsidRPr="00341B41">
        <w:rPr>
          <w:rFonts w:eastAsia="Times New Roman" w:cs="Times New Roman"/>
          <w:noProof/>
        </w:rPr>
        <w:t>(8), 2204–2214. http://doi.org/10.3758/APP</w:t>
      </w:r>
    </w:p>
    <w:p w14:paraId="0C00CE1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Hänggi, J., Koeneke, S., Bezzola, L., &amp; Jäncke, L. (2010). Structural neuroplasticity in the sensorimotor network of professional female ballet dancers. </w:t>
      </w:r>
      <w:r w:rsidRPr="00341B41">
        <w:rPr>
          <w:rFonts w:eastAsia="Times New Roman" w:cs="Times New Roman"/>
          <w:i/>
          <w:iCs/>
          <w:noProof/>
        </w:rPr>
        <w:t>Human Brain Mapping</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(8), 1196–1206. http://doi.org/10.1002/hbm.20928</w:t>
      </w:r>
    </w:p>
    <w:p w14:paraId="15EE112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Hari, R., Forss, N., Avikainen, S., Kirveskari, E., Salenius, S., &amp; Rizzolatti, G. (1998). Activation of human primary motor cortex during action observation: a neuromagnetic study. </w:t>
      </w:r>
      <w:r w:rsidRPr="00341B41">
        <w:rPr>
          <w:rFonts w:eastAsia="Times New Roman" w:cs="Times New Roman"/>
          <w:i/>
          <w:iCs/>
          <w:noProof/>
        </w:rPr>
        <w:t>Proceedings of the National Academy of Sciences</w:t>
      </w:r>
      <w:r w:rsidRPr="00341B41">
        <w:rPr>
          <w:rFonts w:eastAsia="Times New Roman" w:cs="Times New Roman"/>
          <w:noProof/>
        </w:rPr>
        <w:t xml:space="preserve">, </w:t>
      </w:r>
      <w:r w:rsidRPr="00341B41">
        <w:rPr>
          <w:rFonts w:eastAsia="Times New Roman" w:cs="Times New Roman"/>
          <w:i/>
          <w:iCs/>
          <w:noProof/>
        </w:rPr>
        <w:t>95</w:t>
      </w:r>
      <w:r w:rsidRPr="00341B41">
        <w:rPr>
          <w:rFonts w:eastAsia="Times New Roman" w:cs="Times New Roman"/>
          <w:noProof/>
        </w:rPr>
        <w:t>(25), 15061–5. http://doi.org/10.1073/pnas.95.25.15061</w:t>
      </w:r>
    </w:p>
    <w:p w14:paraId="6915011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Henderson, J. (2003). Human gaze control during real-world scene perception. </w:t>
      </w:r>
      <w:r w:rsidRPr="00341B41">
        <w:rPr>
          <w:rFonts w:eastAsia="Times New Roman" w:cs="Times New Roman"/>
          <w:i/>
          <w:iCs/>
          <w:noProof/>
        </w:rPr>
        <w:t>Trends in Cognitive Sciences</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(11), 498–504. http://doi.org/10.1016/j.tics.2003.09.006</w:t>
      </w:r>
    </w:p>
    <w:p w14:paraId="65D8068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Herding, J., Spitzer, B., &amp; Blankenburg, F. (2016). Upper beta band ascillations in the human premotor cortex encode subjective choices in a vibrotactile comparison task. </w:t>
      </w:r>
      <w:r w:rsidRPr="00341B41">
        <w:rPr>
          <w:rFonts w:eastAsia="Times New Roman" w:cs="Times New Roman"/>
          <w:i/>
          <w:iCs/>
          <w:noProof/>
        </w:rPr>
        <w:t>Journal of Cognitive Neuroscience</w:t>
      </w:r>
      <w:r w:rsidRPr="00341B41">
        <w:rPr>
          <w:rFonts w:eastAsia="Times New Roman" w:cs="Times New Roman"/>
          <w:noProof/>
        </w:rPr>
        <w:t>. http://doi.org/doi:10.1162/jocn_a_00932</w:t>
      </w:r>
    </w:p>
    <w:p w14:paraId="2B8053B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Heyes, C. (2010a). Mesmerising mirror neurons.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51</w:t>
      </w:r>
      <w:r w:rsidRPr="00341B41">
        <w:rPr>
          <w:rFonts w:eastAsia="Times New Roman" w:cs="Times New Roman"/>
          <w:noProof/>
        </w:rPr>
        <w:t>(2), 789–791. http://doi.org/10.1016/j.neuroimage.2010.02.034</w:t>
      </w:r>
    </w:p>
    <w:p w14:paraId="7517B2E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Heyes, C. (2010b). Where do mirror neurons come from? </w:t>
      </w:r>
      <w:r w:rsidRPr="00341B41">
        <w:rPr>
          <w:rFonts w:eastAsia="Times New Roman" w:cs="Times New Roman"/>
          <w:i/>
          <w:iCs/>
          <w:noProof/>
        </w:rPr>
        <w:t>Neuroscience and Biobehavioral Reviews</w:t>
      </w:r>
      <w:r w:rsidRPr="00341B41">
        <w:rPr>
          <w:rFonts w:eastAsia="Times New Roman" w:cs="Times New Roman"/>
          <w:noProof/>
        </w:rPr>
        <w:t xml:space="preserve">, </w:t>
      </w:r>
      <w:r w:rsidRPr="00341B41">
        <w:rPr>
          <w:rFonts w:eastAsia="Times New Roman" w:cs="Times New Roman"/>
          <w:i/>
          <w:iCs/>
          <w:noProof/>
        </w:rPr>
        <w:t>34</w:t>
      </w:r>
      <w:r w:rsidRPr="00341B41">
        <w:rPr>
          <w:rFonts w:eastAsia="Times New Roman" w:cs="Times New Roman"/>
          <w:noProof/>
        </w:rPr>
        <w:t>(4), 575–583. http://doi.org/10.1016/j.neubiorev.2009.11.007</w:t>
      </w:r>
    </w:p>
    <w:p w14:paraId="2936F63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Hickok, G. (2009). Eight problems for the mirror neuron theory of action understanding in monkeys and humans. </w:t>
      </w:r>
      <w:r w:rsidRPr="00341B41">
        <w:rPr>
          <w:rFonts w:eastAsia="Times New Roman" w:cs="Times New Roman"/>
          <w:i/>
          <w:iCs/>
          <w:noProof/>
        </w:rPr>
        <w:t>Journal of Cognitive Neuroscience</w:t>
      </w:r>
      <w:r w:rsidRPr="00341B41">
        <w:rPr>
          <w:rFonts w:eastAsia="Times New Roman" w:cs="Times New Roman"/>
          <w:noProof/>
        </w:rPr>
        <w:t xml:space="preserve">, </w:t>
      </w:r>
      <w:r w:rsidRPr="00341B41">
        <w:rPr>
          <w:rFonts w:eastAsia="Times New Roman" w:cs="Times New Roman"/>
          <w:i/>
          <w:iCs/>
          <w:noProof/>
        </w:rPr>
        <w:t>21</w:t>
      </w:r>
      <w:r w:rsidRPr="00341B41">
        <w:rPr>
          <w:rFonts w:eastAsia="Times New Roman" w:cs="Times New Roman"/>
          <w:noProof/>
        </w:rPr>
        <w:t>(7), 1229–1243. http://doi.org/10.1162/jocn.2009.21189</w:t>
      </w:r>
    </w:p>
    <w:p w14:paraId="3C90CC7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Hobson, H. M., &amp; Bishop, D. V. M. (2016). Mu suppression – A good measure of the human mirror neuron system? </w:t>
      </w:r>
      <w:r w:rsidRPr="00341B41">
        <w:rPr>
          <w:rFonts w:eastAsia="Times New Roman" w:cs="Times New Roman"/>
          <w:i/>
          <w:iCs/>
          <w:noProof/>
        </w:rPr>
        <w:t>Cortex</w:t>
      </w:r>
      <w:r w:rsidRPr="00341B41">
        <w:rPr>
          <w:rFonts w:eastAsia="Times New Roman" w:cs="Times New Roman"/>
          <w:noProof/>
        </w:rPr>
        <w:t xml:space="preserve">, </w:t>
      </w:r>
      <w:r w:rsidRPr="00341B41">
        <w:rPr>
          <w:rFonts w:eastAsia="Times New Roman" w:cs="Times New Roman"/>
          <w:i/>
          <w:iCs/>
          <w:noProof/>
        </w:rPr>
        <w:t>82</w:t>
      </w:r>
      <w:r w:rsidRPr="00341B41">
        <w:rPr>
          <w:rFonts w:eastAsia="Times New Roman" w:cs="Times New Roman"/>
          <w:noProof/>
        </w:rPr>
        <w:t>, 290–310. http://doi.org/10.1016/j.cortex.2016.03.019</w:t>
      </w:r>
    </w:p>
    <w:p w14:paraId="19FFB57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Hoffmann, S., &amp; Falkenstein, M. (2008). The correction of eye blink artefacts in the EEG: A comparison of two prominent methods.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3</w:t>
      </w:r>
      <w:r w:rsidRPr="00341B41">
        <w:rPr>
          <w:rFonts w:eastAsia="Times New Roman" w:cs="Times New Roman"/>
          <w:noProof/>
        </w:rPr>
        <w:t>(8). http://doi.org/10.1371/journal.pone.0003004</w:t>
      </w:r>
    </w:p>
    <w:p w14:paraId="01E1425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Howarth, C., Walsh, W. ., &amp; Abernethy, B. (1984). A field examination of anticipation in squash. </w:t>
      </w:r>
      <w:r w:rsidRPr="00341B41">
        <w:rPr>
          <w:rFonts w:eastAsia="Times New Roman" w:cs="Times New Roman"/>
          <w:i/>
          <w:iCs/>
          <w:noProof/>
        </w:rPr>
        <w:t>Australian Journal of Science and Medicine in Sport</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 7–11.</w:t>
      </w:r>
    </w:p>
    <w:p w14:paraId="39BBC31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Huster, R. J., Debener, S., Eichele, T., &amp; Herrmann, C. S. (2012). Methods for </w:t>
      </w:r>
      <w:r w:rsidRPr="00341B41">
        <w:rPr>
          <w:rFonts w:eastAsia="Times New Roman" w:cs="Times New Roman"/>
          <w:noProof/>
        </w:rPr>
        <w:lastRenderedPageBreak/>
        <w:t xml:space="preserve">simultaneous EEG-fMRI: an introductory review.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32</w:t>
      </w:r>
      <w:r w:rsidRPr="00341B41">
        <w:rPr>
          <w:rFonts w:eastAsia="Times New Roman" w:cs="Times New Roman"/>
          <w:noProof/>
        </w:rPr>
        <w:t>(18), 6053–60. http://doi.org/10.1523/JNEUROSCI.0447-12.2012</w:t>
      </w:r>
    </w:p>
    <w:p w14:paraId="733883B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Huys, R., Cañal-Bruland, R., Hagemann, N., Beek, P. J., Smeeton, N. J., &amp; Williams, A. M. (2009). Global information pickup underpins anticipation of tennis shot direction. </w:t>
      </w:r>
      <w:r w:rsidRPr="00341B41">
        <w:rPr>
          <w:rFonts w:eastAsia="Times New Roman" w:cs="Times New Roman"/>
          <w:i/>
          <w:iCs/>
          <w:noProof/>
        </w:rPr>
        <w:t>Journal of Motor Behaviour</w:t>
      </w:r>
      <w:r w:rsidRPr="00341B41">
        <w:rPr>
          <w:rFonts w:eastAsia="Times New Roman" w:cs="Times New Roman"/>
          <w:noProof/>
        </w:rPr>
        <w:t xml:space="preserve">, </w:t>
      </w:r>
      <w:r w:rsidRPr="00341B41">
        <w:rPr>
          <w:rFonts w:eastAsia="Times New Roman" w:cs="Times New Roman"/>
          <w:i/>
          <w:iCs/>
          <w:noProof/>
        </w:rPr>
        <w:t>41</w:t>
      </w:r>
      <w:r w:rsidRPr="00341B41">
        <w:rPr>
          <w:rFonts w:eastAsia="Times New Roman" w:cs="Times New Roman"/>
          <w:noProof/>
        </w:rPr>
        <w:t>(2), 158–71. http://doi.org/10.3200/JMBR.41.2.158-171</w:t>
      </w:r>
    </w:p>
    <w:p w14:paraId="5A21774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Jackson, R. C., &amp; Mogan, P. (2007). Advance visual information, awareness, and anticipation skill. </w:t>
      </w:r>
      <w:r w:rsidRPr="00341B41">
        <w:rPr>
          <w:rFonts w:eastAsia="Times New Roman" w:cs="Times New Roman"/>
          <w:i/>
          <w:iCs/>
          <w:noProof/>
        </w:rPr>
        <w:t>Journal of Motor Behavior</w:t>
      </w:r>
      <w:r w:rsidRPr="00341B41">
        <w:rPr>
          <w:rFonts w:eastAsia="Times New Roman" w:cs="Times New Roman"/>
          <w:noProof/>
        </w:rPr>
        <w:t xml:space="preserve">, </w:t>
      </w:r>
      <w:r w:rsidRPr="00341B41">
        <w:rPr>
          <w:rFonts w:eastAsia="Times New Roman" w:cs="Times New Roman"/>
          <w:i/>
          <w:iCs/>
          <w:noProof/>
        </w:rPr>
        <w:t>39</w:t>
      </w:r>
      <w:r w:rsidRPr="00341B41">
        <w:rPr>
          <w:rFonts w:eastAsia="Times New Roman" w:cs="Times New Roman"/>
          <w:noProof/>
        </w:rPr>
        <w:t>(5), 341–351. http://doi.org/10.3200/JMBR.39.5.341-352</w:t>
      </w:r>
    </w:p>
    <w:p w14:paraId="50E954A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Jackson, R. C., Warren, S., &amp; Abernethy, B. (2006). Anticipation skill and susceptibility to deceptive movement. </w:t>
      </w:r>
      <w:r w:rsidRPr="00341B41">
        <w:rPr>
          <w:rFonts w:eastAsia="Times New Roman" w:cs="Times New Roman"/>
          <w:i/>
          <w:iCs/>
          <w:noProof/>
        </w:rPr>
        <w:t>Acta Psychologica</w:t>
      </w:r>
      <w:r w:rsidRPr="00341B41">
        <w:rPr>
          <w:rFonts w:eastAsia="Times New Roman" w:cs="Times New Roman"/>
          <w:noProof/>
        </w:rPr>
        <w:t xml:space="preserve">, </w:t>
      </w:r>
      <w:r w:rsidRPr="00341B41">
        <w:rPr>
          <w:rFonts w:eastAsia="Times New Roman" w:cs="Times New Roman"/>
          <w:i/>
          <w:iCs/>
          <w:noProof/>
        </w:rPr>
        <w:t>123</w:t>
      </w:r>
      <w:r w:rsidRPr="00341B41">
        <w:rPr>
          <w:rFonts w:eastAsia="Times New Roman" w:cs="Times New Roman"/>
          <w:noProof/>
        </w:rPr>
        <w:t>(3), 355–71. http://doi.org/10.1016/j.actpsy.2006.02.002</w:t>
      </w:r>
    </w:p>
    <w:p w14:paraId="22625D0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James, N., &amp; Bradley, C. (2004). Disgusing ones intentions: The availability of visual cues and situational probabilities when playing against an international level squash player. In A. Lees, J. . Kahn, &amp; I. . Maynard (Eds.), </w:t>
      </w:r>
      <w:r w:rsidRPr="00341B41">
        <w:rPr>
          <w:rFonts w:eastAsia="Times New Roman" w:cs="Times New Roman"/>
          <w:i/>
          <w:iCs/>
          <w:noProof/>
        </w:rPr>
        <w:t>Science and Racket Sports III</w:t>
      </w:r>
      <w:r w:rsidRPr="00341B41">
        <w:rPr>
          <w:rFonts w:eastAsia="Times New Roman" w:cs="Times New Roman"/>
          <w:noProof/>
        </w:rPr>
        <w:t xml:space="preserve"> (pp. 247–252). Abingdon, Oxfordshire: Routledge.</w:t>
      </w:r>
    </w:p>
    <w:p w14:paraId="329853E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Järveläinen, S., Schürmann, M., &amp; Hari, R. (2004). Activation of the human primary motor cortex during observation of tool use.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(1), 187–192. http://doi.org/10.1016/j.neuroimage.2004.06.010</w:t>
      </w:r>
    </w:p>
    <w:p w14:paraId="18D8784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Jastorff, J., Begliomini, C., Fabbri-Destro, M., Rizzolatti, G., &amp; Orban, G. a. (2010). Coding observed motor acts: different organizational principles in the parietal and </w:t>
      </w:r>
      <w:r w:rsidRPr="00341B41">
        <w:rPr>
          <w:rFonts w:eastAsia="Times New Roman" w:cs="Times New Roman"/>
          <w:noProof/>
        </w:rPr>
        <w:lastRenderedPageBreak/>
        <w:t xml:space="preserve">premotor cortex of humans. </w:t>
      </w:r>
      <w:r w:rsidRPr="00341B41">
        <w:rPr>
          <w:rFonts w:eastAsia="Times New Roman" w:cs="Times New Roman"/>
          <w:i/>
          <w:iCs/>
          <w:noProof/>
        </w:rPr>
        <w:t>Journal of Neurophysiology</w:t>
      </w:r>
      <w:r w:rsidRPr="00341B41">
        <w:rPr>
          <w:rFonts w:eastAsia="Times New Roman" w:cs="Times New Roman"/>
          <w:noProof/>
        </w:rPr>
        <w:t xml:space="preserve">, </w:t>
      </w:r>
      <w:r w:rsidRPr="00341B41">
        <w:rPr>
          <w:rFonts w:eastAsia="Times New Roman" w:cs="Times New Roman"/>
          <w:i/>
          <w:iCs/>
          <w:noProof/>
        </w:rPr>
        <w:t>104</w:t>
      </w:r>
      <w:r w:rsidRPr="00341B41">
        <w:rPr>
          <w:rFonts w:eastAsia="Times New Roman" w:cs="Times New Roman"/>
          <w:noProof/>
        </w:rPr>
        <w:t>(1), 128–140. http://doi.org/10.1152/jn.00254.2010</w:t>
      </w:r>
    </w:p>
    <w:p w14:paraId="438AF2B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Jastorff, J., &amp; Orban, G. a. (2009). Human functional magnetic resonance imaging reveals separation and integration of shape and motion cues in biological motion processing.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29</w:t>
      </w:r>
      <w:r w:rsidRPr="00341B41">
        <w:rPr>
          <w:rFonts w:eastAsia="Times New Roman" w:cs="Times New Roman"/>
          <w:noProof/>
        </w:rPr>
        <w:t>(22), 7315–7329. http://doi.org/10.1523/JNEUROSCI.4870-08.2009</w:t>
      </w:r>
    </w:p>
    <w:p w14:paraId="448E35C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Jin, H., Xu, G., Zhang, J. X., Gao, H., Ye, Z., Wang, P., … Lin, C.-D. (2011). Event-related potential effects of superior action anticipation in professional badminton players. </w:t>
      </w:r>
      <w:r w:rsidRPr="00341B41">
        <w:rPr>
          <w:rFonts w:eastAsia="Times New Roman" w:cs="Times New Roman"/>
          <w:i/>
          <w:iCs/>
          <w:noProof/>
        </w:rPr>
        <w:t>Neuroscience Letters</w:t>
      </w:r>
      <w:r w:rsidRPr="00341B41">
        <w:rPr>
          <w:rFonts w:eastAsia="Times New Roman" w:cs="Times New Roman"/>
          <w:noProof/>
        </w:rPr>
        <w:t xml:space="preserve">, </w:t>
      </w:r>
      <w:r w:rsidRPr="00341B41">
        <w:rPr>
          <w:rFonts w:eastAsia="Times New Roman" w:cs="Times New Roman"/>
          <w:i/>
          <w:iCs/>
          <w:noProof/>
        </w:rPr>
        <w:t>492</w:t>
      </w:r>
      <w:r w:rsidRPr="00341B41">
        <w:rPr>
          <w:rFonts w:eastAsia="Times New Roman" w:cs="Times New Roman"/>
          <w:noProof/>
        </w:rPr>
        <w:t>(3), 139–44. http://doi.org/10.1016/j.neulet.2011.01.074</w:t>
      </w:r>
    </w:p>
    <w:p w14:paraId="1EB2620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Jung, T.-P., Humphries, C., Lee, T., Makeig, S., Mckeown, M. J., Iragui, V., &amp; Sejnowskil, T. J. (1998). Removing Electroencephalographic Artifacts : Comparison between ICA and PCA *. </w:t>
      </w:r>
      <w:r w:rsidRPr="00341B41">
        <w:rPr>
          <w:rFonts w:eastAsia="Times New Roman" w:cs="Times New Roman"/>
          <w:i/>
          <w:iCs/>
          <w:noProof/>
        </w:rPr>
        <w:t>Neural Networks for Signal Processing VIII, 1998. Proceedings of the 1998 IEEE Signal Processing Society Workshop</w:t>
      </w:r>
      <w:r w:rsidRPr="00341B41">
        <w:rPr>
          <w:rFonts w:eastAsia="Times New Roman" w:cs="Times New Roman"/>
          <w:noProof/>
        </w:rPr>
        <w:t>, 63–72. http://doi.org/10.1109/NNSP.1998.710633</w:t>
      </w:r>
    </w:p>
    <w:p w14:paraId="3C67394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Jung, T.-P., Makeig, S., Humphries, C., Lee, T.-W., McKeown, M. J., Iragui, V., &amp; Sejnowski, T. J. (2000). Removing electroencephalographic artifacts by blind source separation. </w:t>
      </w:r>
      <w:r w:rsidRPr="00341B41">
        <w:rPr>
          <w:rFonts w:eastAsia="Times New Roman" w:cs="Times New Roman"/>
          <w:i/>
          <w:iCs/>
          <w:noProof/>
        </w:rPr>
        <w:t>Psychophysiology</w:t>
      </w:r>
      <w:r w:rsidRPr="00341B41">
        <w:rPr>
          <w:rFonts w:eastAsia="Times New Roman" w:cs="Times New Roman"/>
          <w:noProof/>
        </w:rPr>
        <w:t xml:space="preserve">, </w:t>
      </w:r>
      <w:r w:rsidRPr="00341B41">
        <w:rPr>
          <w:rFonts w:eastAsia="Times New Roman" w:cs="Times New Roman"/>
          <w:i/>
          <w:iCs/>
          <w:noProof/>
        </w:rPr>
        <w:t>37</w:t>
      </w:r>
      <w:r w:rsidRPr="00341B41">
        <w:rPr>
          <w:rFonts w:eastAsia="Times New Roman" w:cs="Times New Roman"/>
          <w:noProof/>
        </w:rPr>
        <w:t>(2), 163–178. http://doi.org/10.1111/1469-8986.3720163</w:t>
      </w:r>
    </w:p>
    <w:p w14:paraId="5F0D1C0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Jung, T.-P., Makeig, S., McKeown, M. J., Bell, A. J., Lee, T.-W., &amp; Sejnowski, T. J. (2001). Imaging brain dynamics using independent component analysis. </w:t>
      </w:r>
      <w:r w:rsidRPr="00341B41">
        <w:rPr>
          <w:rFonts w:eastAsia="Times New Roman" w:cs="Times New Roman"/>
          <w:i/>
          <w:iCs/>
          <w:noProof/>
        </w:rPr>
        <w:t>Proceedings of the IEEE</w:t>
      </w:r>
      <w:r w:rsidRPr="00341B41">
        <w:rPr>
          <w:rFonts w:eastAsia="Times New Roman" w:cs="Times New Roman"/>
          <w:noProof/>
        </w:rPr>
        <w:t xml:space="preserve">, </w:t>
      </w:r>
      <w:r w:rsidRPr="00341B41">
        <w:rPr>
          <w:rFonts w:eastAsia="Times New Roman" w:cs="Times New Roman"/>
          <w:i/>
          <w:iCs/>
          <w:noProof/>
        </w:rPr>
        <w:t>89</w:t>
      </w:r>
      <w:r w:rsidRPr="00341B41">
        <w:rPr>
          <w:rFonts w:eastAsia="Times New Roman" w:cs="Times New Roman"/>
          <w:noProof/>
        </w:rPr>
        <w:t>(7), 1107–1122.</w:t>
      </w:r>
    </w:p>
    <w:p w14:paraId="14F8299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Jung, T.-P., Makeig, S., Westerfield, M., Townsend, J., Courchesne, E., &amp; Sejnowski, T. J. (2000). Removal of eye activity artifacts from visual event-related potentials in normal and clinical subjects.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111</w:t>
      </w:r>
      <w:r w:rsidRPr="00341B41">
        <w:rPr>
          <w:rFonts w:eastAsia="Times New Roman" w:cs="Times New Roman"/>
          <w:noProof/>
        </w:rPr>
        <w:t>(10), 1745–1758. http://doi.org/10.1016/S1388-2457(00)00386-2</w:t>
      </w:r>
    </w:p>
    <w:p w14:paraId="0F5FFD1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Katis, A., Amiridis, I., Kellis, E., &amp; Lees, A. (2014). Recovery of powerful kick biomechanics after intense running fatigue in male and female soccer players. </w:t>
      </w:r>
      <w:r w:rsidRPr="00341B41">
        <w:rPr>
          <w:rFonts w:eastAsia="Times New Roman" w:cs="Times New Roman"/>
          <w:i/>
          <w:iCs/>
          <w:noProof/>
        </w:rPr>
        <w:t>Asian Journal of Sports Medicine</w:t>
      </w:r>
      <w:r w:rsidRPr="00341B41">
        <w:rPr>
          <w:rFonts w:eastAsia="Times New Roman" w:cs="Times New Roman"/>
          <w:noProof/>
        </w:rPr>
        <w:t xml:space="preserve">, </w:t>
      </w:r>
      <w:r w:rsidRPr="00341B41">
        <w:rPr>
          <w:rFonts w:eastAsia="Times New Roman" w:cs="Times New Roman"/>
          <w:i/>
          <w:iCs/>
          <w:noProof/>
        </w:rPr>
        <w:t>5</w:t>
      </w:r>
      <w:r w:rsidRPr="00341B41">
        <w:rPr>
          <w:rFonts w:eastAsia="Times New Roman" w:cs="Times New Roman"/>
          <w:noProof/>
        </w:rPr>
        <w:t>(4). http://doi.org/10.5812/asjsm.24013</w:t>
      </w:r>
    </w:p>
    <w:p w14:paraId="707D2B8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Kennedy, A. M., Boyle, E. M., Traynor, O., Walsh, T., &amp; Hill, A. D. K. (2011). Video Gaming Enhances Psychomotor Skills But Not Visuospatial and Perceptual Abilities in Surgical Trainees. </w:t>
      </w:r>
      <w:r w:rsidRPr="00341B41">
        <w:rPr>
          <w:rFonts w:eastAsia="Times New Roman" w:cs="Times New Roman"/>
          <w:i/>
          <w:iCs/>
          <w:noProof/>
        </w:rPr>
        <w:t>Journal of Surgical Education</w:t>
      </w:r>
      <w:r w:rsidRPr="00341B41">
        <w:rPr>
          <w:rFonts w:eastAsia="Times New Roman" w:cs="Times New Roman"/>
          <w:noProof/>
        </w:rPr>
        <w:t xml:space="preserve">, </w:t>
      </w:r>
      <w:r w:rsidRPr="00341B41">
        <w:rPr>
          <w:rFonts w:eastAsia="Times New Roman" w:cs="Times New Roman"/>
          <w:i/>
          <w:iCs/>
          <w:noProof/>
        </w:rPr>
        <w:t>68</w:t>
      </w:r>
      <w:r w:rsidRPr="00341B41">
        <w:rPr>
          <w:rFonts w:eastAsia="Times New Roman" w:cs="Times New Roman"/>
          <w:noProof/>
        </w:rPr>
        <w:t>(5), 414–420. http://doi.org/10.1016/j.jsurg.2011.03.009</w:t>
      </w:r>
    </w:p>
    <w:p w14:paraId="0CFBC18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Kilner, J. M. (2011). More than one pathway to action understanding. </w:t>
      </w:r>
      <w:r w:rsidRPr="00341B41">
        <w:rPr>
          <w:rFonts w:eastAsia="Times New Roman" w:cs="Times New Roman"/>
          <w:i/>
          <w:iCs/>
          <w:noProof/>
        </w:rPr>
        <w:t>Trends in Cognitive Sciences</w:t>
      </w:r>
      <w:r w:rsidRPr="00341B41">
        <w:rPr>
          <w:rFonts w:eastAsia="Times New Roman" w:cs="Times New Roman"/>
          <w:noProof/>
        </w:rPr>
        <w:t xml:space="preserve">, </w:t>
      </w:r>
      <w:r w:rsidRPr="00341B41">
        <w:rPr>
          <w:rFonts w:eastAsia="Times New Roman" w:cs="Times New Roman"/>
          <w:i/>
          <w:iCs/>
          <w:noProof/>
        </w:rPr>
        <w:t>15</w:t>
      </w:r>
      <w:r w:rsidRPr="00341B41">
        <w:rPr>
          <w:rFonts w:eastAsia="Times New Roman" w:cs="Times New Roman"/>
          <w:noProof/>
        </w:rPr>
        <w:t>(8), 352–357. http://doi.org/10.1016/j.tics.2011.06.005</w:t>
      </w:r>
    </w:p>
    <w:p w14:paraId="313BDF5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Kilner, J. M., &amp; Lemon, R. N. (2013). What we know currently about mirror neurons.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(23), R1057–R1062. http://doi.org/10.1016/j.cub.2013.10.051</w:t>
      </w:r>
    </w:p>
    <w:p w14:paraId="60F2CB4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King, J.-R., &amp; Dehaene, S. (2014). Characterizing the dynamics of mental representations: the temporal generalization method. </w:t>
      </w:r>
      <w:r w:rsidRPr="00341B41">
        <w:rPr>
          <w:rFonts w:eastAsia="Times New Roman" w:cs="Times New Roman"/>
          <w:i/>
          <w:iCs/>
          <w:noProof/>
        </w:rPr>
        <w:t>Trends in Cognitive Sciences</w:t>
      </w:r>
      <w:r w:rsidRPr="00341B41">
        <w:rPr>
          <w:rFonts w:eastAsia="Times New Roman" w:cs="Times New Roman"/>
          <w:noProof/>
        </w:rPr>
        <w:t xml:space="preserve">, </w:t>
      </w:r>
      <w:r w:rsidRPr="00341B41">
        <w:rPr>
          <w:rFonts w:eastAsia="Times New Roman" w:cs="Times New Roman"/>
          <w:i/>
          <w:iCs/>
          <w:noProof/>
        </w:rPr>
        <w:t>18</w:t>
      </w:r>
      <w:r w:rsidRPr="00341B41">
        <w:rPr>
          <w:rFonts w:eastAsia="Times New Roman" w:cs="Times New Roman"/>
          <w:noProof/>
        </w:rPr>
        <w:t>(4), 203–10. http://doi.org/10.1016/j.tics.2014.01.002</w:t>
      </w:r>
    </w:p>
    <w:p w14:paraId="5D6DBDC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Kleiner, M., Brainard, D., &amp; Pelli, D. (2007). What’s new in Psychtoolbox-3. </w:t>
      </w:r>
      <w:r w:rsidRPr="00341B41">
        <w:rPr>
          <w:rFonts w:eastAsia="Times New Roman" w:cs="Times New Roman"/>
          <w:i/>
          <w:iCs/>
          <w:noProof/>
        </w:rPr>
        <w:t>Perception</w:t>
      </w:r>
      <w:r w:rsidRPr="00341B41">
        <w:rPr>
          <w:rFonts w:eastAsia="Times New Roman" w:cs="Times New Roman"/>
          <w:noProof/>
        </w:rPr>
        <w:t xml:space="preserve">, </w:t>
      </w:r>
      <w:r w:rsidRPr="00341B41">
        <w:rPr>
          <w:rFonts w:eastAsia="Times New Roman" w:cs="Times New Roman"/>
          <w:i/>
          <w:iCs/>
          <w:noProof/>
        </w:rPr>
        <w:t>36</w:t>
      </w:r>
      <w:r w:rsidRPr="00341B41">
        <w:rPr>
          <w:rFonts w:eastAsia="Times New Roman" w:cs="Times New Roman"/>
          <w:noProof/>
        </w:rPr>
        <w:t>, ECVP Abstract Supplement.</w:t>
      </w:r>
    </w:p>
    <w:p w14:paraId="5617859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Klimesch, W. (1999). EEG alpha and theta oscillations reflect cognitive and memory </w:t>
      </w:r>
      <w:r w:rsidRPr="00341B41">
        <w:rPr>
          <w:rFonts w:eastAsia="Times New Roman" w:cs="Times New Roman"/>
          <w:noProof/>
        </w:rPr>
        <w:lastRenderedPageBreak/>
        <w:t xml:space="preserve">performance: a review and analysis. </w:t>
      </w:r>
      <w:r w:rsidRPr="00341B41">
        <w:rPr>
          <w:rFonts w:eastAsia="Times New Roman" w:cs="Times New Roman"/>
          <w:i/>
          <w:iCs/>
          <w:noProof/>
        </w:rPr>
        <w:t>Brain Research Reviews</w:t>
      </w:r>
      <w:r w:rsidRPr="00341B41">
        <w:rPr>
          <w:rFonts w:eastAsia="Times New Roman" w:cs="Times New Roman"/>
          <w:noProof/>
        </w:rPr>
        <w:t xml:space="preserve">, </w:t>
      </w:r>
      <w:r w:rsidRPr="00341B41">
        <w:rPr>
          <w:rFonts w:eastAsia="Times New Roman" w:cs="Times New Roman"/>
          <w:i/>
          <w:iCs/>
          <w:noProof/>
        </w:rPr>
        <w:t>29</w:t>
      </w:r>
      <w:r w:rsidRPr="00341B41">
        <w:rPr>
          <w:rFonts w:eastAsia="Times New Roman" w:cs="Times New Roman"/>
          <w:noProof/>
        </w:rPr>
        <w:t>(2–3), 169–95. Retrieved from http://www.ncbi.nlm.nih.gov/pubmed/10209231</w:t>
      </w:r>
    </w:p>
    <w:p w14:paraId="5F6BDD9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Kok,  a. (1997). Event-related-potential (ERP) reflections of mental resources: a review and synthesis. </w:t>
      </w:r>
      <w:r w:rsidRPr="00341B41">
        <w:rPr>
          <w:rFonts w:eastAsia="Times New Roman" w:cs="Times New Roman"/>
          <w:i/>
          <w:iCs/>
          <w:noProof/>
        </w:rPr>
        <w:t>Biological Psychology</w:t>
      </w:r>
      <w:r w:rsidRPr="00341B41">
        <w:rPr>
          <w:rFonts w:eastAsia="Times New Roman" w:cs="Times New Roman"/>
          <w:noProof/>
        </w:rPr>
        <w:t xml:space="preserve">, </w:t>
      </w:r>
      <w:r w:rsidRPr="00341B41">
        <w:rPr>
          <w:rFonts w:eastAsia="Times New Roman" w:cs="Times New Roman"/>
          <w:i/>
          <w:iCs/>
          <w:noProof/>
        </w:rPr>
        <w:t>45</w:t>
      </w:r>
      <w:r w:rsidRPr="00341B41">
        <w:rPr>
          <w:rFonts w:eastAsia="Times New Roman" w:cs="Times New Roman"/>
          <w:noProof/>
        </w:rPr>
        <w:t>(1–3), 19–56. Retrieved from http://www.ncbi.nlm.nih.gov/pubmed/9083643</w:t>
      </w:r>
    </w:p>
    <w:p w14:paraId="4820185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Kok,  a. (2001). On the utility of P3 amplitude as a measure of processing capacity. </w:t>
      </w:r>
      <w:r w:rsidRPr="00341B41">
        <w:rPr>
          <w:rFonts w:eastAsia="Times New Roman" w:cs="Times New Roman"/>
          <w:i/>
          <w:iCs/>
          <w:noProof/>
        </w:rPr>
        <w:t>Psychophysiology</w:t>
      </w:r>
      <w:r w:rsidRPr="00341B41">
        <w:rPr>
          <w:rFonts w:eastAsia="Times New Roman" w:cs="Times New Roman"/>
          <w:noProof/>
        </w:rPr>
        <w:t xml:space="preserve">, </w:t>
      </w:r>
      <w:r w:rsidRPr="00341B41">
        <w:rPr>
          <w:rFonts w:eastAsia="Times New Roman" w:cs="Times New Roman"/>
          <w:i/>
          <w:iCs/>
          <w:noProof/>
        </w:rPr>
        <w:t>38</w:t>
      </w:r>
      <w:r w:rsidRPr="00341B41">
        <w:rPr>
          <w:rFonts w:eastAsia="Times New Roman" w:cs="Times New Roman"/>
          <w:noProof/>
        </w:rPr>
        <w:t>(3), 557–77. Retrieved from http://www.ncbi.nlm.nih.gov/pubmed/11352145</w:t>
      </w:r>
    </w:p>
    <w:p w14:paraId="12525D1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Kokal, I., &amp; Keysers, C. (2010). Granger causality mapping during joint actions reveals evidence for forward models that could overcome sensory-motor delays.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5</w:t>
      </w:r>
      <w:r w:rsidRPr="00341B41">
        <w:rPr>
          <w:rFonts w:eastAsia="Times New Roman" w:cs="Times New Roman"/>
          <w:noProof/>
        </w:rPr>
        <w:t>(10), 1–10. http://doi.org/10.1371/journal.pone.0013507</w:t>
      </w:r>
    </w:p>
    <w:p w14:paraId="7CCAA1A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Körding, K. P., &amp; Wolpert, D. M. (2004). Bayesian integration in sensorimotor learning. </w:t>
      </w:r>
      <w:r w:rsidRPr="00341B41">
        <w:rPr>
          <w:rFonts w:eastAsia="Times New Roman" w:cs="Times New Roman"/>
          <w:i/>
          <w:iCs/>
          <w:noProof/>
        </w:rPr>
        <w:t>Nature</w:t>
      </w:r>
      <w:r w:rsidRPr="00341B41">
        <w:rPr>
          <w:rFonts w:eastAsia="Times New Roman" w:cs="Times New Roman"/>
          <w:noProof/>
        </w:rPr>
        <w:t xml:space="preserve">, </w:t>
      </w:r>
      <w:r w:rsidRPr="00341B41">
        <w:rPr>
          <w:rFonts w:eastAsia="Times New Roman" w:cs="Times New Roman"/>
          <w:i/>
          <w:iCs/>
          <w:noProof/>
        </w:rPr>
        <w:t>427</w:t>
      </w:r>
      <w:r w:rsidRPr="00341B41">
        <w:rPr>
          <w:rFonts w:eastAsia="Times New Roman" w:cs="Times New Roman"/>
          <w:noProof/>
        </w:rPr>
        <w:t>(6971), 244–247. http://doi.org/10.1038/nature02169</w:t>
      </w:r>
    </w:p>
    <w:p w14:paraId="04A99E5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Lee, T. W., Girolami, M., &amp; Sejnowski, T. J. (1999). Independent component analysis using an extended infomax algorithm for mixed subgaussian and supergaussian sources. </w:t>
      </w:r>
      <w:r w:rsidRPr="00341B41">
        <w:rPr>
          <w:rFonts w:eastAsia="Times New Roman" w:cs="Times New Roman"/>
          <w:i/>
          <w:iCs/>
          <w:noProof/>
        </w:rPr>
        <w:t>Neural Computation</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 417–441. http://doi.org/10.1162/089976699300016719</w:t>
      </w:r>
    </w:p>
    <w:p w14:paraId="7A2CAC3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Lehmann had penalty taker notes. (2006).</w:t>
      </w:r>
    </w:p>
    <w:p w14:paraId="1ED701A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Lepage, J. F., Saint-Amour, D., &amp; Theoret, H. (2008). EEG and neuronavigated single-pulse TMS in the study of the observation/execution matching system: Are both techniques measuring the same process? </w:t>
      </w:r>
      <w:r w:rsidRPr="00341B41">
        <w:rPr>
          <w:rFonts w:eastAsia="Times New Roman" w:cs="Times New Roman"/>
          <w:i/>
          <w:iCs/>
          <w:noProof/>
        </w:rPr>
        <w:t>Journal of Neuroscience Methods</w:t>
      </w:r>
      <w:r w:rsidRPr="00341B41">
        <w:rPr>
          <w:rFonts w:eastAsia="Times New Roman" w:cs="Times New Roman"/>
          <w:noProof/>
        </w:rPr>
        <w:t xml:space="preserve">, </w:t>
      </w:r>
      <w:r w:rsidRPr="00341B41">
        <w:rPr>
          <w:rFonts w:eastAsia="Times New Roman" w:cs="Times New Roman"/>
          <w:i/>
          <w:iCs/>
          <w:noProof/>
        </w:rPr>
        <w:t>175</w:t>
      </w:r>
      <w:r w:rsidRPr="00341B41">
        <w:rPr>
          <w:rFonts w:eastAsia="Times New Roman" w:cs="Times New Roman"/>
          <w:noProof/>
        </w:rPr>
        <w:t xml:space="preserve">(1), </w:t>
      </w:r>
      <w:r w:rsidRPr="00341B41">
        <w:rPr>
          <w:rFonts w:eastAsia="Times New Roman" w:cs="Times New Roman"/>
          <w:noProof/>
        </w:rPr>
        <w:lastRenderedPageBreak/>
        <w:t>17–24. http://doi.org/10.1016/j.jneumeth.2008.07.021</w:t>
      </w:r>
    </w:p>
    <w:p w14:paraId="39668D4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Lieberman, M. D., &amp; Cunningham, W. A. (2009). Type I and Type II error concerns in fMRI research: Re-balancing the scale. </w:t>
      </w:r>
      <w:r w:rsidRPr="00341B41">
        <w:rPr>
          <w:rFonts w:eastAsia="Times New Roman" w:cs="Times New Roman"/>
          <w:i/>
          <w:iCs/>
          <w:noProof/>
        </w:rPr>
        <w:t>Social Cognitive and Affective Neuroscience</w:t>
      </w:r>
      <w:r w:rsidRPr="00341B41">
        <w:rPr>
          <w:rFonts w:eastAsia="Times New Roman" w:cs="Times New Roman"/>
          <w:noProof/>
        </w:rPr>
        <w:t xml:space="preserve">, </w:t>
      </w:r>
      <w:r w:rsidRPr="00341B41">
        <w:rPr>
          <w:rFonts w:eastAsia="Times New Roman" w:cs="Times New Roman"/>
          <w:i/>
          <w:iCs/>
          <w:noProof/>
        </w:rPr>
        <w:t>4</w:t>
      </w:r>
      <w:r w:rsidRPr="00341B41">
        <w:rPr>
          <w:rFonts w:eastAsia="Times New Roman" w:cs="Times New Roman"/>
          <w:noProof/>
        </w:rPr>
        <w:t>(4), 423–428. http://doi.org/10.1093/scan/nsp052</w:t>
      </w:r>
    </w:p>
    <w:p w14:paraId="2E46A61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Loffing, F., Hagemann, N., Schorer, J., &amp; Baker, J. (2015). Skilled players’ and novices’ difficulty anticipating left- vs. right-handed opponents’ action intentions varies across different points in time. </w:t>
      </w:r>
      <w:r w:rsidRPr="00341B41">
        <w:rPr>
          <w:rFonts w:eastAsia="Times New Roman" w:cs="Times New Roman"/>
          <w:i/>
          <w:iCs/>
          <w:noProof/>
        </w:rPr>
        <w:t>Human Movement Science</w:t>
      </w:r>
      <w:r w:rsidRPr="00341B41">
        <w:rPr>
          <w:rFonts w:eastAsia="Times New Roman" w:cs="Times New Roman"/>
          <w:noProof/>
        </w:rPr>
        <w:t xml:space="preserve">, </w:t>
      </w:r>
      <w:r w:rsidRPr="00341B41">
        <w:rPr>
          <w:rFonts w:eastAsia="Times New Roman" w:cs="Times New Roman"/>
          <w:i/>
          <w:iCs/>
          <w:noProof/>
        </w:rPr>
        <w:t>40</w:t>
      </w:r>
      <w:r w:rsidRPr="00341B41">
        <w:rPr>
          <w:rFonts w:eastAsia="Times New Roman" w:cs="Times New Roman"/>
          <w:noProof/>
        </w:rPr>
        <w:t>, 410–421. http://doi.org/10.1016/j.humov.2015.01.018</w:t>
      </w:r>
    </w:p>
    <w:p w14:paraId="675DF31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Loffing, F., Schorer, J., Hagemann, N., &amp; Baker, J. (2012). On the advantage of being left-handed in volleyball: further evidence of the specificity of skilled visual perception. </w:t>
      </w:r>
      <w:r w:rsidRPr="00341B41">
        <w:rPr>
          <w:rFonts w:eastAsia="Times New Roman" w:cs="Times New Roman"/>
          <w:i/>
          <w:iCs/>
          <w:noProof/>
        </w:rPr>
        <w:t>Attention, Perception and Psychophysics</w:t>
      </w:r>
      <w:r w:rsidRPr="00341B41">
        <w:rPr>
          <w:rFonts w:eastAsia="Times New Roman" w:cs="Times New Roman"/>
          <w:noProof/>
        </w:rPr>
        <w:t xml:space="preserve">, </w:t>
      </w:r>
      <w:r w:rsidRPr="00341B41">
        <w:rPr>
          <w:rFonts w:eastAsia="Times New Roman" w:cs="Times New Roman"/>
          <w:i/>
          <w:iCs/>
          <w:noProof/>
        </w:rPr>
        <w:t>74</w:t>
      </w:r>
      <w:r w:rsidRPr="00341B41">
        <w:rPr>
          <w:rFonts w:eastAsia="Times New Roman" w:cs="Times New Roman"/>
          <w:noProof/>
        </w:rPr>
        <w:t>(2), 446–53. http://doi.org/10.3758/s13414-011-0252-1</w:t>
      </w:r>
    </w:p>
    <w:p w14:paraId="1A44223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Luck, S. (2005). </w:t>
      </w:r>
      <w:r w:rsidRPr="00341B41">
        <w:rPr>
          <w:rFonts w:eastAsia="Times New Roman" w:cs="Times New Roman"/>
          <w:i/>
          <w:iCs/>
          <w:noProof/>
        </w:rPr>
        <w:t>An intoduction to the event-related potential technique</w:t>
      </w:r>
      <w:r w:rsidRPr="00341B41">
        <w:rPr>
          <w:rFonts w:eastAsia="Times New Roman" w:cs="Times New Roman"/>
          <w:noProof/>
        </w:rPr>
        <w:t xml:space="preserve"> (1st ed.). Cambridge, MA: MIT Press.</w:t>
      </w:r>
    </w:p>
    <w:p w14:paraId="42E21FF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Lyle, J., &amp; Cook, M. (1984). Non-verbal cues and decision making in games. </w:t>
      </w:r>
      <w:r w:rsidRPr="00341B41">
        <w:rPr>
          <w:rFonts w:eastAsia="Times New Roman" w:cs="Times New Roman"/>
          <w:i/>
          <w:iCs/>
          <w:noProof/>
        </w:rPr>
        <w:t>Momentum</w:t>
      </w:r>
      <w:r w:rsidRPr="00341B41">
        <w:rPr>
          <w:rFonts w:eastAsia="Times New Roman" w:cs="Times New Roman"/>
          <w:noProof/>
        </w:rPr>
        <w:t xml:space="preserve">, </w:t>
      </w:r>
      <w:r w:rsidRPr="00341B41">
        <w:rPr>
          <w:rFonts w:eastAsia="Times New Roman" w:cs="Times New Roman"/>
          <w:i/>
          <w:iCs/>
          <w:noProof/>
        </w:rPr>
        <w:t>9</w:t>
      </w:r>
      <w:r w:rsidRPr="00341B41">
        <w:rPr>
          <w:rFonts w:eastAsia="Times New Roman" w:cs="Times New Roman"/>
          <w:noProof/>
        </w:rPr>
        <w:t>(1), 20–25.</w:t>
      </w:r>
    </w:p>
    <w:p w14:paraId="77F0AA6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Mahjoory, K., Nikulin, V. V, Botrel, L., Linkenkaer-Hansen, K., Fato, M. M., &amp; Haufe, S. (2017). Consistency of EEG source localization and connectivity estimates.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152</w:t>
      </w:r>
      <w:r w:rsidRPr="00341B41">
        <w:rPr>
          <w:rFonts w:eastAsia="Times New Roman" w:cs="Times New Roman"/>
          <w:noProof/>
        </w:rPr>
        <w:t>, 590–601. http://doi.org/10.1101/071597</w:t>
      </w:r>
    </w:p>
    <w:p w14:paraId="66C63EA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(1993). Auditory event-related dynamics of the EEG spectrum and effects of exposure to tones. </w:t>
      </w:r>
      <w:r w:rsidRPr="00341B41">
        <w:rPr>
          <w:rFonts w:eastAsia="Times New Roman" w:cs="Times New Roman"/>
          <w:i/>
          <w:iCs/>
          <w:noProof/>
        </w:rPr>
        <w:t>Electroencephalography and Clinical Neurophysiology</w:t>
      </w:r>
      <w:r w:rsidRPr="00341B41">
        <w:rPr>
          <w:rFonts w:eastAsia="Times New Roman" w:cs="Times New Roman"/>
          <w:noProof/>
        </w:rPr>
        <w:t xml:space="preserve">, </w:t>
      </w:r>
      <w:r w:rsidRPr="00341B41">
        <w:rPr>
          <w:rFonts w:eastAsia="Times New Roman" w:cs="Times New Roman"/>
          <w:i/>
          <w:iCs/>
          <w:noProof/>
        </w:rPr>
        <w:t>86</w:t>
      </w:r>
      <w:r w:rsidRPr="00341B41">
        <w:rPr>
          <w:rFonts w:eastAsia="Times New Roman" w:cs="Times New Roman"/>
          <w:noProof/>
        </w:rPr>
        <w:t xml:space="preserve">(4), </w:t>
      </w:r>
      <w:r w:rsidRPr="00341B41">
        <w:rPr>
          <w:rFonts w:eastAsia="Times New Roman" w:cs="Times New Roman"/>
          <w:noProof/>
        </w:rPr>
        <w:lastRenderedPageBreak/>
        <w:t>283–293. http://doi.org/10.1016/0013-4694(93)90110-H</w:t>
      </w:r>
    </w:p>
    <w:p w14:paraId="5E5E9C0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(2009). Mind monitoring via mobile brain-body imaging. </w:t>
      </w:r>
      <w:r w:rsidRPr="00341B41">
        <w:rPr>
          <w:rFonts w:eastAsia="Times New Roman" w:cs="Times New Roman"/>
          <w:i/>
          <w:iCs/>
          <w:noProof/>
        </w:rPr>
        <w:t>Lecture Notes in Computer Science (Including Subseries Lecture Notes in Artificial Intelligence and Lecture Notes in Bioinformatics)</w:t>
      </w:r>
      <w:r w:rsidRPr="00341B41">
        <w:rPr>
          <w:rFonts w:eastAsia="Times New Roman" w:cs="Times New Roman"/>
          <w:noProof/>
        </w:rPr>
        <w:t xml:space="preserve">, </w:t>
      </w:r>
      <w:r w:rsidRPr="00341B41">
        <w:rPr>
          <w:rFonts w:eastAsia="Times New Roman" w:cs="Times New Roman"/>
          <w:i/>
          <w:iCs/>
          <w:noProof/>
        </w:rPr>
        <w:t>5638 LNAI</w:t>
      </w:r>
      <w:r w:rsidRPr="00341B41">
        <w:rPr>
          <w:rFonts w:eastAsia="Times New Roman" w:cs="Times New Roman"/>
          <w:noProof/>
        </w:rPr>
        <w:t>, 749–758. http://doi.org/10.1007/978-3-642-02812-0_85</w:t>
      </w:r>
    </w:p>
    <w:p w14:paraId="6E93BE8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Bell, A. J., Jung, T.-P., &amp; Sejnowski, T. J. (1996). Independent component analysis of electroencephalographic data. </w:t>
      </w:r>
      <w:r w:rsidRPr="00341B41">
        <w:rPr>
          <w:rFonts w:eastAsia="Times New Roman" w:cs="Times New Roman"/>
          <w:i/>
          <w:iCs/>
          <w:noProof/>
        </w:rPr>
        <w:t>Advances in Neural Information Processing Systems</w:t>
      </w:r>
      <w:r w:rsidRPr="00341B41">
        <w:rPr>
          <w:rFonts w:eastAsia="Times New Roman" w:cs="Times New Roman"/>
          <w:noProof/>
        </w:rPr>
        <w:t>, 145–151.</w:t>
      </w:r>
    </w:p>
    <w:p w14:paraId="350258E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Debener, S., Onton, J., &amp; Delorme, A. (2004). Mining event-related brain dynamics. </w:t>
      </w:r>
      <w:r w:rsidRPr="00341B41">
        <w:rPr>
          <w:rFonts w:eastAsia="Times New Roman" w:cs="Times New Roman"/>
          <w:i/>
          <w:iCs/>
          <w:noProof/>
        </w:rPr>
        <w:t>Trends in Cognitive Sciences</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(5), 204–210. http://doi.org/10.1016/j.tics.2004.03.008</w:t>
      </w:r>
    </w:p>
    <w:p w14:paraId="36187CF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Delorme, A., Westerfield, M., Jung, T.-P., Townsend, J., Courchesne, E., &amp; Sejnowski, T. J. (2004). Electroencephalographic brain dynamics following manually responded visual targets. </w:t>
      </w:r>
      <w:r w:rsidRPr="00341B41">
        <w:rPr>
          <w:rFonts w:eastAsia="Times New Roman" w:cs="Times New Roman"/>
          <w:i/>
          <w:iCs/>
          <w:noProof/>
        </w:rPr>
        <w:t>PloS Biology</w:t>
      </w:r>
      <w:r w:rsidRPr="00341B41">
        <w:rPr>
          <w:rFonts w:eastAsia="Times New Roman" w:cs="Times New Roman"/>
          <w:noProof/>
        </w:rPr>
        <w:t xml:space="preserve">, </w:t>
      </w:r>
      <w:r w:rsidRPr="00341B41">
        <w:rPr>
          <w:rFonts w:eastAsia="Times New Roman" w:cs="Times New Roman"/>
          <w:i/>
          <w:iCs/>
          <w:noProof/>
        </w:rPr>
        <w:t>2</w:t>
      </w:r>
      <w:r w:rsidRPr="00341B41">
        <w:rPr>
          <w:rFonts w:eastAsia="Times New Roman" w:cs="Times New Roman"/>
          <w:noProof/>
        </w:rPr>
        <w:t>(6), 0747–0762.</w:t>
      </w:r>
    </w:p>
    <w:p w14:paraId="647FDA2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Makeig, S., Westerfield, M., Jung, T. P., Enghoff, S., Townsend, J., Courchesne, E., &amp; Sejnowski, T. J. (2002). Dynamic Brain Sources of Visual Evoked Responses. </w:t>
      </w:r>
      <w:r w:rsidRPr="00341B41">
        <w:rPr>
          <w:rFonts w:eastAsia="Times New Roman" w:cs="Times New Roman"/>
          <w:i/>
          <w:iCs/>
          <w:noProof/>
        </w:rPr>
        <w:t>Science</w:t>
      </w:r>
      <w:r w:rsidRPr="00341B41">
        <w:rPr>
          <w:rFonts w:eastAsia="Times New Roman" w:cs="Times New Roman"/>
          <w:noProof/>
        </w:rPr>
        <w:t xml:space="preserve">, </w:t>
      </w:r>
      <w:r w:rsidRPr="00341B41">
        <w:rPr>
          <w:rFonts w:eastAsia="Times New Roman" w:cs="Times New Roman"/>
          <w:i/>
          <w:iCs/>
          <w:noProof/>
        </w:rPr>
        <w:t>295</w:t>
      </w:r>
      <w:r w:rsidRPr="00341B41">
        <w:rPr>
          <w:rFonts w:eastAsia="Times New Roman" w:cs="Times New Roman"/>
          <w:noProof/>
        </w:rPr>
        <w:t>(January), 690–694. http://doi.org/10.1126/science.1066168</w:t>
      </w:r>
    </w:p>
    <w:p w14:paraId="17E1587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Makris, S. (2014). Sport neuroscience revisited (?): A commentary.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(929), 1–2. http://doi.org/10.1068/p5340</w:t>
      </w:r>
    </w:p>
    <w:p w14:paraId="3B0AE96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Makris, S., &amp; Urgesi, C. (2015). Neural underpinnings of superior action prediction abilities in soccer players. </w:t>
      </w:r>
      <w:r w:rsidRPr="00341B41">
        <w:rPr>
          <w:rFonts w:eastAsia="Times New Roman" w:cs="Times New Roman"/>
          <w:i/>
          <w:iCs/>
          <w:noProof/>
        </w:rPr>
        <w:t>Social Cognitive and Affective Neuroscience</w:t>
      </w:r>
      <w:r w:rsidRPr="00341B41">
        <w:rPr>
          <w:rFonts w:eastAsia="Times New Roman" w:cs="Times New Roman"/>
          <w:noProof/>
        </w:rPr>
        <w:t xml:space="preserve">, </w:t>
      </w:r>
      <w:r w:rsidRPr="00341B41">
        <w:rPr>
          <w:rFonts w:eastAsia="Times New Roman" w:cs="Times New Roman"/>
          <w:i/>
          <w:iCs/>
          <w:noProof/>
        </w:rPr>
        <w:t>10</w:t>
      </w:r>
      <w:r w:rsidRPr="00341B41">
        <w:rPr>
          <w:rFonts w:eastAsia="Times New Roman" w:cs="Times New Roman"/>
          <w:noProof/>
        </w:rPr>
        <w:t xml:space="preserve">, 342–351. </w:t>
      </w:r>
      <w:r w:rsidRPr="00341B41">
        <w:rPr>
          <w:rFonts w:eastAsia="Times New Roman" w:cs="Times New Roman"/>
          <w:noProof/>
        </w:rPr>
        <w:lastRenderedPageBreak/>
        <w:t>http://doi.org/10.1093/scan/nsu052</w:t>
      </w:r>
    </w:p>
    <w:p w14:paraId="2CA9D68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Mann, D., Dicks, M., Cañal-Bruland, R., &amp; van der Kamp, J. (2013). Neurophysiological studies may provide a misleading picture of how perceptual-motor interactions are coordinated. </w:t>
      </w:r>
      <w:r w:rsidRPr="00341B41">
        <w:rPr>
          <w:rFonts w:eastAsia="Times New Roman" w:cs="Times New Roman"/>
          <w:i/>
          <w:iCs/>
          <w:noProof/>
        </w:rPr>
        <w:t>I-Perception</w:t>
      </w:r>
      <w:r w:rsidRPr="00341B41">
        <w:rPr>
          <w:rFonts w:eastAsia="Times New Roman" w:cs="Times New Roman"/>
          <w:noProof/>
        </w:rPr>
        <w:t xml:space="preserve">, </w:t>
      </w:r>
      <w:r w:rsidRPr="00341B41">
        <w:rPr>
          <w:rFonts w:eastAsia="Times New Roman" w:cs="Times New Roman"/>
          <w:i/>
          <w:iCs/>
          <w:noProof/>
        </w:rPr>
        <w:t>4</w:t>
      </w:r>
      <w:r w:rsidRPr="00341B41">
        <w:rPr>
          <w:rFonts w:eastAsia="Times New Roman" w:cs="Times New Roman"/>
          <w:noProof/>
        </w:rPr>
        <w:t>(1), 78–80. http://doi.org/10.1068/i0569ic</w:t>
      </w:r>
    </w:p>
    <w:p w14:paraId="0A981AB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Mann, D. L., Schaefers, T., &amp; Cañal-Bruland, R. (2014). Action preferences and the anticipation of action outcomes. </w:t>
      </w:r>
      <w:r w:rsidRPr="00341B41">
        <w:rPr>
          <w:rFonts w:eastAsia="Times New Roman" w:cs="Times New Roman"/>
          <w:i/>
          <w:iCs/>
          <w:noProof/>
        </w:rPr>
        <w:t>Acta Psychologica</w:t>
      </w:r>
      <w:r w:rsidRPr="00341B41">
        <w:rPr>
          <w:rFonts w:eastAsia="Times New Roman" w:cs="Times New Roman"/>
          <w:noProof/>
        </w:rPr>
        <w:t xml:space="preserve">, </w:t>
      </w:r>
      <w:r w:rsidRPr="00341B41">
        <w:rPr>
          <w:rFonts w:eastAsia="Times New Roman" w:cs="Times New Roman"/>
          <w:i/>
          <w:iCs/>
          <w:noProof/>
        </w:rPr>
        <w:t>152</w:t>
      </w:r>
      <w:r w:rsidRPr="00341B41">
        <w:rPr>
          <w:rFonts w:eastAsia="Times New Roman" w:cs="Times New Roman"/>
          <w:noProof/>
        </w:rPr>
        <w:t>, 1–9. http://doi.org/10.1016/j.actpsy.2014.07.004</w:t>
      </w:r>
    </w:p>
    <w:p w14:paraId="08469DC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Mann, D. T. Y., Williams, A. M., Ward, P., &amp; Janelle, C. M. (2007). Perceptual-Cognitive Expertise in Sport: A Meta-Analysis.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29</w:t>
      </w:r>
      <w:r w:rsidRPr="00341B41">
        <w:rPr>
          <w:rFonts w:eastAsia="Times New Roman" w:cs="Times New Roman"/>
          <w:noProof/>
        </w:rPr>
        <w:t>, 457–478.</w:t>
      </w:r>
    </w:p>
    <w:p w14:paraId="181EA77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McFarland, D. J., Miner, L. a, Vaughan, T. M., &amp; Wolpaw, J. R. (2000). Mu and beta rhythm topographies during motor imagery and actual movements. </w:t>
      </w:r>
      <w:r w:rsidRPr="00341B41">
        <w:rPr>
          <w:rFonts w:eastAsia="Times New Roman" w:cs="Times New Roman"/>
          <w:i/>
          <w:iCs/>
          <w:noProof/>
        </w:rPr>
        <w:t>Brain Topography</w:t>
      </w:r>
      <w:r w:rsidRPr="00341B41">
        <w:rPr>
          <w:rFonts w:eastAsia="Times New Roman" w:cs="Times New Roman"/>
          <w:noProof/>
        </w:rPr>
        <w:t xml:space="preserve">, </w:t>
      </w:r>
      <w:r w:rsidRPr="00341B41">
        <w:rPr>
          <w:rFonts w:eastAsia="Times New Roman" w:cs="Times New Roman"/>
          <w:i/>
          <w:iCs/>
          <w:noProof/>
        </w:rPr>
        <w:t>12</w:t>
      </w:r>
      <w:r w:rsidRPr="00341B41">
        <w:rPr>
          <w:rFonts w:eastAsia="Times New Roman" w:cs="Times New Roman"/>
          <w:noProof/>
        </w:rPr>
        <w:t>(3), 177–186. http://doi.org/10.1007/s00221-009-2062-4</w:t>
      </w:r>
    </w:p>
    <w:p w14:paraId="6B0B5C7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McKenna, F. P., Horswill, M. S., &amp; Alexander, J. L. (2006). Does anticipation training affect drivers’ risk taking? </w:t>
      </w:r>
      <w:r w:rsidRPr="00341B41">
        <w:rPr>
          <w:rFonts w:eastAsia="Times New Roman" w:cs="Times New Roman"/>
          <w:i/>
          <w:iCs/>
          <w:noProof/>
        </w:rPr>
        <w:t>Journal of Experimental Psychology: Applied</w:t>
      </w:r>
      <w:r w:rsidRPr="00341B41">
        <w:rPr>
          <w:rFonts w:eastAsia="Times New Roman" w:cs="Times New Roman"/>
          <w:noProof/>
        </w:rPr>
        <w:t xml:space="preserve">, </w:t>
      </w:r>
      <w:r w:rsidRPr="00341B41">
        <w:rPr>
          <w:rFonts w:eastAsia="Times New Roman" w:cs="Times New Roman"/>
          <w:i/>
          <w:iCs/>
          <w:noProof/>
        </w:rPr>
        <w:t>12</w:t>
      </w:r>
      <w:r w:rsidRPr="00341B41">
        <w:rPr>
          <w:rFonts w:eastAsia="Times New Roman" w:cs="Times New Roman"/>
          <w:noProof/>
        </w:rPr>
        <w:t>(1), 1–10. http://doi.org/10.1037/1076-898X.12.1.1</w:t>
      </w:r>
    </w:p>
    <w:p w14:paraId="2DE7321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McPherson, S., &amp; MacMahon, C. (2008). How baseball players prepare to bat: tactical knowledge as a mediator of expert performance in baseball.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(6), 755–778.</w:t>
      </w:r>
    </w:p>
    <w:p w14:paraId="1978CBA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McRobert, A. P., Ward, P., Eccles, D. W., &amp; Williams, A. M. (2011). The effect of manipulating context-specific information on perceptual-cognitive processes during a </w:t>
      </w:r>
      <w:r w:rsidRPr="00341B41">
        <w:rPr>
          <w:rFonts w:eastAsia="Times New Roman" w:cs="Times New Roman"/>
          <w:noProof/>
        </w:rPr>
        <w:lastRenderedPageBreak/>
        <w:t xml:space="preserve">simulated anticipation task. </w:t>
      </w:r>
      <w:r w:rsidRPr="00341B41">
        <w:rPr>
          <w:rFonts w:eastAsia="Times New Roman" w:cs="Times New Roman"/>
          <w:i/>
          <w:iCs/>
          <w:noProof/>
        </w:rPr>
        <w:t>British Journal of Psychology</w:t>
      </w:r>
      <w:r w:rsidRPr="00341B41">
        <w:rPr>
          <w:rFonts w:eastAsia="Times New Roman" w:cs="Times New Roman"/>
          <w:noProof/>
        </w:rPr>
        <w:t xml:space="preserve">, </w:t>
      </w:r>
      <w:r w:rsidRPr="00341B41">
        <w:rPr>
          <w:rFonts w:eastAsia="Times New Roman" w:cs="Times New Roman"/>
          <w:i/>
          <w:iCs/>
          <w:noProof/>
        </w:rPr>
        <w:t>102</w:t>
      </w:r>
      <w:r w:rsidRPr="00341B41">
        <w:rPr>
          <w:rFonts w:eastAsia="Times New Roman" w:cs="Times New Roman"/>
          <w:noProof/>
        </w:rPr>
        <w:t>(3), 519–34. http://doi.org/10.1111/j.2044-8295.2010.02013.x</w:t>
      </w:r>
    </w:p>
    <w:p w14:paraId="4A29D42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Meirovitch, Y., Harris, H., Dayan, E., Arieli, A., &amp; Flash, T. (2015). Alpha and Beta Band Event-Related Desynchronization Reflects Kinematic Regularities.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35</w:t>
      </w:r>
      <w:r w:rsidRPr="00341B41">
        <w:rPr>
          <w:rFonts w:eastAsia="Times New Roman" w:cs="Times New Roman"/>
          <w:noProof/>
        </w:rPr>
        <w:t>(4), 1627–1637. http://doi.org/10.1523/JNEUROSCI.5371-13.2015</w:t>
      </w:r>
    </w:p>
    <w:p w14:paraId="41BDD4F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Miller, K. J., Leuthardt, E. C., Schalk, G., Rao, R. P. N., Anderson, N. R., Moran, D. W., … Ojemann, J. G. (2007). Spectral changes in cortical surface potentials during motor movement.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27</w:t>
      </w:r>
      <w:r w:rsidRPr="00341B41">
        <w:rPr>
          <w:rFonts w:eastAsia="Times New Roman" w:cs="Times New Roman"/>
          <w:noProof/>
        </w:rPr>
        <w:t>(9), 2424–32. http://doi.org/10.1523/JNEUROSCI.3886-06.2007</w:t>
      </w:r>
    </w:p>
    <w:p w14:paraId="2AA08D1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Molenberghs, P., Cunnington, R., &amp; Mattingley, J. B. (2012). Brain regions with mirror properties: a meta-analysis of 125 human fMRI studies. </w:t>
      </w:r>
      <w:r w:rsidRPr="00341B41">
        <w:rPr>
          <w:rFonts w:eastAsia="Times New Roman" w:cs="Times New Roman"/>
          <w:i/>
          <w:iCs/>
          <w:noProof/>
        </w:rPr>
        <w:t>Neuroscience and Biobehavioural Reviews</w:t>
      </w:r>
      <w:r w:rsidRPr="00341B41">
        <w:rPr>
          <w:rFonts w:eastAsia="Times New Roman" w:cs="Times New Roman"/>
          <w:noProof/>
        </w:rPr>
        <w:t xml:space="preserve">, </w:t>
      </w:r>
      <w:r w:rsidRPr="00341B41">
        <w:rPr>
          <w:rFonts w:eastAsia="Times New Roman" w:cs="Times New Roman"/>
          <w:i/>
          <w:iCs/>
          <w:noProof/>
        </w:rPr>
        <w:t>36</w:t>
      </w:r>
      <w:r w:rsidRPr="00341B41">
        <w:rPr>
          <w:rFonts w:eastAsia="Times New Roman" w:cs="Times New Roman"/>
          <w:noProof/>
        </w:rPr>
        <w:t>(1), 341–9. http://doi.org/10.1016/j.neubiorev.2011.07.004</w:t>
      </w:r>
    </w:p>
    <w:p w14:paraId="6C5127A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Moore, C. G., &amp; Müller, S. (2014). Transfer of expert visual anticipation to a similar domain. </w:t>
      </w:r>
      <w:r w:rsidRPr="00341B41">
        <w:rPr>
          <w:rFonts w:eastAsia="Times New Roman" w:cs="Times New Roman"/>
          <w:i/>
          <w:iCs/>
          <w:noProof/>
        </w:rPr>
        <w:t>Quarterly Journal of Experimental Psychology</w:t>
      </w:r>
      <w:r w:rsidRPr="00341B41">
        <w:rPr>
          <w:rFonts w:eastAsia="Times New Roman" w:cs="Times New Roman"/>
          <w:noProof/>
        </w:rPr>
        <w:t xml:space="preserve">, </w:t>
      </w:r>
      <w:r w:rsidRPr="00341B41">
        <w:rPr>
          <w:rFonts w:eastAsia="Times New Roman" w:cs="Times New Roman"/>
          <w:i/>
          <w:iCs/>
          <w:noProof/>
        </w:rPr>
        <w:t>67</w:t>
      </w:r>
      <w:r w:rsidRPr="00341B41">
        <w:rPr>
          <w:rFonts w:eastAsia="Times New Roman" w:cs="Times New Roman"/>
          <w:noProof/>
        </w:rPr>
        <w:t>(1), 186–96. http://doi.org/10.1080/17470218.2013.798003</w:t>
      </w:r>
    </w:p>
    <w:p w14:paraId="006C423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Moore, R. D., Romine, M. W., O’connor, P. J., &amp; Tomporowski, P. D. (2012). The influence of exercise-induced fatigue on cognitive function.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(9), 841–850. http://doi.org/10.1080/02640414.2012.675083</w:t>
      </w:r>
    </w:p>
    <w:p w14:paraId="5435D3B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Morin, O., &amp; Grezes, J. (2008). What is “mirror” in the premotor cortex? A review. </w:t>
      </w:r>
      <w:r w:rsidRPr="00341B41">
        <w:rPr>
          <w:rFonts w:eastAsia="Times New Roman" w:cs="Times New Roman"/>
          <w:i/>
          <w:iCs/>
          <w:noProof/>
        </w:rPr>
        <w:t>Neurophysiologie Clinique</w:t>
      </w:r>
      <w:r w:rsidRPr="00341B41">
        <w:rPr>
          <w:rFonts w:eastAsia="Times New Roman" w:cs="Times New Roman"/>
          <w:noProof/>
        </w:rPr>
        <w:t xml:space="preserve">, </w:t>
      </w:r>
      <w:r w:rsidRPr="00341B41">
        <w:rPr>
          <w:rFonts w:eastAsia="Times New Roman" w:cs="Times New Roman"/>
          <w:i/>
          <w:iCs/>
          <w:noProof/>
        </w:rPr>
        <w:t>38</w:t>
      </w:r>
      <w:r w:rsidRPr="00341B41">
        <w:rPr>
          <w:rFonts w:eastAsia="Times New Roman" w:cs="Times New Roman"/>
          <w:noProof/>
        </w:rPr>
        <w:t>, 189–195.</w:t>
      </w:r>
    </w:p>
    <w:p w14:paraId="3008A84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Mukamel, R., Ekstrom, A. D., Kaplan, J., Iacoboni, M., &amp; Fried, I. (2010). Single-Neuron </w:t>
      </w:r>
      <w:r w:rsidRPr="00341B41">
        <w:rPr>
          <w:rFonts w:eastAsia="Times New Roman" w:cs="Times New Roman"/>
          <w:noProof/>
        </w:rPr>
        <w:lastRenderedPageBreak/>
        <w:t xml:space="preserve">Responses in Humans during Execution and Observation of Actions.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(8), 750–756. http://doi.org/10.1016/j.cub.2010.02.045</w:t>
      </w:r>
    </w:p>
    <w:p w14:paraId="572C1D4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Müller, S., &amp; Abernethy, B. (2012). Expert anticipatory skill in striking sports: a review and a model. </w:t>
      </w:r>
      <w:r w:rsidRPr="00341B41">
        <w:rPr>
          <w:rFonts w:eastAsia="Times New Roman" w:cs="Times New Roman"/>
          <w:i/>
          <w:iCs/>
          <w:noProof/>
        </w:rPr>
        <w:t>Research Quarterly for Exercise and Sport</w:t>
      </w:r>
      <w:r w:rsidRPr="00341B41">
        <w:rPr>
          <w:rFonts w:eastAsia="Times New Roman" w:cs="Times New Roman"/>
          <w:noProof/>
        </w:rPr>
        <w:t xml:space="preserve">, </w:t>
      </w:r>
      <w:r w:rsidRPr="00341B41">
        <w:rPr>
          <w:rFonts w:eastAsia="Times New Roman" w:cs="Times New Roman"/>
          <w:i/>
          <w:iCs/>
          <w:noProof/>
        </w:rPr>
        <w:t>83</w:t>
      </w:r>
      <w:r w:rsidRPr="00341B41">
        <w:rPr>
          <w:rFonts w:eastAsia="Times New Roman" w:cs="Times New Roman"/>
          <w:noProof/>
        </w:rPr>
        <w:t>(2), 175–87.</w:t>
      </w:r>
    </w:p>
    <w:p w14:paraId="526B3DA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Müller, S., Abernethy, B., &amp; Farrow, D. (2006). How do world-class cricket batsmen anticipate a bowler’s intention? </w:t>
      </w:r>
      <w:r w:rsidRPr="00341B41">
        <w:rPr>
          <w:rFonts w:eastAsia="Times New Roman" w:cs="Times New Roman"/>
          <w:i/>
          <w:iCs/>
          <w:noProof/>
        </w:rPr>
        <w:t>Quarterly Journal of Experimental Psychology</w:t>
      </w:r>
      <w:r w:rsidRPr="00341B41">
        <w:rPr>
          <w:rFonts w:eastAsia="Times New Roman" w:cs="Times New Roman"/>
          <w:noProof/>
        </w:rPr>
        <w:t xml:space="preserve">, </w:t>
      </w:r>
      <w:r w:rsidRPr="00341B41">
        <w:rPr>
          <w:rFonts w:eastAsia="Times New Roman" w:cs="Times New Roman"/>
          <w:i/>
          <w:iCs/>
          <w:noProof/>
        </w:rPr>
        <w:t>59</w:t>
      </w:r>
      <w:r w:rsidRPr="00341B41">
        <w:rPr>
          <w:rFonts w:eastAsia="Times New Roman" w:cs="Times New Roman"/>
          <w:noProof/>
        </w:rPr>
        <w:t>(12), 2162–86. http://doi.org/10.1080/02643290600576595</w:t>
      </w:r>
    </w:p>
    <w:p w14:paraId="7729E15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Neal, A., &amp; Kilner, J. M. (2010). What is simulated in the action observation network when we observe actions? </w:t>
      </w:r>
      <w:r w:rsidRPr="00341B41">
        <w:rPr>
          <w:rFonts w:eastAsia="Times New Roman" w:cs="Times New Roman"/>
          <w:i/>
          <w:iCs/>
          <w:noProof/>
        </w:rPr>
        <w:t>European Journal of Neuroscience</w:t>
      </w:r>
      <w:r w:rsidRPr="00341B41">
        <w:rPr>
          <w:rFonts w:eastAsia="Times New Roman" w:cs="Times New Roman"/>
          <w:noProof/>
        </w:rPr>
        <w:t xml:space="preserve">, </w:t>
      </w:r>
      <w:r w:rsidRPr="00341B41">
        <w:rPr>
          <w:rFonts w:eastAsia="Times New Roman" w:cs="Times New Roman"/>
          <w:i/>
          <w:iCs/>
          <w:noProof/>
        </w:rPr>
        <w:t>32</w:t>
      </w:r>
      <w:r w:rsidRPr="00341B41">
        <w:rPr>
          <w:rFonts w:eastAsia="Times New Roman" w:cs="Times New Roman"/>
          <w:noProof/>
        </w:rPr>
        <w:t>(10), 1765–1770. http://doi.org/10.1111/j.1460-9568.2010.07435.x</w:t>
      </w:r>
    </w:p>
    <w:p w14:paraId="1CB7FD5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Neuper, C., &amp; Klimesch, W. (2006). </w:t>
      </w:r>
      <w:r w:rsidRPr="00341B41">
        <w:rPr>
          <w:rFonts w:eastAsia="Times New Roman" w:cs="Times New Roman"/>
          <w:i/>
          <w:iCs/>
          <w:noProof/>
        </w:rPr>
        <w:t>Event-related Dynamics of Brain Oscillations</w:t>
      </w:r>
      <w:r w:rsidRPr="00341B41">
        <w:rPr>
          <w:rFonts w:eastAsia="Times New Roman" w:cs="Times New Roman"/>
          <w:noProof/>
        </w:rPr>
        <w:t>. The Netherlands: Elsevier.</w:t>
      </w:r>
    </w:p>
    <w:p w14:paraId="597DAD0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Nieuwenhuys, A., &amp; Oudejans, R. R. D. (2012). Anxiety and perceptual-motor performance: toward an integrated model of concepts, mechanisms, and processes. </w:t>
      </w:r>
      <w:r w:rsidRPr="00341B41">
        <w:rPr>
          <w:rFonts w:eastAsia="Times New Roman" w:cs="Times New Roman"/>
          <w:i/>
          <w:iCs/>
          <w:noProof/>
        </w:rPr>
        <w:t>Psychological Research</w:t>
      </w:r>
      <w:r w:rsidRPr="00341B41">
        <w:rPr>
          <w:rFonts w:eastAsia="Times New Roman" w:cs="Times New Roman"/>
          <w:noProof/>
        </w:rPr>
        <w:t xml:space="preserve">, </w:t>
      </w:r>
      <w:r w:rsidRPr="00341B41">
        <w:rPr>
          <w:rFonts w:eastAsia="Times New Roman" w:cs="Times New Roman"/>
          <w:i/>
          <w:iCs/>
          <w:noProof/>
        </w:rPr>
        <w:t>76</w:t>
      </w:r>
      <w:r w:rsidRPr="00341B41">
        <w:rPr>
          <w:rFonts w:eastAsia="Times New Roman" w:cs="Times New Roman"/>
          <w:noProof/>
        </w:rPr>
        <w:t>(6), 747–759. http://doi.org/10.1007/s00426-011-0384-x</w:t>
      </w:r>
    </w:p>
    <w:p w14:paraId="4563732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North, J. S., Hope, E., &amp; Williams, A. M. (2016). The relative importance of different perceptual-cognitive skills during anticipation. </w:t>
      </w:r>
      <w:r w:rsidRPr="00341B41">
        <w:rPr>
          <w:rFonts w:eastAsia="Times New Roman" w:cs="Times New Roman"/>
          <w:i/>
          <w:iCs/>
          <w:noProof/>
        </w:rPr>
        <w:t>Human Movement Science</w:t>
      </w:r>
      <w:r w:rsidRPr="00341B41">
        <w:rPr>
          <w:rFonts w:eastAsia="Times New Roman" w:cs="Times New Roman"/>
          <w:noProof/>
        </w:rPr>
        <w:t xml:space="preserve">, </w:t>
      </w:r>
      <w:r w:rsidRPr="00341B41">
        <w:rPr>
          <w:rFonts w:eastAsia="Times New Roman" w:cs="Times New Roman"/>
          <w:i/>
          <w:iCs/>
          <w:noProof/>
        </w:rPr>
        <w:t>49</w:t>
      </w:r>
      <w:r w:rsidRPr="00341B41">
        <w:rPr>
          <w:rFonts w:eastAsia="Times New Roman" w:cs="Times New Roman"/>
          <w:noProof/>
        </w:rPr>
        <w:t>, 170–177.</w:t>
      </w:r>
    </w:p>
    <w:p w14:paraId="134687C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North, J., Williams, A. M., Hodges, N. J., Ward, P., &amp; Ericsson, K. A. (2009). Perceiving Patterns in Dynamic Action Sequences: Investigating the Processes Underpinning Stimulus Recognition and Anticipation Skill. </w:t>
      </w:r>
      <w:r w:rsidRPr="00341B41">
        <w:rPr>
          <w:rFonts w:eastAsia="Times New Roman" w:cs="Times New Roman"/>
          <w:i/>
          <w:iCs/>
          <w:noProof/>
        </w:rPr>
        <w:t>Applied Cognitive Psychology</w:t>
      </w:r>
      <w:r w:rsidRPr="00341B41">
        <w:rPr>
          <w:rFonts w:eastAsia="Times New Roman" w:cs="Times New Roman"/>
          <w:noProof/>
        </w:rPr>
        <w:t xml:space="preserve">, </w:t>
      </w:r>
      <w:r w:rsidRPr="00341B41">
        <w:rPr>
          <w:rFonts w:eastAsia="Times New Roman" w:cs="Times New Roman"/>
          <w:i/>
          <w:iCs/>
          <w:noProof/>
        </w:rPr>
        <w:lastRenderedPageBreak/>
        <w:t>894</w:t>
      </w:r>
      <w:r w:rsidRPr="00341B41">
        <w:rPr>
          <w:rFonts w:eastAsia="Times New Roman" w:cs="Times New Roman"/>
          <w:noProof/>
        </w:rPr>
        <w:t>(May), 878–894. http://doi.org/10.1002/acp</w:t>
      </w:r>
    </w:p>
    <w:p w14:paraId="13D4800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Nougier, V., Stein, J. F., &amp; Bonnel, A. . (1991). Information processing in sport and orienting of attention. </w:t>
      </w:r>
      <w:r w:rsidRPr="00341B41">
        <w:rPr>
          <w:rFonts w:eastAsia="Times New Roman" w:cs="Times New Roman"/>
          <w:i/>
          <w:iCs/>
          <w:noProof/>
        </w:rPr>
        <w:t>International Journal of Sport Psychology</w:t>
      </w:r>
      <w:r w:rsidRPr="00341B41">
        <w:rPr>
          <w:rFonts w:eastAsia="Times New Roman" w:cs="Times New Roman"/>
          <w:noProof/>
        </w:rPr>
        <w:t xml:space="preserve">, </w:t>
      </w:r>
      <w:r w:rsidRPr="00341B41">
        <w:rPr>
          <w:rFonts w:eastAsia="Times New Roman" w:cs="Times New Roman"/>
          <w:i/>
          <w:iCs/>
          <w:noProof/>
        </w:rPr>
        <w:t>22</w:t>
      </w:r>
      <w:r w:rsidRPr="00341B41">
        <w:rPr>
          <w:rFonts w:eastAsia="Times New Roman" w:cs="Times New Roman"/>
          <w:noProof/>
        </w:rPr>
        <w:t>, 307–327.</w:t>
      </w:r>
    </w:p>
    <w:p w14:paraId="5A3FEA4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Nunez, P., &amp; Srinivasen, R. (2005). </w:t>
      </w:r>
      <w:r w:rsidRPr="00341B41">
        <w:rPr>
          <w:rFonts w:eastAsia="Times New Roman" w:cs="Times New Roman"/>
          <w:i/>
          <w:iCs/>
          <w:noProof/>
        </w:rPr>
        <w:t>Electric Fields of the Brain: The Neurophysics of EEG</w:t>
      </w:r>
      <w:r w:rsidRPr="00341B41">
        <w:rPr>
          <w:rFonts w:eastAsia="Times New Roman" w:cs="Times New Roman"/>
          <w:noProof/>
        </w:rPr>
        <w:t>. New York, NY: Oxford University Press.</w:t>
      </w:r>
    </w:p>
    <w:p w14:paraId="610C656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Oberman, L. M., Hubbard, E. M., McCleery, J. P., Altschuler, E. L., Ramachandran, V. S., &amp; Pineda, J. A. (2005). EEG evidence for mirror neuron dysfunction in autism spectrum disorders. </w:t>
      </w:r>
      <w:r w:rsidRPr="00341B41">
        <w:rPr>
          <w:rFonts w:eastAsia="Times New Roman" w:cs="Times New Roman"/>
          <w:i/>
          <w:iCs/>
          <w:noProof/>
        </w:rPr>
        <w:t>Cognitive Brain Research</w:t>
      </w:r>
      <w:r w:rsidRPr="00341B41">
        <w:rPr>
          <w:rFonts w:eastAsia="Times New Roman" w:cs="Times New Roman"/>
          <w:noProof/>
        </w:rPr>
        <w:t xml:space="preserve">, </w:t>
      </w:r>
      <w:r w:rsidRPr="00341B41">
        <w:rPr>
          <w:rFonts w:eastAsia="Times New Roman" w:cs="Times New Roman"/>
          <w:i/>
          <w:iCs/>
          <w:noProof/>
        </w:rPr>
        <w:t>24</w:t>
      </w:r>
      <w:r w:rsidRPr="00341B41">
        <w:rPr>
          <w:rFonts w:eastAsia="Times New Roman" w:cs="Times New Roman"/>
          <w:noProof/>
        </w:rPr>
        <w:t>(2), 190–198. http://doi.org/10.1016/j.cogbrainres.2005.01.014</w:t>
      </w:r>
    </w:p>
    <w:p w14:paraId="339C4EE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Oberman, L. M., Ramachandran, V. S., &amp; Pineda, J. A. (2008). Modulation of mu suppression in children with autism spectrum disorders in response to familiar or unfamiliar stimuli: The mirror neuron hypothesis. </w:t>
      </w:r>
      <w:r w:rsidRPr="00341B41">
        <w:rPr>
          <w:rFonts w:eastAsia="Times New Roman" w:cs="Times New Roman"/>
          <w:i/>
          <w:iCs/>
          <w:noProof/>
        </w:rPr>
        <w:t>Neuropsychologia</w:t>
      </w:r>
      <w:r w:rsidRPr="00341B41">
        <w:rPr>
          <w:rFonts w:eastAsia="Times New Roman" w:cs="Times New Roman"/>
          <w:noProof/>
        </w:rPr>
        <w:t xml:space="preserve">, </w:t>
      </w:r>
      <w:r w:rsidRPr="00341B41">
        <w:rPr>
          <w:rFonts w:eastAsia="Times New Roman" w:cs="Times New Roman"/>
          <w:i/>
          <w:iCs/>
          <w:noProof/>
        </w:rPr>
        <w:t>46</w:t>
      </w:r>
      <w:r w:rsidRPr="00341B41">
        <w:rPr>
          <w:rFonts w:eastAsia="Times New Roman" w:cs="Times New Roman"/>
          <w:noProof/>
        </w:rPr>
        <w:t>(5), 1558–1565. http://doi.org/10.1016/j.neuropsychologia.2008.01.010</w:t>
      </w:r>
    </w:p>
    <w:p w14:paraId="0E8AFBB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Olsson, C., &amp; Lundström, P. (2013). Using action observation to study superior motor performance: a pilot fMRI study.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(819). http://doi.org/10.3389/fnhum.2013.00819</w:t>
      </w:r>
    </w:p>
    <w:p w14:paraId="04E827A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Onton, J., Delorme, A., &amp; Makeig, S. (2005). Frontal midline EEG dynamics during working memory.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27</w:t>
      </w:r>
      <w:r w:rsidRPr="00341B41">
        <w:rPr>
          <w:rFonts w:eastAsia="Times New Roman" w:cs="Times New Roman"/>
          <w:noProof/>
        </w:rPr>
        <w:t>(2), 341–356. http://doi.org/10.1016/j.neuroimage.2005.04.014</w:t>
      </w:r>
    </w:p>
    <w:p w14:paraId="5945E8A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Onton, J., &amp; Makeig, S. (2006). Information-based modeling of event-related brain dynamics. </w:t>
      </w:r>
      <w:r w:rsidRPr="00341B41">
        <w:rPr>
          <w:rFonts w:eastAsia="Times New Roman" w:cs="Times New Roman"/>
          <w:i/>
          <w:iCs/>
          <w:noProof/>
        </w:rPr>
        <w:t>Progress in Brain Research</w:t>
      </w:r>
      <w:r w:rsidRPr="00341B41">
        <w:rPr>
          <w:rFonts w:eastAsia="Times New Roman" w:cs="Times New Roman"/>
          <w:noProof/>
        </w:rPr>
        <w:t xml:space="preserve">, </w:t>
      </w:r>
      <w:r w:rsidRPr="00341B41">
        <w:rPr>
          <w:rFonts w:eastAsia="Times New Roman" w:cs="Times New Roman"/>
          <w:i/>
          <w:iCs/>
          <w:noProof/>
        </w:rPr>
        <w:t>159</w:t>
      </w:r>
      <w:r w:rsidRPr="00341B41">
        <w:rPr>
          <w:rFonts w:eastAsia="Times New Roman" w:cs="Times New Roman"/>
          <w:noProof/>
        </w:rPr>
        <w:t>, 99–120. http://doi.org/10.1016/S0079-</w:t>
      </w:r>
      <w:r w:rsidRPr="00341B41">
        <w:rPr>
          <w:rFonts w:eastAsia="Times New Roman" w:cs="Times New Roman"/>
          <w:noProof/>
        </w:rPr>
        <w:lastRenderedPageBreak/>
        <w:t>6123(06)59007-7</w:t>
      </w:r>
    </w:p>
    <w:p w14:paraId="69FBA80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Onton, J., Westerfield, M., Townsend, J., &amp; Makeig, S. (2006). Imaging human EEG dynamics using independent component analysis. </w:t>
      </w:r>
      <w:r w:rsidRPr="00341B41">
        <w:rPr>
          <w:rFonts w:eastAsia="Times New Roman" w:cs="Times New Roman"/>
          <w:i/>
          <w:iCs/>
          <w:noProof/>
        </w:rPr>
        <w:t>Neuroscience and Biobehavioral Reviews</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(6), 808–822. http://doi.org/10.1016/j.neubiorev.2006.06.007</w:t>
      </w:r>
    </w:p>
    <w:p w14:paraId="766A38C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Orgs, G., Dombrowski, J. H., Heil, M., &amp; Jansen-Osmann, P. (2008). Expertise in dance modulates alpha/beta event-related desynchronization during action observation. </w:t>
      </w:r>
      <w:r w:rsidRPr="00341B41">
        <w:rPr>
          <w:rFonts w:eastAsia="Times New Roman" w:cs="Times New Roman"/>
          <w:i/>
          <w:iCs/>
          <w:noProof/>
        </w:rPr>
        <w:t>European Journal of Neuroscience</w:t>
      </w:r>
      <w:r w:rsidRPr="00341B41">
        <w:rPr>
          <w:rFonts w:eastAsia="Times New Roman" w:cs="Times New Roman"/>
          <w:noProof/>
        </w:rPr>
        <w:t xml:space="preserve">, </w:t>
      </w:r>
      <w:r w:rsidRPr="00341B41">
        <w:rPr>
          <w:rFonts w:eastAsia="Times New Roman" w:cs="Times New Roman"/>
          <w:i/>
          <w:iCs/>
          <w:noProof/>
        </w:rPr>
        <w:t>27</w:t>
      </w:r>
      <w:r w:rsidRPr="00341B41">
        <w:rPr>
          <w:rFonts w:eastAsia="Times New Roman" w:cs="Times New Roman"/>
          <w:noProof/>
        </w:rPr>
        <w:t>(12), 3380–3384. http://doi.org/10.1111/j.1460-9568.2008.06271.x</w:t>
      </w:r>
    </w:p>
    <w:p w14:paraId="641156D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Palmer, C., Zapparoli, L., &amp; Kilner, J. M. (2016). A New Framework to Explain Sensorimotor Beta Oscillations. </w:t>
      </w:r>
      <w:r w:rsidRPr="00341B41">
        <w:rPr>
          <w:rFonts w:eastAsia="Times New Roman" w:cs="Times New Roman"/>
          <w:i/>
          <w:iCs/>
          <w:noProof/>
        </w:rPr>
        <w:t>Trends in Cognitive Sciences</w:t>
      </w:r>
      <w:r w:rsidRPr="00341B41">
        <w:rPr>
          <w:rFonts w:eastAsia="Times New Roman" w:cs="Times New Roman"/>
          <w:noProof/>
        </w:rPr>
        <w:t xml:space="preserve">, </w:t>
      </w:r>
      <w:r w:rsidRPr="00341B41">
        <w:rPr>
          <w:rFonts w:eastAsia="Times New Roman" w:cs="Times New Roman"/>
          <w:i/>
          <w:iCs/>
          <w:noProof/>
        </w:rPr>
        <w:t>xx</w:t>
      </w:r>
      <w:r w:rsidRPr="00341B41">
        <w:rPr>
          <w:rFonts w:eastAsia="Times New Roman" w:cs="Times New Roman"/>
          <w:noProof/>
        </w:rPr>
        <w:t>, 2–3. http://doi.org/10.1016/j.tics.2016.03.007</w:t>
      </w:r>
    </w:p>
    <w:p w14:paraId="083DCF5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Park, I. S., Lee, K. J., Han, J. W., Lee, N. J., Lee, W. T., Park, K. A., &amp; Rhyu, I. J. (2009). Experience-dependent plasticity of cerebellar vermis in basketball players. </w:t>
      </w:r>
      <w:r w:rsidRPr="00341B41">
        <w:rPr>
          <w:rFonts w:eastAsia="Times New Roman" w:cs="Times New Roman"/>
          <w:i/>
          <w:iCs/>
          <w:noProof/>
        </w:rPr>
        <w:t>Cerebellum</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(3), 334–339. http://doi.org/10.1007/s12311-009-0100-1</w:t>
      </w:r>
    </w:p>
    <w:p w14:paraId="46476CB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Park, I. S., Lee, N. J., Kim, T. Y., Park, J. H., Won, Y. M., Jung, Y. J., … Rhyu, I. J. (2012). Volumetric analysis of cerebellum in short-track speed skating players. </w:t>
      </w:r>
      <w:r w:rsidRPr="00341B41">
        <w:rPr>
          <w:rFonts w:eastAsia="Times New Roman" w:cs="Times New Roman"/>
          <w:i/>
          <w:iCs/>
          <w:noProof/>
        </w:rPr>
        <w:t>Cerebellum</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(4), 925–930. http://doi.org/10.1007/s12311-012-0366-6</w:t>
      </w:r>
    </w:p>
    <w:p w14:paraId="3D232A0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Park, J. L., Fairweather, M. M., &amp; Donaldson, D. I. (2015). Making the case for mobile cognition: EEG and sports performance. </w:t>
      </w:r>
      <w:r w:rsidRPr="00341B41">
        <w:rPr>
          <w:rFonts w:eastAsia="Times New Roman" w:cs="Times New Roman"/>
          <w:i/>
          <w:iCs/>
          <w:noProof/>
        </w:rPr>
        <w:t>Neuroscience and Biobehavioural Reviews</w:t>
      </w:r>
      <w:r w:rsidRPr="00341B41">
        <w:rPr>
          <w:rFonts w:eastAsia="Times New Roman" w:cs="Times New Roman"/>
          <w:noProof/>
        </w:rPr>
        <w:t xml:space="preserve">, </w:t>
      </w:r>
      <w:r w:rsidRPr="00341B41">
        <w:rPr>
          <w:rFonts w:eastAsia="Times New Roman" w:cs="Times New Roman"/>
          <w:i/>
          <w:iCs/>
          <w:noProof/>
        </w:rPr>
        <w:t>52</w:t>
      </w:r>
      <w:r w:rsidRPr="00341B41">
        <w:rPr>
          <w:rFonts w:eastAsia="Times New Roman" w:cs="Times New Roman"/>
          <w:noProof/>
        </w:rPr>
        <w:t>, 117–130. http://doi.org/10.1016/j.neubiorev.2015.02.014</w:t>
      </w:r>
    </w:p>
    <w:p w14:paraId="090F740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Pazzaglia, M., Smania, N., Corato, E., &amp; Aglioti, S. M. (2008). Neural underpinnings of </w:t>
      </w:r>
      <w:r w:rsidRPr="00341B41">
        <w:rPr>
          <w:rFonts w:eastAsia="Times New Roman" w:cs="Times New Roman"/>
          <w:noProof/>
        </w:rPr>
        <w:lastRenderedPageBreak/>
        <w:t xml:space="preserve">gesture discrimination in patients with limb apraxia.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28</w:t>
      </w:r>
      <w:r w:rsidRPr="00341B41">
        <w:rPr>
          <w:rFonts w:eastAsia="Times New Roman" w:cs="Times New Roman"/>
          <w:noProof/>
        </w:rPr>
        <w:t>, 3030–3041.</w:t>
      </w:r>
    </w:p>
    <w:p w14:paraId="30E3209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Perry, A., &amp; Bentin, S. (2009). Mirror activity in the human brain while observing hand movements: a comparison between EEG desynchronization in the mu-range and previous fMRI results. </w:t>
      </w:r>
      <w:r w:rsidRPr="00341B41">
        <w:rPr>
          <w:rFonts w:eastAsia="Times New Roman" w:cs="Times New Roman"/>
          <w:i/>
          <w:iCs/>
          <w:noProof/>
        </w:rPr>
        <w:t>Brain Research</w:t>
      </w:r>
      <w:r w:rsidRPr="00341B41">
        <w:rPr>
          <w:rFonts w:eastAsia="Times New Roman" w:cs="Times New Roman"/>
          <w:noProof/>
        </w:rPr>
        <w:t xml:space="preserve">, </w:t>
      </w:r>
      <w:r w:rsidRPr="00341B41">
        <w:rPr>
          <w:rFonts w:eastAsia="Times New Roman" w:cs="Times New Roman"/>
          <w:i/>
          <w:iCs/>
          <w:noProof/>
        </w:rPr>
        <w:t>1282</w:t>
      </w:r>
      <w:r w:rsidRPr="00341B41">
        <w:rPr>
          <w:rFonts w:eastAsia="Times New Roman" w:cs="Times New Roman"/>
          <w:noProof/>
        </w:rPr>
        <w:t>, 126–32. http://doi.org/10.1016/j.brainres.2009.05.059</w:t>
      </w:r>
    </w:p>
    <w:p w14:paraId="1464FCF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Perry, A., Troje, N. F., &amp; Bentin, S. (2010). Exploring motor system contributions to the perception of social information: Evidence from EEG activity in the mu/alpha frequency range. </w:t>
      </w:r>
      <w:r w:rsidRPr="00341B41">
        <w:rPr>
          <w:rFonts w:eastAsia="Times New Roman" w:cs="Times New Roman"/>
          <w:i/>
          <w:iCs/>
          <w:noProof/>
        </w:rPr>
        <w:t>Social Neuroscience</w:t>
      </w:r>
      <w:r w:rsidRPr="00341B41">
        <w:rPr>
          <w:rFonts w:eastAsia="Times New Roman" w:cs="Times New Roman"/>
          <w:noProof/>
        </w:rPr>
        <w:t xml:space="preserve">, </w:t>
      </w:r>
      <w:r w:rsidRPr="00341B41">
        <w:rPr>
          <w:rFonts w:eastAsia="Times New Roman" w:cs="Times New Roman"/>
          <w:i/>
          <w:iCs/>
          <w:noProof/>
        </w:rPr>
        <w:t>5</w:t>
      </w:r>
      <w:r w:rsidRPr="00341B41">
        <w:rPr>
          <w:rFonts w:eastAsia="Times New Roman" w:cs="Times New Roman"/>
          <w:noProof/>
        </w:rPr>
        <w:t>(3), 272–284. http://doi.org/10.1080/17470910903395767</w:t>
      </w:r>
    </w:p>
    <w:p w14:paraId="014A7D7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Pfurtscheller, G., &amp; Lopes da Silva, F. H. (1999). Event-related EEG/MEG synchronization and desynchronization: basic principles.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110</w:t>
      </w:r>
      <w:r w:rsidRPr="00341B41">
        <w:rPr>
          <w:rFonts w:eastAsia="Times New Roman" w:cs="Times New Roman"/>
          <w:noProof/>
        </w:rPr>
        <w:t>(11), 1842–57. Retrieved from http://www.ncbi.nlm.nih.gov/pubmed/10576479</w:t>
      </w:r>
    </w:p>
    <w:p w14:paraId="21BBBB8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Pfurtscheller, G., Neuper, C., &amp; Krausz, G. (2000). Functional dissociation of lower and upper frequency mu rhythms in relation to voluntary limb movement. </w:t>
      </w:r>
      <w:r w:rsidRPr="00341B41">
        <w:rPr>
          <w:rFonts w:eastAsia="Times New Roman" w:cs="Times New Roman"/>
          <w:i/>
          <w:iCs/>
          <w:noProof/>
        </w:rPr>
        <w:t>Clinical Neurophysiology</w:t>
      </w:r>
      <w:r w:rsidRPr="00341B41">
        <w:rPr>
          <w:rFonts w:eastAsia="Times New Roman" w:cs="Times New Roman"/>
          <w:noProof/>
        </w:rPr>
        <w:t xml:space="preserve">, </w:t>
      </w:r>
      <w:r w:rsidRPr="00341B41">
        <w:rPr>
          <w:rFonts w:eastAsia="Times New Roman" w:cs="Times New Roman"/>
          <w:i/>
          <w:iCs/>
          <w:noProof/>
        </w:rPr>
        <w:t>111</w:t>
      </w:r>
      <w:r w:rsidRPr="00341B41">
        <w:rPr>
          <w:rFonts w:eastAsia="Times New Roman" w:cs="Times New Roman"/>
          <w:noProof/>
        </w:rPr>
        <w:t>(10), 1873–1879. http://doi.org/10.1016/S1388-2457(00)00428-4</w:t>
      </w:r>
    </w:p>
    <w:p w14:paraId="3A163BE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Pfurtscheller, G., Stancak Jr, A., &amp; Neuper, C. (1996). Event-related synchronization (ERS) in the alpha band - An electrophysiological correlate of cortical idling. </w:t>
      </w:r>
      <w:r w:rsidRPr="00341B41">
        <w:rPr>
          <w:rFonts w:eastAsia="Times New Roman" w:cs="Times New Roman"/>
          <w:i/>
          <w:iCs/>
          <w:noProof/>
        </w:rPr>
        <w:t>International Journal of Psychophysiology</w:t>
      </w:r>
      <w:r w:rsidRPr="00341B41">
        <w:rPr>
          <w:rFonts w:eastAsia="Times New Roman" w:cs="Times New Roman"/>
          <w:noProof/>
        </w:rPr>
        <w:t xml:space="preserve">, </w:t>
      </w:r>
      <w:r w:rsidRPr="00341B41">
        <w:rPr>
          <w:rFonts w:eastAsia="Times New Roman" w:cs="Times New Roman"/>
          <w:i/>
          <w:iCs/>
          <w:noProof/>
        </w:rPr>
        <w:t>24</w:t>
      </w:r>
      <w:r w:rsidRPr="00341B41">
        <w:rPr>
          <w:rFonts w:eastAsia="Times New Roman" w:cs="Times New Roman"/>
          <w:noProof/>
        </w:rPr>
        <w:t>, 39–46.</w:t>
      </w:r>
    </w:p>
    <w:p w14:paraId="0205F18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Pijpers, J. ., Oudejans, R. R. D., Bakker, F. C., &amp; Beek, P. J. (2006). The role of anxiety in </w:t>
      </w:r>
      <w:r w:rsidRPr="00341B41">
        <w:rPr>
          <w:rFonts w:eastAsia="Times New Roman" w:cs="Times New Roman"/>
          <w:noProof/>
        </w:rPr>
        <w:lastRenderedPageBreak/>
        <w:t xml:space="preserve">perceiving and realizing affordances. </w:t>
      </w:r>
      <w:r w:rsidRPr="00341B41">
        <w:rPr>
          <w:rFonts w:eastAsia="Times New Roman" w:cs="Times New Roman"/>
          <w:i/>
          <w:iCs/>
          <w:noProof/>
        </w:rPr>
        <w:t>Ecological Psychology</w:t>
      </w:r>
      <w:r w:rsidRPr="00341B41">
        <w:rPr>
          <w:rFonts w:eastAsia="Times New Roman" w:cs="Times New Roman"/>
          <w:noProof/>
        </w:rPr>
        <w:t xml:space="preserve">, </w:t>
      </w:r>
      <w:r w:rsidRPr="00341B41">
        <w:rPr>
          <w:rFonts w:eastAsia="Times New Roman" w:cs="Times New Roman"/>
          <w:i/>
          <w:iCs/>
          <w:noProof/>
        </w:rPr>
        <w:t>18</w:t>
      </w:r>
      <w:r w:rsidRPr="00341B41">
        <w:rPr>
          <w:rFonts w:eastAsia="Times New Roman" w:cs="Times New Roman"/>
          <w:noProof/>
        </w:rPr>
        <w:t>(3), 131–161. http://doi.org/10.1207/s15326969eco1803</w:t>
      </w:r>
    </w:p>
    <w:p w14:paraId="391015A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Pineda, J. A. (2005). The functional significance of mu rhythms: translating “seeing” and “hearing” into “doing”. </w:t>
      </w:r>
      <w:r w:rsidRPr="00341B41">
        <w:rPr>
          <w:rFonts w:eastAsia="Times New Roman" w:cs="Times New Roman"/>
          <w:i/>
          <w:iCs/>
          <w:noProof/>
        </w:rPr>
        <w:t>Brain Research Reviews</w:t>
      </w:r>
      <w:r w:rsidRPr="00341B41">
        <w:rPr>
          <w:rFonts w:eastAsia="Times New Roman" w:cs="Times New Roman"/>
          <w:noProof/>
        </w:rPr>
        <w:t xml:space="preserve">, </w:t>
      </w:r>
      <w:r w:rsidRPr="00341B41">
        <w:rPr>
          <w:rFonts w:eastAsia="Times New Roman" w:cs="Times New Roman"/>
          <w:i/>
          <w:iCs/>
          <w:noProof/>
        </w:rPr>
        <w:t>50</w:t>
      </w:r>
      <w:r w:rsidRPr="00341B41">
        <w:rPr>
          <w:rFonts w:eastAsia="Times New Roman" w:cs="Times New Roman"/>
          <w:noProof/>
        </w:rPr>
        <w:t>(1), 57–68. http://doi.org/10.1016/j.brainresrev.2005.04.005</w:t>
      </w:r>
    </w:p>
    <w:p w14:paraId="391B44F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Powers, K. L., Brooks, P. J., Aldrich, N. J., Palladino, M. A., &amp; Alfieri, L. (2013). Effects of video-game play on information processing: A meta-analytic investigation. </w:t>
      </w:r>
      <w:r w:rsidRPr="00341B41">
        <w:rPr>
          <w:rFonts w:eastAsia="Times New Roman" w:cs="Times New Roman"/>
          <w:i/>
          <w:iCs/>
          <w:noProof/>
        </w:rPr>
        <w:t>Psychonomic Bulletin and Review</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(6), 1055–1079. http://doi.org/10.3758/s13423-013-0418-z</w:t>
      </w:r>
    </w:p>
    <w:p w14:paraId="6631A96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Ritter, P., Moosmann, M., &amp; Villringer, A. (2009). Rolandic alpha and beta EEG rhythms’ strengths are inversely related to fMRI-BOLD signal in primary somatosensory and motor cortex. </w:t>
      </w:r>
      <w:r w:rsidRPr="00341B41">
        <w:rPr>
          <w:rFonts w:eastAsia="Times New Roman" w:cs="Times New Roman"/>
          <w:i/>
          <w:iCs/>
          <w:noProof/>
        </w:rPr>
        <w:t>Human Brain Mapping</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(4), 1168–1187. http://doi.org/10.1002/hbm.20585</w:t>
      </w:r>
    </w:p>
    <w:p w14:paraId="1A3C769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Rizzolatti, G., &amp; Sinigaglia, C. (2010). The functional role of the parieto-frontal mirror circuit: interpretations and misinterpretations. </w:t>
      </w:r>
      <w:r w:rsidRPr="00341B41">
        <w:rPr>
          <w:rFonts w:eastAsia="Times New Roman" w:cs="Times New Roman"/>
          <w:i/>
          <w:iCs/>
          <w:noProof/>
        </w:rPr>
        <w:t>Nature Reviews: Neuroscience</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(4), 264–274. http://doi.org/10.1038/nrn2805</w:t>
      </w:r>
    </w:p>
    <w:p w14:paraId="1C9E2BB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Roberts, R. E., Bain, P. G., Day, B. L., &amp; Husain, M. (2013). Individual differences in expert motor coordination associated with white matter microstructure in the cerebellum. </w:t>
      </w:r>
      <w:r w:rsidRPr="00341B41">
        <w:rPr>
          <w:rFonts w:eastAsia="Times New Roman" w:cs="Times New Roman"/>
          <w:i/>
          <w:iCs/>
          <w:noProof/>
        </w:rPr>
        <w:t>Cerebral Cortex</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(10), 2282–2292. http://doi.org/10.1093/cercor/bhs219</w:t>
      </w:r>
    </w:p>
    <w:p w14:paraId="7B00C3E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Roca, A., Ford, P. R., McRobert, A. P., &amp; Williams, A. M. (2013). Perceptual-cognitive </w:t>
      </w:r>
      <w:r w:rsidRPr="00341B41">
        <w:rPr>
          <w:rFonts w:eastAsia="Times New Roman" w:cs="Times New Roman"/>
          <w:noProof/>
        </w:rPr>
        <w:lastRenderedPageBreak/>
        <w:t xml:space="preserve">skills and their interaction as a function of task constraints in soccer.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35</w:t>
      </w:r>
      <w:r w:rsidRPr="00341B41">
        <w:rPr>
          <w:rFonts w:eastAsia="Times New Roman" w:cs="Times New Roman"/>
          <w:noProof/>
        </w:rPr>
        <w:t>(2), 144–155.</w:t>
      </w:r>
    </w:p>
    <w:p w14:paraId="67696C3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Roca, A., &amp; Williams, A. M. (2016). Expertise and the Interaction between Different Perceptual-Cognitive Skills : Implications for Testing and Training. </w:t>
      </w:r>
      <w:r w:rsidRPr="00341B41">
        <w:rPr>
          <w:rFonts w:eastAsia="Times New Roman" w:cs="Times New Roman"/>
          <w:i/>
          <w:iCs/>
          <w:noProof/>
        </w:rPr>
        <w:t>Frontiers in Psychology</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(May), 1–4. http://doi.org/10.3389/fpsyg.2016.00792</w:t>
      </w:r>
    </w:p>
    <w:p w14:paraId="526A0D7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Romani, M., Cesari, P., Urgesi, C., Facchini, S., &amp; Aglioti, S. M. (2005). Motor facilitation of the human cortico-spinal system during observation of bio-mechanically impossible movements.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26</w:t>
      </w:r>
      <w:r w:rsidRPr="00341B41">
        <w:rPr>
          <w:rFonts w:eastAsia="Times New Roman" w:cs="Times New Roman"/>
          <w:noProof/>
        </w:rPr>
        <w:t>(3), 755–763. http://doi.org/10.1016/j.neuroimage.2005.02.027</w:t>
      </w:r>
    </w:p>
    <w:p w14:paraId="4994707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Romeas, T., &amp; Faubert, J. (2015). Soccer athletes are superior to non-athletes at perceiving soccer-specific and non-sport specific human biological motion. </w:t>
      </w:r>
      <w:r w:rsidRPr="00341B41">
        <w:rPr>
          <w:rFonts w:eastAsia="Times New Roman" w:cs="Times New Roman"/>
          <w:i/>
          <w:iCs/>
          <w:noProof/>
        </w:rPr>
        <w:t>Frontiers in Psychology</w:t>
      </w:r>
      <w:r w:rsidRPr="00341B41">
        <w:rPr>
          <w:rFonts w:eastAsia="Times New Roman" w:cs="Times New Roman"/>
          <w:noProof/>
        </w:rPr>
        <w:t xml:space="preserve">, </w:t>
      </w:r>
      <w:r w:rsidRPr="00341B41">
        <w:rPr>
          <w:rFonts w:eastAsia="Times New Roman" w:cs="Times New Roman"/>
          <w:i/>
          <w:iCs/>
          <w:noProof/>
        </w:rPr>
        <w:t>6</w:t>
      </w:r>
      <w:r w:rsidRPr="00341B41">
        <w:rPr>
          <w:rFonts w:eastAsia="Times New Roman" w:cs="Times New Roman"/>
          <w:noProof/>
        </w:rPr>
        <w:t>(SEPTEMBER 2015), 1343. http://doi.org/10.3389/fpsyg.2015.01343</w:t>
      </w:r>
    </w:p>
    <w:p w14:paraId="5EAC63D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Rosalie, S. M., &amp; Müller, S. (2014). Expertise facilitates the transfer of anticipation skill across domains. </w:t>
      </w:r>
      <w:r w:rsidRPr="00341B41">
        <w:rPr>
          <w:rFonts w:eastAsia="Times New Roman" w:cs="Times New Roman"/>
          <w:i/>
          <w:iCs/>
          <w:noProof/>
        </w:rPr>
        <w:t>Quarterly Journal of Experimental Psychology</w:t>
      </w:r>
      <w:r w:rsidRPr="00341B41">
        <w:rPr>
          <w:rFonts w:eastAsia="Times New Roman" w:cs="Times New Roman"/>
          <w:noProof/>
        </w:rPr>
        <w:t xml:space="preserve">, </w:t>
      </w:r>
      <w:r w:rsidRPr="00341B41">
        <w:rPr>
          <w:rFonts w:eastAsia="Times New Roman" w:cs="Times New Roman"/>
          <w:i/>
          <w:iCs/>
          <w:noProof/>
        </w:rPr>
        <w:t>67</w:t>
      </w:r>
      <w:r w:rsidRPr="00341B41">
        <w:rPr>
          <w:rFonts w:eastAsia="Times New Roman" w:cs="Times New Roman"/>
          <w:noProof/>
        </w:rPr>
        <w:t>(2), 319–34. http://doi.org/10.1080/17470218.2013.807856</w:t>
      </w:r>
    </w:p>
    <w:p w14:paraId="167E4529"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Rowe, R., Horswill, M. S., Kronvall-Parkinson, M., Poulter, D. R., &amp; McKenna, F. P. (2009). The Effect of Disguise on Novice and Expert Tennis Players’ Anticipation Ability. </w:t>
      </w:r>
      <w:r w:rsidRPr="00341B41">
        <w:rPr>
          <w:rFonts w:eastAsia="Times New Roman" w:cs="Times New Roman"/>
          <w:i/>
          <w:iCs/>
          <w:noProof/>
        </w:rPr>
        <w:t>Journal of Applied Sport Psychology</w:t>
      </w:r>
      <w:r w:rsidRPr="00341B41">
        <w:rPr>
          <w:rFonts w:eastAsia="Times New Roman" w:cs="Times New Roman"/>
          <w:noProof/>
        </w:rPr>
        <w:t xml:space="preserve">, </w:t>
      </w:r>
      <w:r w:rsidRPr="00341B41">
        <w:rPr>
          <w:rFonts w:eastAsia="Times New Roman" w:cs="Times New Roman"/>
          <w:i/>
          <w:iCs/>
          <w:noProof/>
        </w:rPr>
        <w:t>21</w:t>
      </w:r>
      <w:r w:rsidRPr="00341B41">
        <w:rPr>
          <w:rFonts w:eastAsia="Times New Roman" w:cs="Times New Roman"/>
          <w:noProof/>
        </w:rPr>
        <w:t>(2), 178–185. http://doi.org/10.1080/10413200902785811</w:t>
      </w:r>
    </w:p>
    <w:p w14:paraId="052FEF8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Rowe, R., &amp; McKenna, F. P. (2001). Skilled anticipation in real-world tasks: Measurement of attentional demands in the domain of tennis. </w:t>
      </w:r>
      <w:r w:rsidRPr="00341B41">
        <w:rPr>
          <w:rFonts w:eastAsia="Times New Roman" w:cs="Times New Roman"/>
          <w:i/>
          <w:iCs/>
          <w:noProof/>
        </w:rPr>
        <w:t xml:space="preserve">Journal of Experimental Psychology: </w:t>
      </w:r>
      <w:r w:rsidRPr="00341B41">
        <w:rPr>
          <w:rFonts w:eastAsia="Times New Roman" w:cs="Times New Roman"/>
          <w:i/>
          <w:iCs/>
          <w:noProof/>
        </w:rPr>
        <w:lastRenderedPageBreak/>
        <w:t>Applied</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(1), 60–67.</w:t>
      </w:r>
    </w:p>
    <w:p w14:paraId="1B04689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Salmela, J. ., &amp; Fiorito, P. (1979). Visual cues in ice hocky goaltending. </w:t>
      </w:r>
      <w:r w:rsidRPr="00341B41">
        <w:rPr>
          <w:rFonts w:eastAsia="Times New Roman" w:cs="Times New Roman"/>
          <w:i/>
          <w:iCs/>
          <w:noProof/>
        </w:rPr>
        <w:t>Canadian Journal of Applied Sport Science</w:t>
      </w:r>
      <w:r w:rsidRPr="00341B41">
        <w:rPr>
          <w:rFonts w:eastAsia="Times New Roman" w:cs="Times New Roman"/>
          <w:noProof/>
        </w:rPr>
        <w:t xml:space="preserve">, </w:t>
      </w:r>
      <w:r w:rsidRPr="00341B41">
        <w:rPr>
          <w:rFonts w:eastAsia="Times New Roman" w:cs="Times New Roman"/>
          <w:i/>
          <w:iCs/>
          <w:noProof/>
        </w:rPr>
        <w:t>4</w:t>
      </w:r>
      <w:r w:rsidRPr="00341B41">
        <w:rPr>
          <w:rFonts w:eastAsia="Times New Roman" w:cs="Times New Roman"/>
          <w:noProof/>
        </w:rPr>
        <w:t>(1), 56–59.</w:t>
      </w:r>
    </w:p>
    <w:p w14:paraId="132CD68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Sartori, L., Begliomini, C., &amp; Castiello, U. (2013). Motor resonance in left- and right-handers: evidence for effector-independent motor representations.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(February), 33.</w:t>
      </w:r>
    </w:p>
    <w:p w14:paraId="3A2DB31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Sauseng, P., &amp; Klimesch, W. (2008). What does phase information of oscillatory brain activity tell us about cognitive processes? </w:t>
      </w:r>
      <w:r w:rsidRPr="00341B41">
        <w:rPr>
          <w:rFonts w:eastAsia="Times New Roman" w:cs="Times New Roman"/>
          <w:i/>
          <w:iCs/>
          <w:noProof/>
        </w:rPr>
        <w:t>Neuroscience and Biobehavioral Reviews</w:t>
      </w:r>
      <w:r w:rsidRPr="00341B41">
        <w:rPr>
          <w:rFonts w:eastAsia="Times New Roman" w:cs="Times New Roman"/>
          <w:noProof/>
        </w:rPr>
        <w:t xml:space="preserve">, </w:t>
      </w:r>
      <w:r w:rsidRPr="00341B41">
        <w:rPr>
          <w:rFonts w:eastAsia="Times New Roman" w:cs="Times New Roman"/>
          <w:i/>
          <w:iCs/>
          <w:noProof/>
        </w:rPr>
        <w:t>32</w:t>
      </w:r>
      <w:r w:rsidRPr="00341B41">
        <w:rPr>
          <w:rFonts w:eastAsia="Times New Roman" w:cs="Times New Roman"/>
          <w:noProof/>
        </w:rPr>
        <w:t>(5), 1001–1013. http://doi.org/10.1016/j.neubiorev.2008.03.014</w:t>
      </w:r>
    </w:p>
    <w:p w14:paraId="063C0A8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Savelsbergh, G. J. P., Van der Kamp, J., Williams, A. M., &amp; Ward, P. (2005). Anticipation and visual search behaviour in expert soccer goalkeepers. </w:t>
      </w:r>
      <w:r w:rsidRPr="00341B41">
        <w:rPr>
          <w:rFonts w:eastAsia="Times New Roman" w:cs="Times New Roman"/>
          <w:i/>
          <w:iCs/>
          <w:noProof/>
        </w:rPr>
        <w:t>Ergonomics</w:t>
      </w:r>
      <w:r w:rsidRPr="00341B41">
        <w:rPr>
          <w:rFonts w:eastAsia="Times New Roman" w:cs="Times New Roman"/>
          <w:noProof/>
        </w:rPr>
        <w:t xml:space="preserve">, </w:t>
      </w:r>
      <w:r w:rsidRPr="00341B41">
        <w:rPr>
          <w:rFonts w:eastAsia="Times New Roman" w:cs="Times New Roman"/>
          <w:i/>
          <w:iCs/>
          <w:noProof/>
        </w:rPr>
        <w:t>48</w:t>
      </w:r>
      <w:r w:rsidRPr="00341B41">
        <w:rPr>
          <w:rFonts w:eastAsia="Times New Roman" w:cs="Times New Roman"/>
          <w:noProof/>
        </w:rPr>
        <w:t>(11–14), 1686–97. http://doi.org/10.1080/00140130500101346</w:t>
      </w:r>
    </w:p>
    <w:p w14:paraId="486C344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Savelsbergh, G. J. P., Williams, A. M., Van der Kamp, J., &amp; Ward, P. (2002). Visual search, anticipation and expertise in soccer goalkeepers.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(3), 279–87. http://doi.org/10.1080/026404102317284826</w:t>
      </w:r>
    </w:p>
    <w:p w14:paraId="7A1E8F2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Schippers, M. B., &amp; Keysers, C. (2011). Mapping the flow of information within the putative mirror neuron system during gesture observation.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57</w:t>
      </w:r>
      <w:r w:rsidRPr="00341B41">
        <w:rPr>
          <w:rFonts w:eastAsia="Times New Roman" w:cs="Times New Roman"/>
          <w:noProof/>
        </w:rPr>
        <w:t>(1), 37–44. http://doi.org/10.1016/j.neuroimage.2011.02.018</w:t>
      </w:r>
    </w:p>
    <w:p w14:paraId="016806E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Sekiguchi, A., Yokoyama, S., Kasahara, S., Yomogida, Y., Takeuchi, H., Ogawa, T., … Kawashima, R. (2011). Neural Bases of a Specific Strategy for Visuospatial Processing in Rugby Players. </w:t>
      </w:r>
      <w:r w:rsidRPr="00341B41">
        <w:rPr>
          <w:rFonts w:eastAsia="Times New Roman" w:cs="Times New Roman"/>
          <w:i/>
          <w:iCs/>
          <w:noProof/>
        </w:rPr>
        <w:t>Medicine &amp; Science in Sports &amp; Exercise</w:t>
      </w:r>
      <w:r w:rsidRPr="00341B41">
        <w:rPr>
          <w:rFonts w:eastAsia="Times New Roman" w:cs="Times New Roman"/>
          <w:noProof/>
        </w:rPr>
        <w:t xml:space="preserve">, </w:t>
      </w:r>
      <w:r w:rsidRPr="00341B41">
        <w:rPr>
          <w:rFonts w:eastAsia="Times New Roman" w:cs="Times New Roman"/>
          <w:i/>
          <w:iCs/>
          <w:noProof/>
        </w:rPr>
        <w:t>43</w:t>
      </w:r>
      <w:r w:rsidRPr="00341B41">
        <w:rPr>
          <w:rFonts w:eastAsia="Times New Roman" w:cs="Times New Roman"/>
          <w:noProof/>
        </w:rPr>
        <w:t>(10), 1857–</w:t>
      </w:r>
      <w:r w:rsidRPr="00341B41">
        <w:rPr>
          <w:rFonts w:eastAsia="Times New Roman" w:cs="Times New Roman"/>
          <w:noProof/>
        </w:rPr>
        <w:lastRenderedPageBreak/>
        <w:t>1862. http://doi.org/10.1249/MSS.0b013e31821920f3</w:t>
      </w:r>
    </w:p>
    <w:p w14:paraId="0EDD4CB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Seo, J., Kim, Y.-T., Song, H.-J., Lee, H. J., Lee, J., Jung, T.-D., … Chang, Y. (2012). Stronger activation and deactivation in archery experts for differential cognitive strategy in visuospatial working memory processing. </w:t>
      </w:r>
      <w:r w:rsidRPr="00341B41">
        <w:rPr>
          <w:rFonts w:eastAsia="Times New Roman" w:cs="Times New Roman"/>
          <w:i/>
          <w:iCs/>
          <w:noProof/>
        </w:rPr>
        <w:t>Behavioural Brain Research</w:t>
      </w:r>
      <w:r w:rsidRPr="00341B41">
        <w:rPr>
          <w:rFonts w:eastAsia="Times New Roman" w:cs="Times New Roman"/>
          <w:noProof/>
        </w:rPr>
        <w:t xml:space="preserve">, </w:t>
      </w:r>
      <w:r w:rsidRPr="00341B41">
        <w:rPr>
          <w:rFonts w:eastAsia="Times New Roman" w:cs="Times New Roman"/>
          <w:i/>
          <w:iCs/>
          <w:noProof/>
        </w:rPr>
        <w:t>229</w:t>
      </w:r>
      <w:r w:rsidRPr="00341B41">
        <w:rPr>
          <w:rFonts w:eastAsia="Times New Roman" w:cs="Times New Roman"/>
          <w:noProof/>
        </w:rPr>
        <w:t>(1), 185–93. http://doi.org/10.1016/j.bbr.2012.01.019</w:t>
      </w:r>
    </w:p>
    <w:p w14:paraId="5AD5EEC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Shim, J., Carlton, L. G., &amp; Kwon, Y.-H. (2006). Perception of kinematic characteristics of tennis strokes for anticipating stroke type and direction. </w:t>
      </w:r>
      <w:r w:rsidRPr="00341B41">
        <w:rPr>
          <w:rFonts w:eastAsia="Times New Roman" w:cs="Times New Roman"/>
          <w:i/>
          <w:iCs/>
          <w:noProof/>
        </w:rPr>
        <w:t>Research Quarterly for Exercise and Sport</w:t>
      </w:r>
      <w:r w:rsidRPr="00341B41">
        <w:rPr>
          <w:rFonts w:eastAsia="Times New Roman" w:cs="Times New Roman"/>
          <w:noProof/>
        </w:rPr>
        <w:t xml:space="preserve">, </w:t>
      </w:r>
      <w:r w:rsidRPr="00341B41">
        <w:rPr>
          <w:rFonts w:eastAsia="Times New Roman" w:cs="Times New Roman"/>
          <w:i/>
          <w:iCs/>
          <w:noProof/>
        </w:rPr>
        <w:t>77</w:t>
      </w:r>
      <w:r w:rsidRPr="00341B41">
        <w:rPr>
          <w:rFonts w:eastAsia="Times New Roman" w:cs="Times New Roman"/>
          <w:noProof/>
        </w:rPr>
        <w:t>(3), 326–339. http://doi.org/10.5641/027013606X13080769705009</w:t>
      </w:r>
    </w:p>
    <w:p w14:paraId="5C36919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Smeeton, N. J., Williams, A. M., Hodges, N. J., &amp; Ward, P. (2005). The relative effectiveness of various instructional approaches in developing anticipation skill. </w:t>
      </w:r>
      <w:r w:rsidRPr="00341B41">
        <w:rPr>
          <w:rFonts w:eastAsia="Times New Roman" w:cs="Times New Roman"/>
          <w:i/>
          <w:iCs/>
          <w:noProof/>
        </w:rPr>
        <w:t>Journal of Experimental Psychology: Applied</w:t>
      </w:r>
      <w:r w:rsidRPr="00341B41">
        <w:rPr>
          <w:rFonts w:eastAsia="Times New Roman" w:cs="Times New Roman"/>
          <w:noProof/>
        </w:rPr>
        <w:t xml:space="preserve">, </w:t>
      </w:r>
      <w:r w:rsidRPr="00341B41">
        <w:rPr>
          <w:rFonts w:eastAsia="Times New Roman" w:cs="Times New Roman"/>
          <w:i/>
          <w:iCs/>
          <w:noProof/>
        </w:rPr>
        <w:t>11</w:t>
      </w:r>
      <w:r w:rsidRPr="00341B41">
        <w:rPr>
          <w:rFonts w:eastAsia="Times New Roman" w:cs="Times New Roman"/>
          <w:noProof/>
        </w:rPr>
        <w:t>(2), 98–110. http://doi.org/10.1037/1076-898X.11.2.98</w:t>
      </w:r>
    </w:p>
    <w:p w14:paraId="347C13B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Smith, D. M. (2015). Neurophysiology of action anticipation in athletes: A systematic review. </w:t>
      </w:r>
      <w:r w:rsidRPr="00341B41">
        <w:rPr>
          <w:rFonts w:eastAsia="Times New Roman" w:cs="Times New Roman"/>
          <w:i/>
          <w:iCs/>
          <w:noProof/>
        </w:rPr>
        <w:t>Neuroscience and Biobehavioural Reviews</w:t>
      </w:r>
      <w:r w:rsidRPr="00341B41">
        <w:rPr>
          <w:rFonts w:eastAsia="Times New Roman" w:cs="Times New Roman"/>
          <w:noProof/>
        </w:rPr>
        <w:t xml:space="preserve">, </w:t>
      </w:r>
      <w:r w:rsidRPr="00341B41">
        <w:rPr>
          <w:rFonts w:eastAsia="Times New Roman" w:cs="Times New Roman"/>
          <w:i/>
          <w:iCs/>
          <w:noProof/>
        </w:rPr>
        <w:t>60</w:t>
      </w:r>
      <w:r w:rsidRPr="00341B41">
        <w:rPr>
          <w:rFonts w:eastAsia="Times New Roman" w:cs="Times New Roman"/>
          <w:noProof/>
        </w:rPr>
        <w:t>, 115–120. http://doi.org/10.1016/j.neubiorev.2015.11.007</w:t>
      </w:r>
    </w:p>
    <w:p w14:paraId="170C2BD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Snow, G. (2013). blockrand: Randomization for block random clinical trials. R package version 1.3. Retrieved from http://cran.r-project.org/package=blockrand</w:t>
      </w:r>
    </w:p>
    <w:p w14:paraId="48FBB0D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Swann, C., Moran, A., &amp; Piggott, D. (2015). Defining elite athletes: Issues in the study of expert performance in sport psychology. </w:t>
      </w:r>
      <w:r w:rsidRPr="00341B41">
        <w:rPr>
          <w:rFonts w:eastAsia="Times New Roman" w:cs="Times New Roman"/>
          <w:i/>
          <w:iCs/>
          <w:noProof/>
        </w:rPr>
        <w:t>Psychology of Sport and Exercise</w:t>
      </w:r>
      <w:r w:rsidRPr="00341B41">
        <w:rPr>
          <w:rFonts w:eastAsia="Times New Roman" w:cs="Times New Roman"/>
          <w:noProof/>
        </w:rPr>
        <w:t xml:space="preserve">, </w:t>
      </w:r>
      <w:r w:rsidRPr="00341B41">
        <w:rPr>
          <w:rFonts w:eastAsia="Times New Roman" w:cs="Times New Roman"/>
          <w:i/>
          <w:iCs/>
          <w:noProof/>
        </w:rPr>
        <w:t>16</w:t>
      </w:r>
      <w:r w:rsidRPr="00341B41">
        <w:rPr>
          <w:rFonts w:eastAsia="Times New Roman" w:cs="Times New Roman"/>
          <w:noProof/>
        </w:rPr>
        <w:t>(P1), 3–14. http://doi.org/10.1016/j.psychsport.2014.07.004</w:t>
      </w:r>
    </w:p>
    <w:p w14:paraId="7ABB6BE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Tangwiriyasakul, C., Verhagen, R., van Putten, M. J. a M., &amp; Rutten, W. L. C. (2013). Importance of baseline in event-related desynchronization during a combination task of motor imagery and motor observation. </w:t>
      </w:r>
      <w:r w:rsidRPr="00341B41">
        <w:rPr>
          <w:rFonts w:eastAsia="Times New Roman" w:cs="Times New Roman"/>
          <w:i/>
          <w:iCs/>
          <w:noProof/>
        </w:rPr>
        <w:t>Journal of Neural Engineering</w:t>
      </w:r>
      <w:r w:rsidRPr="00341B41">
        <w:rPr>
          <w:rFonts w:eastAsia="Times New Roman" w:cs="Times New Roman"/>
          <w:noProof/>
        </w:rPr>
        <w:t xml:space="preserve">, </w:t>
      </w:r>
      <w:r w:rsidRPr="00341B41">
        <w:rPr>
          <w:rFonts w:eastAsia="Times New Roman" w:cs="Times New Roman"/>
          <w:i/>
          <w:iCs/>
          <w:noProof/>
        </w:rPr>
        <w:t>10</w:t>
      </w:r>
      <w:r w:rsidRPr="00341B41">
        <w:rPr>
          <w:rFonts w:eastAsia="Times New Roman" w:cs="Times New Roman"/>
          <w:noProof/>
        </w:rPr>
        <w:t>(2), 26009. http://doi.org/10.1088/1741-2560/10/2/026009</w:t>
      </w:r>
    </w:p>
    <w:p w14:paraId="0328B58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Tessari, A., Canessa, N., Ukmar, M., &amp; Rumiati, R. I. (2007). Neurophysiological eidence for a strategic control of multiple routes in imitation. </w:t>
      </w:r>
      <w:r w:rsidRPr="00341B41">
        <w:rPr>
          <w:rFonts w:eastAsia="Times New Roman" w:cs="Times New Roman"/>
          <w:i/>
          <w:iCs/>
          <w:noProof/>
        </w:rPr>
        <w:t>Brain</w:t>
      </w:r>
      <w:r w:rsidRPr="00341B41">
        <w:rPr>
          <w:rFonts w:eastAsia="Times New Roman" w:cs="Times New Roman"/>
          <w:noProof/>
        </w:rPr>
        <w:t xml:space="preserve">, </w:t>
      </w:r>
      <w:r w:rsidRPr="00341B41">
        <w:rPr>
          <w:rFonts w:eastAsia="Times New Roman" w:cs="Times New Roman"/>
          <w:i/>
          <w:iCs/>
          <w:noProof/>
        </w:rPr>
        <w:t>130</w:t>
      </w:r>
      <w:r w:rsidRPr="00341B41">
        <w:rPr>
          <w:rFonts w:eastAsia="Times New Roman" w:cs="Times New Roman"/>
          <w:noProof/>
        </w:rPr>
        <w:t>, 1111–1126.</w:t>
      </w:r>
    </w:p>
    <w:p w14:paraId="4BC7A4C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Thompson, J., &amp; Parasuraman, R. (2012). Attention, biological motion, and action recognition.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59</w:t>
      </w:r>
      <w:r w:rsidRPr="00341B41">
        <w:rPr>
          <w:rFonts w:eastAsia="Times New Roman" w:cs="Times New Roman"/>
          <w:noProof/>
        </w:rPr>
        <w:t>(1), 4–13. http://doi.org/10.1016/j.neuroimage.2011.05.044</w:t>
      </w:r>
    </w:p>
    <w:p w14:paraId="45091F6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Thorpe, S., Fize, D., &amp; Marlot, C. (1996). Speed of processing in the human visual system. </w:t>
      </w:r>
      <w:r w:rsidRPr="00341B41">
        <w:rPr>
          <w:rFonts w:eastAsia="Times New Roman" w:cs="Times New Roman"/>
          <w:i/>
          <w:iCs/>
          <w:noProof/>
        </w:rPr>
        <w:t>Nature</w:t>
      </w:r>
      <w:r w:rsidRPr="00341B41">
        <w:rPr>
          <w:rFonts w:eastAsia="Times New Roman" w:cs="Times New Roman"/>
          <w:noProof/>
        </w:rPr>
        <w:t>. http://doi.org/10.1038/381520a0</w:t>
      </w:r>
    </w:p>
    <w:p w14:paraId="0A06198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Tkach, D., Reimer, J., &amp; Hatsopoulos, N. G. (2007). Congruent activity during action and action observation in motor cortex.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27</w:t>
      </w:r>
      <w:r w:rsidRPr="00341B41">
        <w:rPr>
          <w:rFonts w:eastAsia="Times New Roman" w:cs="Times New Roman"/>
          <w:noProof/>
        </w:rPr>
        <w:t>(48), 13241–13250. http://doi.org/10.1523/JNEUROSCI.2895-07.2007</w:t>
      </w:r>
    </w:p>
    <w:p w14:paraId="270EB7A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Tomeo, E., Cesari, P., Aglioti, S. M., &amp; Urgesi, C. (2013). Fooling the kickers but not the goalkeepers: behavioral and neurophysiological correlates of fake action detection in soccer. </w:t>
      </w:r>
      <w:r w:rsidRPr="00341B41">
        <w:rPr>
          <w:rFonts w:eastAsia="Times New Roman" w:cs="Times New Roman"/>
          <w:i/>
          <w:iCs/>
          <w:noProof/>
        </w:rPr>
        <w:t>Cerebral Cortex</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(11), 2765–78. http://doi.org/10.1093/cercor/bhs279</w:t>
      </w:r>
    </w:p>
    <w:p w14:paraId="7AA82016"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Triolet, C., Benguigui, N., Le Runigo, C., &amp; Williams, A. M. (2013). Quantifying the nature of anticipation in professional tennis.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31</w:t>
      </w:r>
      <w:r w:rsidRPr="00341B41">
        <w:rPr>
          <w:rFonts w:eastAsia="Times New Roman" w:cs="Times New Roman"/>
          <w:noProof/>
        </w:rPr>
        <w:t>(8), 820–30. http://doi.org/10.1080/02640414.2012.759658</w:t>
      </w:r>
    </w:p>
    <w:p w14:paraId="1EE3E27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Tzagarakis, C., Ince, N. F., Leuthold, A. C., &amp; Pellizzer, G. (2010). Beta-Band Activity </w:t>
      </w:r>
      <w:r w:rsidRPr="00341B41">
        <w:rPr>
          <w:rFonts w:eastAsia="Times New Roman" w:cs="Times New Roman"/>
          <w:noProof/>
        </w:rPr>
        <w:lastRenderedPageBreak/>
        <w:t xml:space="preserve">during Motor Planning Reflects Response Uncertainty. </w:t>
      </w:r>
      <w:r w:rsidRPr="00341B41">
        <w:rPr>
          <w:rFonts w:eastAsia="Times New Roman" w:cs="Times New Roman"/>
          <w:i/>
          <w:iCs/>
          <w:noProof/>
        </w:rPr>
        <w:t>The Journal of Neuroscience</w:t>
      </w:r>
      <w:r w:rsidRPr="00341B41">
        <w:rPr>
          <w:rFonts w:eastAsia="Times New Roman" w:cs="Times New Roman"/>
          <w:noProof/>
        </w:rPr>
        <w:t xml:space="preserve">, </w:t>
      </w:r>
      <w:r w:rsidRPr="00341B41">
        <w:rPr>
          <w:rFonts w:eastAsia="Times New Roman" w:cs="Times New Roman"/>
          <w:i/>
          <w:iCs/>
          <w:noProof/>
        </w:rPr>
        <w:t>30</w:t>
      </w:r>
      <w:r w:rsidRPr="00341B41">
        <w:rPr>
          <w:rFonts w:eastAsia="Times New Roman" w:cs="Times New Roman"/>
          <w:noProof/>
        </w:rPr>
        <w:t>(34), 11270–11277. http://doi.org/10.1523/JNEUROSCI.6026-09.2010</w:t>
      </w:r>
    </w:p>
    <w:p w14:paraId="27735CB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Tzagarakis, C., West, S., &amp; Pellizzer, G. (2015). Brain oscillatory activity during motor preparation: effect of directional uncertainty on beta, but not alpha, frequency band. </w:t>
      </w:r>
      <w:r w:rsidRPr="00341B41">
        <w:rPr>
          <w:rFonts w:eastAsia="Times New Roman" w:cs="Times New Roman"/>
          <w:i/>
          <w:iCs/>
          <w:noProof/>
        </w:rPr>
        <w:t>Frontiers in Neuroscience</w:t>
      </w:r>
      <w:r w:rsidRPr="00341B41">
        <w:rPr>
          <w:rFonts w:eastAsia="Times New Roman" w:cs="Times New Roman"/>
          <w:noProof/>
        </w:rPr>
        <w:t xml:space="preserve">, </w:t>
      </w:r>
      <w:r w:rsidRPr="00341B41">
        <w:rPr>
          <w:rFonts w:eastAsia="Times New Roman" w:cs="Times New Roman"/>
          <w:i/>
          <w:iCs/>
          <w:noProof/>
        </w:rPr>
        <w:t>9</w:t>
      </w:r>
      <w:r w:rsidRPr="00341B41">
        <w:rPr>
          <w:rFonts w:eastAsia="Times New Roman" w:cs="Times New Roman"/>
          <w:noProof/>
        </w:rPr>
        <w:t>(1662–4548 (Print)), 246. http://doi.org/10.3389/fnins.2015.00246</w:t>
      </w:r>
    </w:p>
    <w:p w14:paraId="0FB9043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Unsworth, N., Redick, T. S., McMillan, B. D., Hambrick, D. Z., Kane, M. J., &amp; Engle, R. W. (2015). Is Playing Video Games Related to Cognitive Abilities? </w:t>
      </w:r>
      <w:r w:rsidRPr="00341B41">
        <w:rPr>
          <w:rFonts w:eastAsia="Times New Roman" w:cs="Times New Roman"/>
          <w:i/>
          <w:iCs/>
          <w:noProof/>
        </w:rPr>
        <w:t>Psychological Science</w:t>
      </w:r>
      <w:r w:rsidRPr="00341B41">
        <w:rPr>
          <w:rFonts w:eastAsia="Times New Roman" w:cs="Times New Roman"/>
          <w:noProof/>
        </w:rPr>
        <w:t xml:space="preserve">, </w:t>
      </w:r>
      <w:r w:rsidRPr="00341B41">
        <w:rPr>
          <w:rFonts w:eastAsia="Times New Roman" w:cs="Times New Roman"/>
          <w:i/>
          <w:iCs/>
          <w:noProof/>
        </w:rPr>
        <w:t>26</w:t>
      </w:r>
      <w:r w:rsidRPr="00341B41">
        <w:rPr>
          <w:rFonts w:eastAsia="Times New Roman" w:cs="Times New Roman"/>
          <w:noProof/>
        </w:rPr>
        <w:t>(6), 759–774. http://doi.org/10.1177/0956797615570367</w:t>
      </w:r>
    </w:p>
    <w:p w14:paraId="47E3981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Vaeyens, R., Lenoir, M., Williams, A. M., Mazyn, L., &amp; Philippaerts, R. M. (2007). The effects of task constraints on visual search behavior and decision-making skill in youth soccer players.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29</w:t>
      </w:r>
      <w:r w:rsidRPr="00341B41">
        <w:rPr>
          <w:rFonts w:eastAsia="Times New Roman" w:cs="Times New Roman"/>
          <w:noProof/>
        </w:rPr>
        <w:t>(2), 147–169.</w:t>
      </w:r>
    </w:p>
    <w:p w14:paraId="014F33C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Van der Kamp, J., Rivas, F., van Doorn, H., &amp; Savelsbergh, G. J. P. (2008). Ventral and dorsal system contributions to visual anticipation in fast ball sports. </w:t>
      </w:r>
      <w:r w:rsidRPr="00341B41">
        <w:rPr>
          <w:rFonts w:eastAsia="Times New Roman" w:cs="Times New Roman"/>
          <w:i/>
          <w:iCs/>
          <w:noProof/>
        </w:rPr>
        <w:t>International Journal of Sport Psychology</w:t>
      </w:r>
      <w:r w:rsidRPr="00341B41">
        <w:rPr>
          <w:rFonts w:eastAsia="Times New Roman" w:cs="Times New Roman"/>
          <w:noProof/>
        </w:rPr>
        <w:t xml:space="preserve">, </w:t>
      </w:r>
      <w:r w:rsidRPr="00341B41">
        <w:rPr>
          <w:rFonts w:eastAsia="Times New Roman" w:cs="Times New Roman"/>
          <w:i/>
          <w:iCs/>
          <w:noProof/>
        </w:rPr>
        <w:t>39</w:t>
      </w:r>
      <w:r w:rsidRPr="00341B41">
        <w:rPr>
          <w:rFonts w:eastAsia="Times New Roman" w:cs="Times New Roman"/>
          <w:noProof/>
        </w:rPr>
        <w:t>(2), 100–130.</w:t>
      </w:r>
    </w:p>
    <w:p w14:paraId="568134D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van Ravenzwaaij, D., Boekel, W., Forstmann, B. U., Ratcliff, R., &amp; Wagenmakers, E.-J. (2014). Action Video Games Do Not Improve the Speed of Information Processing in Simple Perceptual Tasks. </w:t>
      </w:r>
      <w:r w:rsidRPr="00341B41">
        <w:rPr>
          <w:rFonts w:eastAsia="Times New Roman" w:cs="Times New Roman"/>
          <w:i/>
          <w:iCs/>
          <w:noProof/>
        </w:rPr>
        <w:t>Journal of Experimental Psychology: General</w:t>
      </w:r>
      <w:r w:rsidRPr="00341B41">
        <w:rPr>
          <w:rFonts w:eastAsia="Times New Roman" w:cs="Times New Roman"/>
          <w:noProof/>
        </w:rPr>
        <w:t xml:space="preserve">, </w:t>
      </w:r>
      <w:r w:rsidRPr="00341B41">
        <w:rPr>
          <w:rFonts w:eastAsia="Times New Roman" w:cs="Times New Roman"/>
          <w:i/>
          <w:iCs/>
          <w:noProof/>
        </w:rPr>
        <w:t>143</w:t>
      </w:r>
      <w:r w:rsidRPr="00341B41">
        <w:rPr>
          <w:rFonts w:eastAsia="Times New Roman" w:cs="Times New Roman"/>
          <w:noProof/>
        </w:rPr>
        <w:t>(5), 1–21. http://doi.org/10.1037/a0036923</w:t>
      </w:r>
    </w:p>
    <w:p w14:paraId="35D467F5"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Vickers, J. N., &amp; Williams, A. M. (2007). Performing under pressure: the effects of physiological arousal, cognitive anxiety, and gaze control in biathlon. </w:t>
      </w:r>
      <w:r w:rsidRPr="00341B41">
        <w:rPr>
          <w:rFonts w:eastAsia="Times New Roman" w:cs="Times New Roman"/>
          <w:i/>
          <w:iCs/>
          <w:noProof/>
        </w:rPr>
        <w:t xml:space="preserve">Journal of </w:t>
      </w:r>
      <w:r w:rsidRPr="00341B41">
        <w:rPr>
          <w:rFonts w:eastAsia="Times New Roman" w:cs="Times New Roman"/>
          <w:i/>
          <w:iCs/>
          <w:noProof/>
        </w:rPr>
        <w:lastRenderedPageBreak/>
        <w:t>Motor Behaviour</w:t>
      </w:r>
      <w:r w:rsidRPr="00341B41">
        <w:rPr>
          <w:rFonts w:eastAsia="Times New Roman" w:cs="Times New Roman"/>
          <w:noProof/>
        </w:rPr>
        <w:t xml:space="preserve">, </w:t>
      </w:r>
      <w:r w:rsidRPr="00341B41">
        <w:rPr>
          <w:rFonts w:eastAsia="Times New Roman" w:cs="Times New Roman"/>
          <w:i/>
          <w:iCs/>
          <w:noProof/>
        </w:rPr>
        <w:t>39</w:t>
      </w:r>
      <w:r w:rsidRPr="00341B41">
        <w:rPr>
          <w:rFonts w:eastAsia="Times New Roman" w:cs="Times New Roman"/>
          <w:noProof/>
        </w:rPr>
        <w:t>(5), 381–394. http://doi.org/10.3200/JMBR.39.5.381-394</w:t>
      </w:r>
    </w:p>
    <w:p w14:paraId="30A4F720"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Vigneswaran, G., Philipp, R., Lemon, R. N., &amp; Kraskov, A. (2013). M1 corticospinal mirror neurons and their role in movement suppression during action observation.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23</w:t>
      </w:r>
      <w:r w:rsidRPr="00341B41">
        <w:rPr>
          <w:rFonts w:eastAsia="Times New Roman" w:cs="Times New Roman"/>
          <w:noProof/>
        </w:rPr>
        <w:t>(3), 236–243. http://doi.org/10.1016/j.cub.2012.12.006</w:t>
      </w:r>
    </w:p>
    <w:p w14:paraId="43A9474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Voss, M. W., Kramer, A. F., Basak, C., Prakash, R. ., &amp; Roberts, B. (2009). Are expert athletes “expert” in the cognitive laboratory? A meta-analytic review of cognition and sport expertise. </w:t>
      </w:r>
      <w:r w:rsidRPr="00341B41">
        <w:rPr>
          <w:rFonts w:eastAsia="Times New Roman" w:cs="Times New Roman"/>
          <w:i/>
          <w:iCs/>
          <w:noProof/>
        </w:rPr>
        <w:t>Applied Cognitive Psychology</w:t>
      </w:r>
      <w:r w:rsidRPr="00341B41">
        <w:rPr>
          <w:rFonts w:eastAsia="Times New Roman" w:cs="Times New Roman"/>
          <w:noProof/>
        </w:rPr>
        <w:t>, 165–187. http://doi.org/10.1002/acp</w:t>
      </w:r>
    </w:p>
    <w:p w14:paraId="5020B25B"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Walsh, V. (2014). Is sport the brain’s biggest challenge? </w:t>
      </w:r>
      <w:r w:rsidRPr="00341B41">
        <w:rPr>
          <w:rFonts w:eastAsia="Times New Roman" w:cs="Times New Roman"/>
          <w:i/>
          <w:iCs/>
          <w:noProof/>
        </w:rPr>
        <w:t>Current Biology</w:t>
      </w:r>
      <w:r w:rsidRPr="00341B41">
        <w:rPr>
          <w:rFonts w:eastAsia="Times New Roman" w:cs="Times New Roman"/>
          <w:noProof/>
        </w:rPr>
        <w:t xml:space="preserve">, </w:t>
      </w:r>
      <w:r w:rsidRPr="00341B41">
        <w:rPr>
          <w:rFonts w:eastAsia="Times New Roman" w:cs="Times New Roman"/>
          <w:i/>
          <w:iCs/>
          <w:noProof/>
        </w:rPr>
        <w:t>24</w:t>
      </w:r>
      <w:r w:rsidRPr="00341B41">
        <w:rPr>
          <w:rFonts w:eastAsia="Times New Roman" w:cs="Times New Roman"/>
          <w:noProof/>
        </w:rPr>
        <w:t>(18), R859–R860. http://doi.org/10.1016/j.cub.2014.08.003</w:t>
      </w:r>
    </w:p>
    <w:p w14:paraId="11672A0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Wang, Y., Wang, Y.-T., &amp; Jung, T.-P. (2012). Translation of EEG spatial filters from resting to motor imagery using independent component analysis. </w:t>
      </w:r>
      <w:r w:rsidRPr="00341B41">
        <w:rPr>
          <w:rFonts w:eastAsia="Times New Roman" w:cs="Times New Roman"/>
          <w:i/>
          <w:iCs/>
          <w:noProof/>
        </w:rPr>
        <w:t>PLoS ONE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(5), e37665. http://doi.org/10.1371/journal.pone.0037665</w:t>
      </w:r>
    </w:p>
    <w:p w14:paraId="3DC4D1C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Ward, P., &amp; Williams, A. M. (2003). Perceptual and Cognitive Skill Development in Soccer : The Multidimensional Nature of Expert Performance.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25</w:t>
      </w:r>
      <w:r w:rsidRPr="00341B41">
        <w:rPr>
          <w:rFonts w:eastAsia="Times New Roman" w:cs="Times New Roman"/>
          <w:noProof/>
        </w:rPr>
        <w:t>, 93–111.</w:t>
      </w:r>
    </w:p>
    <w:p w14:paraId="42B144DE"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Ward, P., Williams, A. M., &amp; Bennett, S. J. (2002). Visual search and biological motion perception in tennis. </w:t>
      </w:r>
      <w:r w:rsidRPr="00341B41">
        <w:rPr>
          <w:rFonts w:eastAsia="Times New Roman" w:cs="Times New Roman"/>
          <w:i/>
          <w:iCs/>
          <w:noProof/>
        </w:rPr>
        <w:t>Research Quarterly for Exercise and Sport</w:t>
      </w:r>
      <w:r w:rsidRPr="00341B41">
        <w:rPr>
          <w:rFonts w:eastAsia="Times New Roman" w:cs="Times New Roman"/>
          <w:noProof/>
        </w:rPr>
        <w:t xml:space="preserve">, </w:t>
      </w:r>
      <w:r w:rsidRPr="00341B41">
        <w:rPr>
          <w:rFonts w:eastAsia="Times New Roman" w:cs="Times New Roman"/>
          <w:i/>
          <w:iCs/>
          <w:noProof/>
        </w:rPr>
        <w:t>73</w:t>
      </w:r>
      <w:r w:rsidRPr="00341B41">
        <w:rPr>
          <w:rFonts w:eastAsia="Times New Roman" w:cs="Times New Roman"/>
          <w:noProof/>
        </w:rPr>
        <w:t>(1), 107–12. http://doi.org/10.1080/02701367.2002.10608997</w:t>
      </w:r>
    </w:p>
    <w:p w14:paraId="25ABD69C"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Wetton, M., Hill, A., &amp; Horswill, M. S. (2011). The development and validation of a hazard perception test for use in driver licensing. </w:t>
      </w:r>
      <w:r w:rsidRPr="00341B41">
        <w:rPr>
          <w:rFonts w:eastAsia="Times New Roman" w:cs="Times New Roman"/>
          <w:i/>
          <w:iCs/>
          <w:noProof/>
        </w:rPr>
        <w:t>Accident Analysis and Prevention</w:t>
      </w:r>
      <w:r w:rsidRPr="00341B41">
        <w:rPr>
          <w:rFonts w:eastAsia="Times New Roman" w:cs="Times New Roman"/>
          <w:noProof/>
        </w:rPr>
        <w:t xml:space="preserve">, </w:t>
      </w:r>
      <w:r w:rsidRPr="00341B41">
        <w:rPr>
          <w:rFonts w:eastAsia="Times New Roman" w:cs="Times New Roman"/>
          <w:i/>
          <w:iCs/>
          <w:noProof/>
        </w:rPr>
        <w:t>43</w:t>
      </w:r>
      <w:r w:rsidRPr="00341B41">
        <w:rPr>
          <w:rFonts w:eastAsia="Times New Roman" w:cs="Times New Roman"/>
          <w:noProof/>
        </w:rPr>
        <w:t>(5), 1759–70. http://doi.org/10.1016/j.aap.2011.04.007</w:t>
      </w:r>
    </w:p>
    <w:p w14:paraId="4C54EFF8"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lastRenderedPageBreak/>
        <w:t xml:space="preserve">Wheaton, K. J., Thompson, J. C., Syngeniotis, A., Abbott, D. F., &amp; Puce, A. (2004). Viewing the motion of human body parts activates different regions of premotor, temporal, and parietal cortex. </w:t>
      </w:r>
      <w:r w:rsidRPr="00341B41">
        <w:rPr>
          <w:rFonts w:eastAsia="Times New Roman" w:cs="Times New Roman"/>
          <w:i/>
          <w:iCs/>
          <w:noProof/>
        </w:rPr>
        <w:t>NeuroImage</w:t>
      </w:r>
      <w:r w:rsidRPr="00341B41">
        <w:rPr>
          <w:rFonts w:eastAsia="Times New Roman" w:cs="Times New Roman"/>
          <w:noProof/>
        </w:rPr>
        <w:t xml:space="preserve">, </w:t>
      </w:r>
      <w:r w:rsidRPr="00341B41">
        <w:rPr>
          <w:rFonts w:eastAsia="Times New Roman" w:cs="Times New Roman"/>
          <w:i/>
          <w:iCs/>
          <w:noProof/>
        </w:rPr>
        <w:t>22</w:t>
      </w:r>
      <w:r w:rsidRPr="00341B41">
        <w:rPr>
          <w:rFonts w:eastAsia="Times New Roman" w:cs="Times New Roman"/>
          <w:noProof/>
        </w:rPr>
        <w:t>(1), 277–288. http://doi.org/10.1016/j.neuroimage.2003.12.043</w:t>
      </w:r>
    </w:p>
    <w:p w14:paraId="7186DA0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(2002). Visual search behaviour in sport. </w:t>
      </w:r>
      <w:r w:rsidRPr="00341B41">
        <w:rPr>
          <w:rFonts w:eastAsia="Times New Roman" w:cs="Times New Roman"/>
          <w:i/>
          <w:iCs/>
          <w:noProof/>
        </w:rPr>
        <w:t>Journal of Sports Sciences</w:t>
      </w:r>
      <w:r w:rsidRPr="00341B41">
        <w:rPr>
          <w:rFonts w:eastAsia="Times New Roman" w:cs="Times New Roman"/>
          <w:noProof/>
        </w:rPr>
        <w:t xml:space="preserve">, </w:t>
      </w:r>
      <w:r w:rsidRPr="00341B41">
        <w:rPr>
          <w:rFonts w:eastAsia="Times New Roman" w:cs="Times New Roman"/>
          <w:i/>
          <w:iCs/>
          <w:noProof/>
        </w:rPr>
        <w:t>20</w:t>
      </w:r>
      <w:r w:rsidRPr="00341B41">
        <w:rPr>
          <w:rFonts w:eastAsia="Times New Roman" w:cs="Times New Roman"/>
          <w:noProof/>
        </w:rPr>
        <w:t>(3), 169–170. http://doi.org/10.1080/026404102317284736</w:t>
      </w:r>
    </w:p>
    <w:p w14:paraId="5D663B3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&amp; Davids, K. (1995). Declarative knowledge in sport: A by-product of experience or a characteristic of expertise?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17</w:t>
      </w:r>
      <w:r w:rsidRPr="00341B41">
        <w:rPr>
          <w:rFonts w:eastAsia="Times New Roman" w:cs="Times New Roman"/>
          <w:noProof/>
        </w:rPr>
        <w:t>, 259–275.</w:t>
      </w:r>
    </w:p>
    <w:p w14:paraId="35F9B71F"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&amp; Davids, K. (1998). Visual Search Strategy, Selective Attention, and Expertise in Soccer. </w:t>
      </w:r>
      <w:r w:rsidRPr="00341B41">
        <w:rPr>
          <w:rFonts w:eastAsia="Times New Roman" w:cs="Times New Roman"/>
          <w:i/>
          <w:iCs/>
          <w:noProof/>
        </w:rPr>
        <w:t>Research Quarterly for Exercise and Sport</w:t>
      </w:r>
      <w:r w:rsidRPr="00341B41">
        <w:rPr>
          <w:rFonts w:eastAsia="Times New Roman" w:cs="Times New Roman"/>
          <w:noProof/>
        </w:rPr>
        <w:t xml:space="preserve">, </w:t>
      </w:r>
      <w:r w:rsidRPr="00341B41">
        <w:rPr>
          <w:rFonts w:eastAsia="Times New Roman" w:cs="Times New Roman"/>
          <w:i/>
          <w:iCs/>
          <w:noProof/>
        </w:rPr>
        <w:t>69</w:t>
      </w:r>
      <w:r w:rsidRPr="00341B41">
        <w:rPr>
          <w:rFonts w:eastAsia="Times New Roman" w:cs="Times New Roman"/>
          <w:noProof/>
        </w:rPr>
        <w:t>(2), 111–128. http://doi.org/10.1080/02701367.1998.10607677</w:t>
      </w:r>
    </w:p>
    <w:p w14:paraId="47F2DE7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&amp; Elliot, D. (1999). Anxiety, expertise, and visual search strategy in karate. </w:t>
      </w:r>
      <w:r w:rsidRPr="00341B41">
        <w:rPr>
          <w:rFonts w:eastAsia="Times New Roman" w:cs="Times New Roman"/>
          <w:i/>
          <w:iCs/>
          <w:noProof/>
        </w:rPr>
        <w:t>Journal of Sport and Exercise Psychology</w:t>
      </w:r>
      <w:r w:rsidRPr="00341B41">
        <w:rPr>
          <w:rFonts w:eastAsia="Times New Roman" w:cs="Times New Roman"/>
          <w:noProof/>
        </w:rPr>
        <w:t xml:space="preserve">, </w:t>
      </w:r>
      <w:r w:rsidRPr="00341B41">
        <w:rPr>
          <w:rFonts w:eastAsia="Times New Roman" w:cs="Times New Roman"/>
          <w:i/>
          <w:iCs/>
          <w:noProof/>
        </w:rPr>
        <w:t>21</w:t>
      </w:r>
      <w:r w:rsidRPr="00341B41">
        <w:rPr>
          <w:rFonts w:eastAsia="Times New Roman" w:cs="Times New Roman"/>
          <w:noProof/>
        </w:rPr>
        <w:t>(4), 362–375.</w:t>
      </w:r>
    </w:p>
    <w:p w14:paraId="4B4CD8D7"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&amp; Ericsson, K. A. (2005). Perceptual-cognitive expertise in sport: some considerations when applying the expert performance approach. </w:t>
      </w:r>
      <w:r w:rsidRPr="00341B41">
        <w:rPr>
          <w:rFonts w:eastAsia="Times New Roman" w:cs="Times New Roman"/>
          <w:i/>
          <w:iCs/>
          <w:noProof/>
        </w:rPr>
        <w:t>Human Movement Science</w:t>
      </w:r>
      <w:r w:rsidRPr="00341B41">
        <w:rPr>
          <w:rFonts w:eastAsia="Times New Roman" w:cs="Times New Roman"/>
          <w:noProof/>
        </w:rPr>
        <w:t xml:space="preserve">, </w:t>
      </w:r>
      <w:r w:rsidRPr="00341B41">
        <w:rPr>
          <w:rFonts w:eastAsia="Times New Roman" w:cs="Times New Roman"/>
          <w:i/>
          <w:iCs/>
          <w:noProof/>
        </w:rPr>
        <w:t>24</w:t>
      </w:r>
      <w:r w:rsidRPr="00341B41">
        <w:rPr>
          <w:rFonts w:eastAsia="Times New Roman" w:cs="Times New Roman"/>
          <w:noProof/>
        </w:rPr>
        <w:t>(3), 283–307. http://doi.org/10.1016/j.humov.2005.06.002</w:t>
      </w:r>
    </w:p>
    <w:p w14:paraId="5E277BA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Ford, P., Eccles, D., &amp; Ward, P. (2011). Perceptual - cognitive expertise in sport and its acquisition: Implications for applied cognitive psychology. </w:t>
      </w:r>
      <w:r w:rsidRPr="00341B41">
        <w:rPr>
          <w:rFonts w:eastAsia="Times New Roman" w:cs="Times New Roman"/>
          <w:i/>
          <w:iCs/>
          <w:noProof/>
        </w:rPr>
        <w:t>Applied Cognitive Psychology</w:t>
      </w:r>
      <w:r w:rsidRPr="00341B41">
        <w:rPr>
          <w:rFonts w:eastAsia="Times New Roman" w:cs="Times New Roman"/>
          <w:noProof/>
        </w:rPr>
        <w:t xml:space="preserve">, </w:t>
      </w:r>
      <w:r w:rsidRPr="00341B41">
        <w:rPr>
          <w:rFonts w:eastAsia="Times New Roman" w:cs="Times New Roman"/>
          <w:i/>
          <w:iCs/>
          <w:noProof/>
        </w:rPr>
        <w:t>442</w:t>
      </w:r>
      <w:r w:rsidRPr="00341B41">
        <w:rPr>
          <w:rFonts w:eastAsia="Times New Roman" w:cs="Times New Roman"/>
          <w:noProof/>
        </w:rPr>
        <w:t>, 432–442.</w:t>
      </w:r>
    </w:p>
    <w:p w14:paraId="2BBED34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Huys, R., Cañal-Bruland, R., &amp; Hagemann, N. (2009). The dynamical </w:t>
      </w:r>
      <w:r w:rsidRPr="00341B41">
        <w:rPr>
          <w:rFonts w:eastAsia="Times New Roman" w:cs="Times New Roman"/>
          <w:noProof/>
        </w:rPr>
        <w:lastRenderedPageBreak/>
        <w:t xml:space="preserve">information underpinning anticipation skill. </w:t>
      </w:r>
      <w:r w:rsidRPr="00341B41">
        <w:rPr>
          <w:rFonts w:eastAsia="Times New Roman" w:cs="Times New Roman"/>
          <w:i/>
          <w:iCs/>
          <w:noProof/>
        </w:rPr>
        <w:t>Human Movement Science</w:t>
      </w:r>
      <w:r w:rsidRPr="00341B41">
        <w:rPr>
          <w:rFonts w:eastAsia="Times New Roman" w:cs="Times New Roman"/>
          <w:noProof/>
        </w:rPr>
        <w:t xml:space="preserve">, </w:t>
      </w:r>
      <w:r w:rsidRPr="00341B41">
        <w:rPr>
          <w:rFonts w:eastAsia="Times New Roman" w:cs="Times New Roman"/>
          <w:i/>
          <w:iCs/>
          <w:noProof/>
        </w:rPr>
        <w:t>28</w:t>
      </w:r>
      <w:r w:rsidRPr="00341B41">
        <w:rPr>
          <w:rFonts w:eastAsia="Times New Roman" w:cs="Times New Roman"/>
          <w:noProof/>
        </w:rPr>
        <w:t>(3), 362–370. http://doi.org/10.1016/j.humov.2008.10.006</w:t>
      </w:r>
    </w:p>
    <w:p w14:paraId="52BC84C4"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Janelle, C. M., &amp; Davids, K. (2004). Constraints on the search for visual information. </w:t>
      </w:r>
      <w:r w:rsidRPr="00341B41">
        <w:rPr>
          <w:rFonts w:eastAsia="Times New Roman" w:cs="Times New Roman"/>
          <w:i/>
          <w:iCs/>
          <w:noProof/>
        </w:rPr>
        <w:t>International Journal of Sport and Exercise Psychology</w:t>
      </w:r>
      <w:r w:rsidRPr="00341B41">
        <w:rPr>
          <w:rFonts w:eastAsia="Times New Roman" w:cs="Times New Roman"/>
          <w:noProof/>
        </w:rPr>
        <w:t xml:space="preserve">, </w:t>
      </w:r>
      <w:r w:rsidRPr="00341B41">
        <w:rPr>
          <w:rFonts w:eastAsia="Times New Roman" w:cs="Times New Roman"/>
          <w:i/>
          <w:iCs/>
          <w:noProof/>
        </w:rPr>
        <w:t>2</w:t>
      </w:r>
      <w:r w:rsidRPr="00341B41">
        <w:rPr>
          <w:rFonts w:eastAsia="Times New Roman" w:cs="Times New Roman"/>
          <w:noProof/>
        </w:rPr>
        <w:t>, 301–318.</w:t>
      </w:r>
    </w:p>
    <w:p w14:paraId="253E269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Ward, P., &amp; Chapman, C. (2003). Training perceptual skill in field hockey: Is there transfer from the laboratory to the field? </w:t>
      </w:r>
      <w:r w:rsidRPr="00341B41">
        <w:rPr>
          <w:rFonts w:eastAsia="Times New Roman" w:cs="Times New Roman"/>
          <w:i/>
          <w:iCs/>
          <w:noProof/>
        </w:rPr>
        <w:t>Research Quarterly for Exercise and Sport</w:t>
      </w:r>
      <w:r w:rsidRPr="00341B41">
        <w:rPr>
          <w:rFonts w:eastAsia="Times New Roman" w:cs="Times New Roman"/>
          <w:noProof/>
        </w:rPr>
        <w:t xml:space="preserve">, </w:t>
      </w:r>
      <w:r w:rsidRPr="00341B41">
        <w:rPr>
          <w:rFonts w:eastAsia="Times New Roman" w:cs="Times New Roman"/>
          <w:i/>
          <w:iCs/>
          <w:noProof/>
        </w:rPr>
        <w:t>74</w:t>
      </w:r>
      <w:r w:rsidRPr="00341B41">
        <w:rPr>
          <w:rFonts w:eastAsia="Times New Roman" w:cs="Times New Roman"/>
          <w:noProof/>
        </w:rPr>
        <w:t>(1), 98–103. http://doi.org/10.1080/02701367.2003.10609068</w:t>
      </w:r>
    </w:p>
    <w:p w14:paraId="5C5B9BC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Williams, A. M., Ward, P., Knowles, J. M., &amp; Smeeton, N. J. (2002). Anticipation skill in a real-world task: measurement, training, and transfer in tennis. </w:t>
      </w:r>
      <w:r w:rsidRPr="00341B41">
        <w:rPr>
          <w:rFonts w:eastAsia="Times New Roman" w:cs="Times New Roman"/>
          <w:i/>
          <w:iCs/>
          <w:noProof/>
        </w:rPr>
        <w:t>Journal of Experimental Psychology: Applied</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(4), 259–270. http://doi.org/10.1037/1076-898X.8.4.259</w:t>
      </w:r>
    </w:p>
    <w:p w14:paraId="417476E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Wimshurst, Z. L., Sowden, P. T., &amp; Wright, M. (2015). Expert-novice differences in brain function of field hockey players. </w:t>
      </w:r>
      <w:r w:rsidRPr="00341B41">
        <w:rPr>
          <w:rFonts w:eastAsia="Times New Roman" w:cs="Times New Roman"/>
          <w:i/>
          <w:iCs/>
          <w:noProof/>
        </w:rPr>
        <w:t>Neuroscience</w:t>
      </w:r>
      <w:r w:rsidRPr="00341B41">
        <w:rPr>
          <w:rFonts w:eastAsia="Times New Roman" w:cs="Times New Roman"/>
          <w:noProof/>
        </w:rPr>
        <w:t xml:space="preserve">, </w:t>
      </w:r>
      <w:r w:rsidRPr="00341B41">
        <w:rPr>
          <w:rFonts w:eastAsia="Times New Roman" w:cs="Times New Roman"/>
          <w:i/>
          <w:iCs/>
          <w:noProof/>
        </w:rPr>
        <w:t>315</w:t>
      </w:r>
      <w:r w:rsidRPr="00341B41">
        <w:rPr>
          <w:rFonts w:eastAsia="Times New Roman" w:cs="Times New Roman"/>
          <w:noProof/>
        </w:rPr>
        <w:t>, 31–44. http://doi.org/10.1016/j.neuroscience.2015.11.064</w:t>
      </w:r>
    </w:p>
    <w:p w14:paraId="2C02C36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Wolf, S., Brölz, E., Scholz, D., Ramos-Murguialday, A., Keune, P. M., Hautzinger, M., … Strehl, U. (2014). Winning the game: brain processes in expert, young elite and amateur table tennis players. </w:t>
      </w:r>
      <w:r w:rsidRPr="00341B41">
        <w:rPr>
          <w:rFonts w:eastAsia="Times New Roman" w:cs="Times New Roman"/>
          <w:i/>
          <w:iCs/>
          <w:noProof/>
        </w:rPr>
        <w:t>Frontiers in Behavioral Neuroscience</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(October), 1–12. http://doi.org/10.3389/fnbeh.2014.00370</w:t>
      </w:r>
    </w:p>
    <w:p w14:paraId="010E27F3"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Wong, F. K., Keung, J. H., Lau, N. M., Ng, D. K., Chung, J. W., &amp; Chow, D. H. (2014). Effects of Body Mass Index and Full Body Kinematics on Tennis Serve Speed. </w:t>
      </w:r>
      <w:r w:rsidRPr="00341B41">
        <w:rPr>
          <w:rFonts w:eastAsia="Times New Roman" w:cs="Times New Roman"/>
          <w:i/>
          <w:iCs/>
          <w:noProof/>
        </w:rPr>
        <w:t>Journal of Human Kinetics</w:t>
      </w:r>
      <w:r w:rsidRPr="00341B41">
        <w:rPr>
          <w:rFonts w:eastAsia="Times New Roman" w:cs="Times New Roman"/>
          <w:noProof/>
        </w:rPr>
        <w:t xml:space="preserve">, </w:t>
      </w:r>
      <w:r w:rsidRPr="00341B41">
        <w:rPr>
          <w:rFonts w:eastAsia="Times New Roman" w:cs="Times New Roman"/>
          <w:i/>
          <w:iCs/>
          <w:noProof/>
        </w:rPr>
        <w:t>40</w:t>
      </w:r>
      <w:r w:rsidRPr="00341B41">
        <w:rPr>
          <w:rFonts w:eastAsia="Times New Roman" w:cs="Times New Roman"/>
          <w:noProof/>
        </w:rPr>
        <w:t>(1), 21–28. http://doi.org/10.2478/hukin-2014-0003</w:t>
      </w:r>
    </w:p>
    <w:p w14:paraId="171F423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Wright, M. J., Bishop, D. T., Jackson, R. C., &amp; Abernethy, B. (2010). Functional MRI </w:t>
      </w:r>
      <w:r w:rsidRPr="00341B41">
        <w:rPr>
          <w:rFonts w:eastAsia="Times New Roman" w:cs="Times New Roman"/>
          <w:noProof/>
        </w:rPr>
        <w:lastRenderedPageBreak/>
        <w:t xml:space="preserve">reveals expert-novice differences during sport-related anticipation. </w:t>
      </w:r>
      <w:r w:rsidRPr="00341B41">
        <w:rPr>
          <w:rFonts w:eastAsia="Times New Roman" w:cs="Times New Roman"/>
          <w:i/>
          <w:iCs/>
          <w:noProof/>
        </w:rPr>
        <w:t>Neuroreport</w:t>
      </w:r>
      <w:r w:rsidRPr="00341B41">
        <w:rPr>
          <w:rFonts w:eastAsia="Times New Roman" w:cs="Times New Roman"/>
          <w:noProof/>
        </w:rPr>
        <w:t xml:space="preserve">, </w:t>
      </w:r>
      <w:r w:rsidRPr="00341B41">
        <w:rPr>
          <w:rFonts w:eastAsia="Times New Roman" w:cs="Times New Roman"/>
          <w:i/>
          <w:iCs/>
          <w:noProof/>
        </w:rPr>
        <w:t>21</w:t>
      </w:r>
      <w:r w:rsidRPr="00341B41">
        <w:rPr>
          <w:rFonts w:eastAsia="Times New Roman" w:cs="Times New Roman"/>
          <w:noProof/>
        </w:rPr>
        <w:t>(2), 94–8. http://doi.org/10.1097/WNR.0b013e328333dff2</w:t>
      </w:r>
    </w:p>
    <w:p w14:paraId="253CD10A"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Wright, M. J., Bishop, D. T., Jackson, R. C., &amp; Abernethy, B. (2011). Cortical fMRI activation to opponents’ body kinematics in sport-related anticipation: expert-novice differences with normal and point-light video. </w:t>
      </w:r>
      <w:r w:rsidRPr="00341B41">
        <w:rPr>
          <w:rFonts w:eastAsia="Times New Roman" w:cs="Times New Roman"/>
          <w:i/>
          <w:iCs/>
          <w:noProof/>
        </w:rPr>
        <w:t>Neuroscience Letters</w:t>
      </w:r>
      <w:r w:rsidRPr="00341B41">
        <w:rPr>
          <w:rFonts w:eastAsia="Times New Roman" w:cs="Times New Roman"/>
          <w:noProof/>
        </w:rPr>
        <w:t xml:space="preserve">, </w:t>
      </w:r>
      <w:r w:rsidRPr="00341B41">
        <w:rPr>
          <w:rFonts w:eastAsia="Times New Roman" w:cs="Times New Roman"/>
          <w:i/>
          <w:iCs/>
          <w:noProof/>
        </w:rPr>
        <w:t>500</w:t>
      </w:r>
      <w:r w:rsidRPr="00341B41">
        <w:rPr>
          <w:rFonts w:eastAsia="Times New Roman" w:cs="Times New Roman"/>
          <w:noProof/>
        </w:rPr>
        <w:t>(3), 216–21. http://doi.org/10.1016/j.neulet.2011.06.045</w:t>
      </w:r>
    </w:p>
    <w:p w14:paraId="292C386D"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Wright, M. J., Bishop, D. T., Jackson, R. C., &amp; Abernethy, B. (2013). Brain regions concerned with the identification of deceptive soccer moves by higher-skilled and lower-skilled players. </w:t>
      </w:r>
      <w:r w:rsidRPr="00341B41">
        <w:rPr>
          <w:rFonts w:eastAsia="Times New Roman" w:cs="Times New Roman"/>
          <w:i/>
          <w:iCs/>
          <w:noProof/>
        </w:rPr>
        <w:t>Frontiers in Human Neuroscience</w:t>
      </w:r>
      <w:r w:rsidRPr="00341B41">
        <w:rPr>
          <w:rFonts w:eastAsia="Times New Roman" w:cs="Times New Roman"/>
          <w:noProof/>
        </w:rPr>
        <w:t xml:space="preserve">, </w:t>
      </w:r>
      <w:r w:rsidRPr="00341B41">
        <w:rPr>
          <w:rFonts w:eastAsia="Times New Roman" w:cs="Times New Roman"/>
          <w:i/>
          <w:iCs/>
          <w:noProof/>
        </w:rPr>
        <w:t>7</w:t>
      </w:r>
      <w:r w:rsidRPr="00341B41">
        <w:rPr>
          <w:rFonts w:eastAsia="Times New Roman" w:cs="Times New Roman"/>
          <w:noProof/>
        </w:rPr>
        <w:t>(851). http://doi.org/10.3389/fnhum.2013.00851</w:t>
      </w:r>
    </w:p>
    <w:p w14:paraId="207D69E1"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Wright, M. J., &amp; Jackson, R. C. (2007). Brain regions concerned with perceptual skills in tennis: an fMRI study. </w:t>
      </w:r>
      <w:r w:rsidRPr="00341B41">
        <w:rPr>
          <w:rFonts w:eastAsia="Times New Roman" w:cs="Times New Roman"/>
          <w:i/>
          <w:iCs/>
          <w:noProof/>
        </w:rPr>
        <w:t>International Journal of Psychophysiology</w:t>
      </w:r>
      <w:r w:rsidRPr="00341B41">
        <w:rPr>
          <w:rFonts w:eastAsia="Times New Roman" w:cs="Times New Roman"/>
          <w:noProof/>
        </w:rPr>
        <w:t xml:space="preserve">, </w:t>
      </w:r>
      <w:r w:rsidRPr="00341B41">
        <w:rPr>
          <w:rFonts w:eastAsia="Times New Roman" w:cs="Times New Roman"/>
          <w:i/>
          <w:iCs/>
          <w:noProof/>
        </w:rPr>
        <w:t>63</w:t>
      </w:r>
      <w:r w:rsidRPr="00341B41">
        <w:rPr>
          <w:rFonts w:eastAsia="Times New Roman" w:cs="Times New Roman"/>
          <w:noProof/>
        </w:rPr>
        <w:t>(2), 214–20. http://doi.org/10.1016/j.ijpsycho.2006.03.018</w:t>
      </w:r>
    </w:p>
    <w:p w14:paraId="0653A862" w14:textId="77777777" w:rsidR="001846B6" w:rsidRPr="00341B41" w:rsidRDefault="001846B6" w:rsidP="001846B6">
      <w:pPr>
        <w:widowControl w:val="0"/>
        <w:autoSpaceDE w:val="0"/>
        <w:autoSpaceDN w:val="0"/>
        <w:adjustRightInd w:val="0"/>
        <w:ind w:left="480" w:hanging="480"/>
        <w:rPr>
          <w:rFonts w:eastAsia="Times New Roman" w:cs="Times New Roman"/>
          <w:noProof/>
        </w:rPr>
      </w:pPr>
      <w:r w:rsidRPr="00341B41">
        <w:rPr>
          <w:rFonts w:eastAsia="Times New Roman" w:cs="Times New Roman"/>
          <w:noProof/>
        </w:rPr>
        <w:t xml:space="preserve">Wu, Y., Zeng, Y., Zhang, L., Wang, S., Wang, D., Tan, X., … Zhang, J. (2013). The role of visual perception in action anticipation in basketball athletes. </w:t>
      </w:r>
      <w:r w:rsidRPr="00341B41">
        <w:rPr>
          <w:rFonts w:eastAsia="Times New Roman" w:cs="Times New Roman"/>
          <w:i/>
          <w:iCs/>
          <w:noProof/>
        </w:rPr>
        <w:t>Neuroscience</w:t>
      </w:r>
      <w:r w:rsidRPr="00341B41">
        <w:rPr>
          <w:rFonts w:eastAsia="Times New Roman" w:cs="Times New Roman"/>
          <w:noProof/>
        </w:rPr>
        <w:t xml:space="preserve">, </w:t>
      </w:r>
      <w:r w:rsidRPr="00341B41">
        <w:rPr>
          <w:rFonts w:eastAsia="Times New Roman" w:cs="Times New Roman"/>
          <w:i/>
          <w:iCs/>
          <w:noProof/>
        </w:rPr>
        <w:t>237</w:t>
      </w:r>
      <w:r w:rsidRPr="00341B41">
        <w:rPr>
          <w:rFonts w:eastAsia="Times New Roman" w:cs="Times New Roman"/>
          <w:noProof/>
        </w:rPr>
        <w:t>, 29–41. http://doi.org/10.1016/j.neuroscience.2013.01.048</w:t>
      </w:r>
    </w:p>
    <w:p w14:paraId="526F65F2" w14:textId="77777777" w:rsidR="001846B6" w:rsidRPr="00341B41" w:rsidRDefault="001846B6" w:rsidP="001846B6">
      <w:pPr>
        <w:widowControl w:val="0"/>
        <w:autoSpaceDE w:val="0"/>
        <w:autoSpaceDN w:val="0"/>
        <w:adjustRightInd w:val="0"/>
        <w:ind w:left="480" w:hanging="480"/>
        <w:rPr>
          <w:rFonts w:cs="Times New Roman"/>
          <w:noProof/>
        </w:rPr>
      </w:pPr>
      <w:r w:rsidRPr="00341B41">
        <w:rPr>
          <w:rFonts w:eastAsia="Times New Roman" w:cs="Times New Roman"/>
          <w:noProof/>
        </w:rPr>
        <w:t xml:space="preserve">Zelinsky, G. J., Rao, R. P. N., Hayhoe, M. M., &amp; Ballard, D. H. (1997). Eye Movements Reveal the Spatiotemporal Dynamics of Visual Search. </w:t>
      </w:r>
      <w:r w:rsidRPr="00341B41">
        <w:rPr>
          <w:rFonts w:eastAsia="Times New Roman" w:cs="Times New Roman"/>
          <w:i/>
          <w:iCs/>
          <w:noProof/>
        </w:rPr>
        <w:t xml:space="preserve">Psychological Science </w:t>
      </w:r>
      <w:r w:rsidRPr="00341B41">
        <w:rPr>
          <w:rFonts w:eastAsia="Times New Roman" w:cs="Times New Roman"/>
          <w:noProof/>
        </w:rPr>
        <w:t xml:space="preserve">, </w:t>
      </w:r>
      <w:r w:rsidRPr="00341B41">
        <w:rPr>
          <w:rFonts w:eastAsia="Times New Roman" w:cs="Times New Roman"/>
          <w:i/>
          <w:iCs/>
          <w:noProof/>
        </w:rPr>
        <w:t>8</w:t>
      </w:r>
      <w:r w:rsidRPr="00341B41">
        <w:rPr>
          <w:rFonts w:eastAsia="Times New Roman" w:cs="Times New Roman"/>
          <w:noProof/>
        </w:rPr>
        <w:t>(6), 448–453. http://doi.org/10.1111/j.1467-9280.1997.tb00459.x</w:t>
      </w:r>
    </w:p>
    <w:p w14:paraId="43A5FFED" w14:textId="73B2E058" w:rsidR="007A7E98" w:rsidRPr="00341B41" w:rsidRDefault="007A7E98" w:rsidP="001846B6">
      <w:pPr>
        <w:widowControl w:val="0"/>
        <w:autoSpaceDE w:val="0"/>
        <w:autoSpaceDN w:val="0"/>
        <w:adjustRightInd w:val="0"/>
        <w:ind w:left="480" w:hanging="480"/>
        <w:sectPr w:rsidR="007A7E98" w:rsidRPr="00341B41" w:rsidSect="00805FAB">
          <w:pgSz w:w="12240" w:h="15840"/>
          <w:pgMar w:top="1440" w:right="1138" w:bottom="1440" w:left="2275" w:header="720" w:footer="720" w:gutter="0"/>
          <w:cols w:space="720"/>
          <w:titlePg/>
          <w:docGrid w:linePitch="360"/>
        </w:sectPr>
      </w:pPr>
      <w:r w:rsidRPr="00341B41">
        <w:fldChar w:fldCharType="end"/>
      </w:r>
    </w:p>
    <w:p w14:paraId="52781C44" w14:textId="349BC805" w:rsidR="007A7E98" w:rsidRPr="00341B41" w:rsidRDefault="007A7E98" w:rsidP="007A7E98">
      <w:pPr>
        <w:pStyle w:val="Heading1"/>
      </w:pPr>
      <w:bookmarkStart w:id="129" w:name="_Toc486260909"/>
      <w:r w:rsidRPr="00341B41">
        <w:lastRenderedPageBreak/>
        <w:t>Appendix A1 – Questionnaire used to assess level of tennis experience</w:t>
      </w:r>
      <w:bookmarkEnd w:id="129"/>
    </w:p>
    <w:p w14:paraId="646D3F7F" w14:textId="77777777" w:rsidR="007A7E98" w:rsidRPr="00341B41" w:rsidRDefault="007A7E98" w:rsidP="00EB35A1">
      <w:pPr>
        <w:pStyle w:val="NoSpacing"/>
      </w:pPr>
      <w:r w:rsidRPr="00341B41">
        <w:t>Sports experience questionnaire</w:t>
      </w:r>
    </w:p>
    <w:p w14:paraId="4E29D589" w14:textId="77777777" w:rsidR="007A7E98" w:rsidRPr="00341B41" w:rsidRDefault="007A7E98" w:rsidP="00EB35A1">
      <w:pPr>
        <w:pStyle w:val="NoSpacing"/>
      </w:pPr>
      <w:r w:rsidRPr="00341B41">
        <w:t xml:space="preserve">These questions will assess your experience with competing in and watching sports. Please try to answer the questions as accurately as possible. </w:t>
      </w:r>
    </w:p>
    <w:tbl>
      <w:tblPr>
        <w:tblStyle w:val="TableGrid"/>
        <w:tblpPr w:leftFromText="180" w:rightFromText="180" w:vertAnchor="text" w:horzAnchor="margin" w:tblpY="62"/>
        <w:tblW w:w="8265" w:type="dxa"/>
        <w:tblLayout w:type="fixed"/>
        <w:tblLook w:val="04A0" w:firstRow="1" w:lastRow="0" w:firstColumn="1" w:lastColumn="0" w:noHBand="0" w:noVBand="1"/>
      </w:tblPr>
      <w:tblGrid>
        <w:gridCol w:w="641"/>
        <w:gridCol w:w="4001"/>
        <w:gridCol w:w="773"/>
        <w:gridCol w:w="1161"/>
        <w:gridCol w:w="771"/>
        <w:gridCol w:w="906"/>
        <w:gridCol w:w="12"/>
      </w:tblGrid>
      <w:tr w:rsidR="007A7E98" w:rsidRPr="00341B41" w14:paraId="1D9EF6F9" w14:textId="77777777" w:rsidTr="007A7E98">
        <w:trPr>
          <w:gridAfter w:val="1"/>
          <w:wAfter w:w="12" w:type="dxa"/>
          <w:trHeight w:val="591"/>
        </w:trPr>
        <w:tc>
          <w:tcPr>
            <w:tcW w:w="640" w:type="dxa"/>
            <w:tcBorders>
              <w:top w:val="single" w:sz="4" w:space="0" w:color="auto"/>
              <w:left w:val="single" w:sz="4" w:space="0" w:color="auto"/>
              <w:bottom w:val="single" w:sz="4" w:space="0" w:color="auto"/>
              <w:right w:val="single" w:sz="4" w:space="0" w:color="auto"/>
            </w:tcBorders>
            <w:hideMark/>
          </w:tcPr>
          <w:p w14:paraId="35F1BFE9" w14:textId="77777777" w:rsidR="007A7E98" w:rsidRPr="00341B41" w:rsidRDefault="007A7E98" w:rsidP="00EB35A1">
            <w:pPr>
              <w:pStyle w:val="NoSpacing"/>
              <w:rPr>
                <w:sz w:val="20"/>
              </w:rPr>
            </w:pPr>
            <w:r w:rsidRPr="00341B41">
              <w:rPr>
                <w:sz w:val="20"/>
              </w:rPr>
              <w:t>Q1</w:t>
            </w:r>
          </w:p>
        </w:tc>
        <w:tc>
          <w:tcPr>
            <w:tcW w:w="3999" w:type="dxa"/>
            <w:tcBorders>
              <w:top w:val="single" w:sz="4" w:space="0" w:color="auto"/>
              <w:left w:val="single" w:sz="4" w:space="0" w:color="auto"/>
              <w:bottom w:val="single" w:sz="4" w:space="0" w:color="auto"/>
              <w:right w:val="single" w:sz="4" w:space="0" w:color="auto"/>
            </w:tcBorders>
            <w:vAlign w:val="center"/>
          </w:tcPr>
          <w:p w14:paraId="165C3101" w14:textId="77777777" w:rsidR="007A7E98" w:rsidRPr="00341B41" w:rsidRDefault="007A7E98" w:rsidP="00EB35A1">
            <w:pPr>
              <w:pStyle w:val="NoSpacing"/>
              <w:rPr>
                <w:sz w:val="20"/>
              </w:rPr>
            </w:pPr>
            <w:r w:rsidRPr="00341B41">
              <w:rPr>
                <w:sz w:val="20"/>
              </w:rPr>
              <w:t>Are you?</w:t>
            </w:r>
          </w:p>
          <w:p w14:paraId="69D0A14B" w14:textId="77777777" w:rsidR="007A7E98" w:rsidRPr="00341B41" w:rsidRDefault="007A7E98" w:rsidP="00EB35A1">
            <w:pPr>
              <w:pStyle w:val="NoSpacing"/>
              <w:rPr>
                <w:sz w:val="20"/>
              </w:rPr>
            </w:pPr>
          </w:p>
        </w:tc>
        <w:tc>
          <w:tcPr>
            <w:tcW w:w="773" w:type="dxa"/>
            <w:tcBorders>
              <w:top w:val="single" w:sz="4" w:space="0" w:color="auto"/>
              <w:left w:val="single" w:sz="4" w:space="0" w:color="auto"/>
              <w:bottom w:val="single" w:sz="4" w:space="0" w:color="auto"/>
              <w:right w:val="single" w:sz="4" w:space="0" w:color="auto"/>
            </w:tcBorders>
            <w:vAlign w:val="center"/>
          </w:tcPr>
          <w:p w14:paraId="03C8A15A"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42E2AAC6" w14:textId="77777777" w:rsidR="007A7E98" w:rsidRPr="00341B41" w:rsidRDefault="007A7E98" w:rsidP="00EB35A1">
            <w:pPr>
              <w:pStyle w:val="NoSpacing"/>
              <w:rPr>
                <w:sz w:val="20"/>
              </w:rPr>
            </w:pPr>
            <w:r w:rsidRPr="00341B41">
              <w:rPr>
                <w:sz w:val="20"/>
              </w:rPr>
              <w:t>Female</w:t>
            </w:r>
          </w:p>
        </w:tc>
        <w:tc>
          <w:tcPr>
            <w:tcW w:w="771" w:type="dxa"/>
            <w:tcBorders>
              <w:top w:val="single" w:sz="4" w:space="0" w:color="auto"/>
              <w:left w:val="single" w:sz="4" w:space="0" w:color="auto"/>
              <w:bottom w:val="single" w:sz="4" w:space="0" w:color="auto"/>
              <w:right w:val="single" w:sz="4" w:space="0" w:color="auto"/>
            </w:tcBorders>
            <w:vAlign w:val="center"/>
          </w:tcPr>
          <w:p w14:paraId="0CBE46CC"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7AAEC3EB" w14:textId="77777777" w:rsidR="007A7E98" w:rsidRPr="00341B41" w:rsidRDefault="007A7E98" w:rsidP="00EB35A1">
            <w:pPr>
              <w:pStyle w:val="NoSpacing"/>
              <w:rPr>
                <w:sz w:val="20"/>
              </w:rPr>
            </w:pPr>
            <w:r w:rsidRPr="00341B41">
              <w:rPr>
                <w:sz w:val="20"/>
              </w:rPr>
              <w:t>Male</w:t>
            </w:r>
          </w:p>
        </w:tc>
      </w:tr>
      <w:tr w:rsidR="007A7E98" w:rsidRPr="00341B41" w14:paraId="19F2E75A" w14:textId="77777777" w:rsidTr="007A7E98">
        <w:trPr>
          <w:trHeight w:val="605"/>
        </w:trPr>
        <w:tc>
          <w:tcPr>
            <w:tcW w:w="640" w:type="dxa"/>
            <w:tcBorders>
              <w:top w:val="single" w:sz="4" w:space="0" w:color="auto"/>
              <w:left w:val="single" w:sz="4" w:space="0" w:color="auto"/>
              <w:bottom w:val="single" w:sz="4" w:space="0" w:color="auto"/>
              <w:right w:val="single" w:sz="4" w:space="0" w:color="auto"/>
            </w:tcBorders>
            <w:hideMark/>
          </w:tcPr>
          <w:p w14:paraId="767577CF" w14:textId="77777777" w:rsidR="007A7E98" w:rsidRPr="00341B41" w:rsidRDefault="007A7E98" w:rsidP="00EB35A1">
            <w:pPr>
              <w:pStyle w:val="NoSpacing"/>
              <w:rPr>
                <w:sz w:val="20"/>
              </w:rPr>
            </w:pPr>
            <w:r w:rsidRPr="00341B41">
              <w:rPr>
                <w:sz w:val="20"/>
              </w:rPr>
              <w:t>Q2</w:t>
            </w:r>
          </w:p>
        </w:tc>
        <w:tc>
          <w:tcPr>
            <w:tcW w:w="3999" w:type="dxa"/>
            <w:tcBorders>
              <w:top w:val="single" w:sz="4" w:space="0" w:color="auto"/>
              <w:left w:val="single" w:sz="4" w:space="0" w:color="auto"/>
              <w:bottom w:val="single" w:sz="4" w:space="0" w:color="auto"/>
              <w:right w:val="single" w:sz="4" w:space="0" w:color="auto"/>
            </w:tcBorders>
            <w:vAlign w:val="center"/>
          </w:tcPr>
          <w:p w14:paraId="138239BC" w14:textId="77777777" w:rsidR="007A7E98" w:rsidRPr="00341B41" w:rsidRDefault="007A7E98" w:rsidP="00EB35A1">
            <w:pPr>
              <w:pStyle w:val="NoSpacing"/>
              <w:rPr>
                <w:sz w:val="20"/>
              </w:rPr>
            </w:pPr>
            <w:r w:rsidRPr="00341B41">
              <w:rPr>
                <w:sz w:val="20"/>
              </w:rPr>
              <w:t>What is your age?</w:t>
            </w:r>
          </w:p>
          <w:p w14:paraId="05EDACC1" w14:textId="77777777" w:rsidR="007A7E98" w:rsidRPr="00341B41" w:rsidRDefault="007A7E98" w:rsidP="00EB35A1">
            <w:pPr>
              <w:pStyle w:val="NoSpacing"/>
              <w:rPr>
                <w:sz w:val="20"/>
              </w:rPr>
            </w:pP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0A091839" w14:textId="77777777" w:rsidR="007A7E98" w:rsidRPr="00341B41" w:rsidRDefault="007A7E98" w:rsidP="00EB35A1">
            <w:pPr>
              <w:pStyle w:val="NoSpacing"/>
              <w:rPr>
                <w:sz w:val="20"/>
              </w:rPr>
            </w:pPr>
          </w:p>
        </w:tc>
      </w:tr>
      <w:tr w:rsidR="007A7E98" w:rsidRPr="00341B41" w14:paraId="35B5A102" w14:textId="77777777" w:rsidTr="007A7E98">
        <w:trPr>
          <w:trHeight w:val="457"/>
        </w:trPr>
        <w:tc>
          <w:tcPr>
            <w:tcW w:w="640" w:type="dxa"/>
            <w:tcBorders>
              <w:top w:val="single" w:sz="4" w:space="0" w:color="auto"/>
              <w:left w:val="single" w:sz="4" w:space="0" w:color="auto"/>
              <w:bottom w:val="single" w:sz="4" w:space="0" w:color="auto"/>
              <w:right w:val="single" w:sz="4" w:space="0" w:color="auto"/>
            </w:tcBorders>
            <w:hideMark/>
          </w:tcPr>
          <w:p w14:paraId="16A2145B" w14:textId="77777777" w:rsidR="007A7E98" w:rsidRPr="00341B41" w:rsidRDefault="007A7E98" w:rsidP="00EB35A1">
            <w:pPr>
              <w:pStyle w:val="NoSpacing"/>
              <w:rPr>
                <w:sz w:val="20"/>
              </w:rPr>
            </w:pPr>
            <w:r w:rsidRPr="00341B41">
              <w:rPr>
                <w:sz w:val="20"/>
              </w:rPr>
              <w:t>Q3</w:t>
            </w:r>
          </w:p>
        </w:tc>
        <w:tc>
          <w:tcPr>
            <w:tcW w:w="3999" w:type="dxa"/>
            <w:tcBorders>
              <w:top w:val="single" w:sz="4" w:space="0" w:color="auto"/>
              <w:left w:val="single" w:sz="4" w:space="0" w:color="auto"/>
              <w:bottom w:val="single" w:sz="4" w:space="0" w:color="auto"/>
              <w:right w:val="single" w:sz="4" w:space="0" w:color="auto"/>
            </w:tcBorders>
            <w:vAlign w:val="center"/>
            <w:hideMark/>
          </w:tcPr>
          <w:p w14:paraId="62F3A46C" w14:textId="77777777" w:rsidR="007A7E98" w:rsidRPr="00341B41" w:rsidRDefault="007A7E98" w:rsidP="00EB35A1">
            <w:pPr>
              <w:pStyle w:val="NoSpacing"/>
              <w:rPr>
                <w:sz w:val="20"/>
              </w:rPr>
            </w:pPr>
            <w:r w:rsidRPr="00341B41">
              <w:rPr>
                <w:sz w:val="20"/>
              </w:rPr>
              <w:t xml:space="preserve">What is your highest educational attainment? (e.g. A-level, Bachelor, Masters </w:t>
            </w:r>
            <w:proofErr w:type="spellStart"/>
            <w:r w:rsidRPr="00341B41">
              <w:rPr>
                <w:sz w:val="20"/>
              </w:rPr>
              <w:t>etc</w:t>
            </w:r>
            <w:proofErr w:type="spellEnd"/>
            <w:r w:rsidRPr="00341B41">
              <w:rPr>
                <w:sz w:val="20"/>
              </w:rPr>
              <w:t>)</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37F7BA5F" w14:textId="77777777" w:rsidR="007A7E98" w:rsidRPr="00341B41" w:rsidRDefault="007A7E98" w:rsidP="00EB35A1">
            <w:pPr>
              <w:pStyle w:val="NoSpacing"/>
              <w:rPr>
                <w:sz w:val="20"/>
              </w:rPr>
            </w:pPr>
          </w:p>
        </w:tc>
      </w:tr>
      <w:tr w:rsidR="007A7E98" w:rsidRPr="00341B41" w14:paraId="2F0C8404" w14:textId="77777777" w:rsidTr="007A7E98">
        <w:trPr>
          <w:trHeight w:val="887"/>
        </w:trPr>
        <w:tc>
          <w:tcPr>
            <w:tcW w:w="8262" w:type="dxa"/>
            <w:gridSpan w:val="7"/>
            <w:tcBorders>
              <w:top w:val="single" w:sz="4" w:space="0" w:color="auto"/>
              <w:left w:val="single" w:sz="4" w:space="0" w:color="auto"/>
              <w:bottom w:val="single" w:sz="4" w:space="0" w:color="auto"/>
              <w:right w:val="single" w:sz="4" w:space="0" w:color="auto"/>
            </w:tcBorders>
          </w:tcPr>
          <w:p w14:paraId="13EEA30B" w14:textId="77777777" w:rsidR="007A7E98" w:rsidRPr="00341B41" w:rsidRDefault="007A7E98" w:rsidP="00EB35A1">
            <w:pPr>
              <w:pStyle w:val="NoSpacing"/>
              <w:rPr>
                <w:sz w:val="20"/>
              </w:rPr>
            </w:pPr>
          </w:p>
          <w:p w14:paraId="44F1A441" w14:textId="77777777" w:rsidR="007A7E98" w:rsidRPr="00341B41" w:rsidRDefault="007A7E98" w:rsidP="00EB35A1">
            <w:pPr>
              <w:pStyle w:val="NoSpacing"/>
              <w:rPr>
                <w:sz w:val="20"/>
              </w:rPr>
            </w:pPr>
            <w:r w:rsidRPr="00341B41">
              <w:rPr>
                <w:sz w:val="20"/>
              </w:rPr>
              <w:t>These questions refer to your tennis playing experience. If you have NEVER played tennis, please go to Q16.</w:t>
            </w:r>
          </w:p>
          <w:p w14:paraId="0537217E" w14:textId="77777777" w:rsidR="007A7E98" w:rsidRPr="00341B41" w:rsidRDefault="007A7E98" w:rsidP="00EB35A1">
            <w:pPr>
              <w:pStyle w:val="NoSpacing"/>
              <w:rPr>
                <w:sz w:val="20"/>
              </w:rPr>
            </w:pPr>
          </w:p>
        </w:tc>
      </w:tr>
      <w:tr w:rsidR="007A7E98" w:rsidRPr="00341B41" w14:paraId="150F9CD7" w14:textId="77777777" w:rsidTr="007A7E98">
        <w:trPr>
          <w:trHeight w:val="457"/>
        </w:trPr>
        <w:tc>
          <w:tcPr>
            <w:tcW w:w="640" w:type="dxa"/>
            <w:tcBorders>
              <w:top w:val="single" w:sz="4" w:space="0" w:color="auto"/>
              <w:left w:val="single" w:sz="4" w:space="0" w:color="auto"/>
              <w:bottom w:val="single" w:sz="4" w:space="0" w:color="auto"/>
              <w:right w:val="single" w:sz="4" w:space="0" w:color="auto"/>
            </w:tcBorders>
            <w:hideMark/>
          </w:tcPr>
          <w:p w14:paraId="0E314B7F" w14:textId="77777777" w:rsidR="007A7E98" w:rsidRPr="00341B41" w:rsidRDefault="007A7E98" w:rsidP="00EB35A1">
            <w:pPr>
              <w:pStyle w:val="NoSpacing"/>
              <w:rPr>
                <w:sz w:val="20"/>
              </w:rPr>
            </w:pPr>
            <w:r w:rsidRPr="00341B41">
              <w:rPr>
                <w:sz w:val="20"/>
              </w:rPr>
              <w:t>Q4</w:t>
            </w:r>
          </w:p>
        </w:tc>
        <w:tc>
          <w:tcPr>
            <w:tcW w:w="3999" w:type="dxa"/>
            <w:tcBorders>
              <w:top w:val="single" w:sz="4" w:space="0" w:color="auto"/>
              <w:left w:val="single" w:sz="4" w:space="0" w:color="auto"/>
              <w:bottom w:val="single" w:sz="4" w:space="0" w:color="auto"/>
              <w:right w:val="single" w:sz="4" w:space="0" w:color="auto"/>
            </w:tcBorders>
            <w:vAlign w:val="center"/>
            <w:hideMark/>
          </w:tcPr>
          <w:p w14:paraId="142A09E7" w14:textId="77777777" w:rsidR="007A7E98" w:rsidRPr="00341B41" w:rsidRDefault="007A7E98" w:rsidP="00EB35A1">
            <w:pPr>
              <w:pStyle w:val="NoSpacing"/>
              <w:rPr>
                <w:sz w:val="20"/>
              </w:rPr>
            </w:pPr>
            <w:r w:rsidRPr="00341B41">
              <w:rPr>
                <w:sz w:val="20"/>
              </w:rPr>
              <w:t>What was your age when you first started playing tennis?</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2BCA9053" w14:textId="77777777" w:rsidR="007A7E98" w:rsidRPr="00341B41" w:rsidRDefault="007A7E98" w:rsidP="00EB35A1">
            <w:pPr>
              <w:pStyle w:val="NoSpacing"/>
              <w:rPr>
                <w:sz w:val="20"/>
              </w:rPr>
            </w:pPr>
          </w:p>
        </w:tc>
      </w:tr>
      <w:tr w:rsidR="007A7E98" w:rsidRPr="00341B41" w14:paraId="3610DC52" w14:textId="77777777" w:rsidTr="007A7E98">
        <w:trPr>
          <w:gridAfter w:val="1"/>
          <w:wAfter w:w="12" w:type="dxa"/>
          <w:trHeight w:val="457"/>
        </w:trPr>
        <w:tc>
          <w:tcPr>
            <w:tcW w:w="640" w:type="dxa"/>
            <w:tcBorders>
              <w:top w:val="single" w:sz="4" w:space="0" w:color="auto"/>
              <w:left w:val="single" w:sz="4" w:space="0" w:color="auto"/>
              <w:bottom w:val="single" w:sz="4" w:space="0" w:color="auto"/>
              <w:right w:val="single" w:sz="4" w:space="0" w:color="auto"/>
            </w:tcBorders>
            <w:hideMark/>
          </w:tcPr>
          <w:p w14:paraId="1300B209" w14:textId="77777777" w:rsidR="007A7E98" w:rsidRPr="00341B41" w:rsidRDefault="007A7E98" w:rsidP="00EB35A1">
            <w:pPr>
              <w:pStyle w:val="NoSpacing"/>
              <w:rPr>
                <w:sz w:val="20"/>
              </w:rPr>
            </w:pPr>
            <w:r w:rsidRPr="00341B41">
              <w:rPr>
                <w:sz w:val="20"/>
              </w:rPr>
              <w:t>Q5</w:t>
            </w:r>
          </w:p>
        </w:tc>
        <w:tc>
          <w:tcPr>
            <w:tcW w:w="3999" w:type="dxa"/>
            <w:tcBorders>
              <w:top w:val="single" w:sz="4" w:space="0" w:color="auto"/>
              <w:left w:val="single" w:sz="4" w:space="0" w:color="auto"/>
              <w:bottom w:val="single" w:sz="4" w:space="0" w:color="auto"/>
              <w:right w:val="single" w:sz="4" w:space="0" w:color="auto"/>
            </w:tcBorders>
            <w:vAlign w:val="center"/>
            <w:hideMark/>
          </w:tcPr>
          <w:p w14:paraId="1CBAB327" w14:textId="77777777" w:rsidR="007A7E98" w:rsidRPr="00341B41" w:rsidRDefault="007A7E98" w:rsidP="00EB35A1">
            <w:pPr>
              <w:pStyle w:val="NoSpacing"/>
              <w:rPr>
                <w:sz w:val="20"/>
              </w:rPr>
            </w:pPr>
            <w:r w:rsidRPr="00341B41">
              <w:rPr>
                <w:sz w:val="20"/>
              </w:rPr>
              <w:t>Have you been playing regularly (i.e. approximately every week) since?</w:t>
            </w:r>
          </w:p>
        </w:tc>
        <w:tc>
          <w:tcPr>
            <w:tcW w:w="773" w:type="dxa"/>
            <w:tcBorders>
              <w:top w:val="single" w:sz="4" w:space="0" w:color="auto"/>
              <w:left w:val="single" w:sz="4" w:space="0" w:color="auto"/>
              <w:bottom w:val="single" w:sz="4" w:space="0" w:color="auto"/>
              <w:right w:val="single" w:sz="4" w:space="0" w:color="auto"/>
            </w:tcBorders>
            <w:vAlign w:val="center"/>
          </w:tcPr>
          <w:p w14:paraId="41779544"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23A63117" w14:textId="77777777" w:rsidR="007A7E98" w:rsidRPr="00341B41" w:rsidRDefault="007A7E98" w:rsidP="00EB35A1">
            <w:pPr>
              <w:pStyle w:val="NoSpacing"/>
              <w:rPr>
                <w:sz w:val="20"/>
              </w:rPr>
            </w:pPr>
            <w:r w:rsidRPr="00341B41">
              <w:rPr>
                <w:sz w:val="20"/>
              </w:rPr>
              <w:t>Yes</w:t>
            </w:r>
          </w:p>
        </w:tc>
        <w:tc>
          <w:tcPr>
            <w:tcW w:w="771" w:type="dxa"/>
            <w:tcBorders>
              <w:top w:val="single" w:sz="4" w:space="0" w:color="auto"/>
              <w:left w:val="single" w:sz="4" w:space="0" w:color="auto"/>
              <w:bottom w:val="single" w:sz="4" w:space="0" w:color="auto"/>
              <w:right w:val="single" w:sz="4" w:space="0" w:color="auto"/>
            </w:tcBorders>
            <w:vAlign w:val="center"/>
          </w:tcPr>
          <w:p w14:paraId="39B5FB99"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1581F7EC" w14:textId="77777777" w:rsidR="007A7E98" w:rsidRPr="00341B41" w:rsidRDefault="007A7E98" w:rsidP="00EB35A1">
            <w:pPr>
              <w:pStyle w:val="NoSpacing"/>
              <w:rPr>
                <w:sz w:val="20"/>
              </w:rPr>
            </w:pPr>
            <w:r w:rsidRPr="00341B41">
              <w:rPr>
                <w:sz w:val="20"/>
              </w:rPr>
              <w:t>No</w:t>
            </w:r>
          </w:p>
        </w:tc>
      </w:tr>
      <w:tr w:rsidR="007A7E98" w:rsidRPr="00341B41" w14:paraId="3735AFC4" w14:textId="77777777" w:rsidTr="007A7E98">
        <w:trPr>
          <w:trHeight w:val="294"/>
        </w:trPr>
        <w:tc>
          <w:tcPr>
            <w:tcW w:w="8262" w:type="dxa"/>
            <w:gridSpan w:val="7"/>
            <w:tcBorders>
              <w:top w:val="single" w:sz="4" w:space="0" w:color="auto"/>
              <w:left w:val="single" w:sz="4" w:space="0" w:color="auto"/>
              <w:bottom w:val="single" w:sz="4" w:space="0" w:color="auto"/>
              <w:right w:val="single" w:sz="4" w:space="0" w:color="auto"/>
            </w:tcBorders>
            <w:vAlign w:val="center"/>
            <w:hideMark/>
          </w:tcPr>
          <w:p w14:paraId="3FE1097C" w14:textId="77777777" w:rsidR="007A7E98" w:rsidRPr="00341B41" w:rsidRDefault="007A7E98" w:rsidP="00EB35A1">
            <w:pPr>
              <w:pStyle w:val="NoSpacing"/>
              <w:rPr>
                <w:sz w:val="20"/>
              </w:rPr>
            </w:pPr>
            <w:r w:rsidRPr="00341B41">
              <w:rPr>
                <w:sz w:val="20"/>
              </w:rPr>
              <w:t>If YES go to Q7, if NO go to Q6</w:t>
            </w:r>
          </w:p>
        </w:tc>
      </w:tr>
      <w:tr w:rsidR="007A7E98" w:rsidRPr="00341B41" w14:paraId="437FD24E" w14:textId="77777777" w:rsidTr="007A7E98">
        <w:trPr>
          <w:trHeight w:val="591"/>
        </w:trPr>
        <w:tc>
          <w:tcPr>
            <w:tcW w:w="640" w:type="dxa"/>
            <w:tcBorders>
              <w:top w:val="single" w:sz="4" w:space="0" w:color="auto"/>
              <w:left w:val="single" w:sz="4" w:space="0" w:color="auto"/>
              <w:bottom w:val="single" w:sz="4" w:space="0" w:color="auto"/>
              <w:right w:val="single" w:sz="4" w:space="0" w:color="auto"/>
            </w:tcBorders>
            <w:hideMark/>
          </w:tcPr>
          <w:p w14:paraId="21A4C440" w14:textId="77777777" w:rsidR="007A7E98" w:rsidRPr="00341B41" w:rsidRDefault="007A7E98" w:rsidP="00EB35A1">
            <w:pPr>
              <w:pStyle w:val="NoSpacing"/>
              <w:rPr>
                <w:sz w:val="20"/>
              </w:rPr>
            </w:pPr>
            <w:r w:rsidRPr="00341B41">
              <w:rPr>
                <w:sz w:val="20"/>
              </w:rPr>
              <w:t>Q6</w:t>
            </w:r>
          </w:p>
        </w:tc>
        <w:tc>
          <w:tcPr>
            <w:tcW w:w="3999" w:type="dxa"/>
            <w:tcBorders>
              <w:top w:val="single" w:sz="4" w:space="0" w:color="auto"/>
              <w:left w:val="single" w:sz="4" w:space="0" w:color="auto"/>
              <w:bottom w:val="single" w:sz="4" w:space="0" w:color="auto"/>
              <w:right w:val="single" w:sz="4" w:space="0" w:color="auto"/>
            </w:tcBorders>
          </w:tcPr>
          <w:p w14:paraId="4909A11E" w14:textId="77777777" w:rsidR="007A7E98" w:rsidRPr="00341B41" w:rsidRDefault="007A7E98" w:rsidP="00EB35A1">
            <w:pPr>
              <w:pStyle w:val="NoSpacing"/>
              <w:rPr>
                <w:sz w:val="20"/>
              </w:rPr>
            </w:pPr>
            <w:r w:rsidRPr="00341B41">
              <w:rPr>
                <w:sz w:val="20"/>
              </w:rPr>
              <w:t>How many years did you play regular tennis for?</w:t>
            </w:r>
          </w:p>
          <w:p w14:paraId="1176DBE2" w14:textId="77777777" w:rsidR="007A7E98" w:rsidRPr="00341B41" w:rsidRDefault="007A7E98" w:rsidP="00EB35A1">
            <w:pPr>
              <w:pStyle w:val="NoSpacing"/>
              <w:rPr>
                <w:sz w:val="20"/>
              </w:rPr>
            </w:pPr>
          </w:p>
        </w:tc>
        <w:tc>
          <w:tcPr>
            <w:tcW w:w="3618" w:type="dxa"/>
            <w:gridSpan w:val="5"/>
            <w:tcBorders>
              <w:top w:val="single" w:sz="4" w:space="0" w:color="auto"/>
              <w:left w:val="single" w:sz="4" w:space="0" w:color="auto"/>
              <w:bottom w:val="single" w:sz="4" w:space="0" w:color="auto"/>
              <w:right w:val="single" w:sz="4" w:space="0" w:color="auto"/>
            </w:tcBorders>
            <w:vAlign w:val="center"/>
            <w:hideMark/>
          </w:tcPr>
          <w:p w14:paraId="17DE3ABB" w14:textId="77777777" w:rsidR="007A7E98" w:rsidRPr="00341B41" w:rsidRDefault="007A7E98" w:rsidP="00EB35A1">
            <w:pPr>
              <w:pStyle w:val="NoSpacing"/>
              <w:rPr>
                <w:sz w:val="20"/>
              </w:rPr>
            </w:pPr>
            <w:r w:rsidRPr="00341B41">
              <w:rPr>
                <w:sz w:val="20"/>
              </w:rPr>
              <w:softHyphen/>
            </w:r>
          </w:p>
        </w:tc>
      </w:tr>
      <w:tr w:rsidR="007A7E98" w:rsidRPr="00341B41" w14:paraId="01EE045F" w14:textId="77777777" w:rsidTr="007A7E98">
        <w:trPr>
          <w:trHeight w:val="457"/>
        </w:trPr>
        <w:tc>
          <w:tcPr>
            <w:tcW w:w="640" w:type="dxa"/>
            <w:tcBorders>
              <w:top w:val="single" w:sz="4" w:space="0" w:color="auto"/>
              <w:left w:val="single" w:sz="4" w:space="0" w:color="auto"/>
              <w:bottom w:val="single" w:sz="4" w:space="0" w:color="auto"/>
              <w:right w:val="single" w:sz="4" w:space="0" w:color="auto"/>
            </w:tcBorders>
            <w:hideMark/>
          </w:tcPr>
          <w:p w14:paraId="19B3C0EC" w14:textId="77777777" w:rsidR="007A7E98" w:rsidRPr="00341B41" w:rsidRDefault="007A7E98" w:rsidP="00EB35A1">
            <w:pPr>
              <w:pStyle w:val="NoSpacing"/>
              <w:rPr>
                <w:sz w:val="20"/>
              </w:rPr>
            </w:pPr>
            <w:r w:rsidRPr="00341B41">
              <w:rPr>
                <w:sz w:val="20"/>
              </w:rPr>
              <w:t>Q7</w:t>
            </w:r>
          </w:p>
        </w:tc>
        <w:tc>
          <w:tcPr>
            <w:tcW w:w="3999" w:type="dxa"/>
            <w:tcBorders>
              <w:top w:val="single" w:sz="4" w:space="0" w:color="auto"/>
              <w:left w:val="single" w:sz="4" w:space="0" w:color="auto"/>
              <w:bottom w:val="single" w:sz="4" w:space="0" w:color="auto"/>
              <w:right w:val="single" w:sz="4" w:space="0" w:color="auto"/>
            </w:tcBorders>
            <w:hideMark/>
          </w:tcPr>
          <w:p w14:paraId="1FFCD542" w14:textId="77777777" w:rsidR="007A7E98" w:rsidRPr="00341B41" w:rsidRDefault="007A7E98" w:rsidP="00EB35A1">
            <w:pPr>
              <w:pStyle w:val="NoSpacing"/>
              <w:rPr>
                <w:sz w:val="20"/>
              </w:rPr>
            </w:pPr>
            <w:r w:rsidRPr="00341B41">
              <w:rPr>
                <w:sz w:val="20"/>
              </w:rPr>
              <w:t>In the years you’ve played regularly, approximately how many hours do (did) you play tennis per week?</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418E0F4E" w14:textId="77777777" w:rsidR="007A7E98" w:rsidRPr="00341B41" w:rsidRDefault="007A7E98" w:rsidP="00EB35A1">
            <w:pPr>
              <w:pStyle w:val="NoSpacing"/>
              <w:rPr>
                <w:sz w:val="20"/>
              </w:rPr>
            </w:pPr>
          </w:p>
        </w:tc>
      </w:tr>
      <w:tr w:rsidR="007A7E98" w:rsidRPr="00341B41" w14:paraId="5F725E98" w14:textId="77777777" w:rsidTr="007A7E98">
        <w:trPr>
          <w:gridAfter w:val="1"/>
          <w:wAfter w:w="12" w:type="dxa"/>
          <w:trHeight w:val="591"/>
        </w:trPr>
        <w:tc>
          <w:tcPr>
            <w:tcW w:w="640" w:type="dxa"/>
            <w:tcBorders>
              <w:top w:val="single" w:sz="4" w:space="0" w:color="auto"/>
              <w:left w:val="single" w:sz="4" w:space="0" w:color="auto"/>
              <w:bottom w:val="single" w:sz="4" w:space="0" w:color="auto"/>
              <w:right w:val="single" w:sz="4" w:space="0" w:color="auto"/>
            </w:tcBorders>
            <w:hideMark/>
          </w:tcPr>
          <w:p w14:paraId="232A6C9B" w14:textId="77777777" w:rsidR="007A7E98" w:rsidRPr="00341B41" w:rsidRDefault="007A7E98" w:rsidP="00EB35A1">
            <w:pPr>
              <w:pStyle w:val="NoSpacing"/>
              <w:rPr>
                <w:sz w:val="20"/>
              </w:rPr>
            </w:pPr>
            <w:r w:rsidRPr="00341B41">
              <w:rPr>
                <w:sz w:val="20"/>
              </w:rPr>
              <w:t>Q8</w:t>
            </w:r>
          </w:p>
        </w:tc>
        <w:tc>
          <w:tcPr>
            <w:tcW w:w="3999" w:type="dxa"/>
            <w:tcBorders>
              <w:top w:val="single" w:sz="4" w:space="0" w:color="auto"/>
              <w:left w:val="single" w:sz="4" w:space="0" w:color="auto"/>
              <w:bottom w:val="single" w:sz="4" w:space="0" w:color="auto"/>
              <w:right w:val="single" w:sz="4" w:space="0" w:color="auto"/>
            </w:tcBorders>
          </w:tcPr>
          <w:p w14:paraId="2D9543B7" w14:textId="77777777" w:rsidR="007A7E98" w:rsidRPr="00341B41" w:rsidRDefault="007A7E98" w:rsidP="00EB35A1">
            <w:pPr>
              <w:pStyle w:val="NoSpacing"/>
              <w:rPr>
                <w:sz w:val="20"/>
              </w:rPr>
            </w:pPr>
            <w:r w:rsidRPr="00341B41">
              <w:rPr>
                <w:sz w:val="20"/>
              </w:rPr>
              <w:t>Have you ever received formal instruction?</w:t>
            </w:r>
          </w:p>
          <w:p w14:paraId="52537FF2" w14:textId="77777777" w:rsidR="007A7E98" w:rsidRPr="00341B41" w:rsidRDefault="007A7E98" w:rsidP="00EB35A1">
            <w:pPr>
              <w:pStyle w:val="NoSpacing"/>
              <w:rPr>
                <w:sz w:val="20"/>
              </w:rPr>
            </w:pPr>
          </w:p>
        </w:tc>
        <w:tc>
          <w:tcPr>
            <w:tcW w:w="773" w:type="dxa"/>
            <w:tcBorders>
              <w:top w:val="single" w:sz="4" w:space="0" w:color="auto"/>
              <w:left w:val="single" w:sz="4" w:space="0" w:color="auto"/>
              <w:bottom w:val="single" w:sz="4" w:space="0" w:color="auto"/>
              <w:right w:val="single" w:sz="4" w:space="0" w:color="auto"/>
            </w:tcBorders>
            <w:vAlign w:val="center"/>
          </w:tcPr>
          <w:p w14:paraId="68605728"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52FC771E" w14:textId="77777777" w:rsidR="007A7E98" w:rsidRPr="00341B41" w:rsidRDefault="007A7E98" w:rsidP="00EB35A1">
            <w:pPr>
              <w:pStyle w:val="NoSpacing"/>
              <w:rPr>
                <w:sz w:val="20"/>
              </w:rPr>
            </w:pPr>
            <w:r w:rsidRPr="00341B41">
              <w:rPr>
                <w:sz w:val="20"/>
              </w:rPr>
              <w:t>Yes</w:t>
            </w:r>
          </w:p>
        </w:tc>
        <w:tc>
          <w:tcPr>
            <w:tcW w:w="771" w:type="dxa"/>
            <w:tcBorders>
              <w:top w:val="single" w:sz="4" w:space="0" w:color="auto"/>
              <w:left w:val="single" w:sz="4" w:space="0" w:color="auto"/>
              <w:bottom w:val="single" w:sz="4" w:space="0" w:color="auto"/>
              <w:right w:val="single" w:sz="4" w:space="0" w:color="auto"/>
            </w:tcBorders>
            <w:vAlign w:val="center"/>
          </w:tcPr>
          <w:p w14:paraId="3A728EB8"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57D9F3FF" w14:textId="77777777" w:rsidR="007A7E98" w:rsidRPr="00341B41" w:rsidRDefault="007A7E98" w:rsidP="00EB35A1">
            <w:pPr>
              <w:pStyle w:val="NoSpacing"/>
              <w:rPr>
                <w:sz w:val="20"/>
              </w:rPr>
            </w:pPr>
            <w:r w:rsidRPr="00341B41">
              <w:rPr>
                <w:sz w:val="20"/>
              </w:rPr>
              <w:t>No</w:t>
            </w:r>
          </w:p>
        </w:tc>
      </w:tr>
      <w:tr w:rsidR="007A7E98" w:rsidRPr="00341B41" w14:paraId="43579947" w14:textId="77777777" w:rsidTr="007A7E98">
        <w:trPr>
          <w:trHeight w:val="294"/>
        </w:trPr>
        <w:tc>
          <w:tcPr>
            <w:tcW w:w="8262" w:type="dxa"/>
            <w:gridSpan w:val="7"/>
            <w:tcBorders>
              <w:top w:val="single" w:sz="4" w:space="0" w:color="auto"/>
              <w:left w:val="single" w:sz="4" w:space="0" w:color="auto"/>
              <w:bottom w:val="single" w:sz="4" w:space="0" w:color="auto"/>
              <w:right w:val="single" w:sz="4" w:space="0" w:color="auto"/>
            </w:tcBorders>
            <w:vAlign w:val="center"/>
            <w:hideMark/>
          </w:tcPr>
          <w:p w14:paraId="41A3C8B5" w14:textId="77777777" w:rsidR="007A7E98" w:rsidRPr="00341B41" w:rsidRDefault="007A7E98" w:rsidP="00EB35A1">
            <w:pPr>
              <w:pStyle w:val="NoSpacing"/>
              <w:rPr>
                <w:sz w:val="20"/>
              </w:rPr>
            </w:pPr>
            <w:r w:rsidRPr="00341B41">
              <w:rPr>
                <w:sz w:val="20"/>
              </w:rPr>
              <w:t>If YES go to Q9, if NO go to Q11</w:t>
            </w:r>
          </w:p>
        </w:tc>
      </w:tr>
      <w:tr w:rsidR="007A7E98" w:rsidRPr="00341B41" w14:paraId="3C2601D5" w14:textId="77777777" w:rsidTr="007A7E98">
        <w:trPr>
          <w:trHeight w:val="457"/>
        </w:trPr>
        <w:tc>
          <w:tcPr>
            <w:tcW w:w="640" w:type="dxa"/>
            <w:tcBorders>
              <w:top w:val="single" w:sz="4" w:space="0" w:color="auto"/>
              <w:left w:val="single" w:sz="4" w:space="0" w:color="auto"/>
              <w:bottom w:val="single" w:sz="4" w:space="0" w:color="auto"/>
              <w:right w:val="single" w:sz="4" w:space="0" w:color="auto"/>
            </w:tcBorders>
            <w:hideMark/>
          </w:tcPr>
          <w:p w14:paraId="12A00440" w14:textId="77777777" w:rsidR="007A7E98" w:rsidRPr="00341B41" w:rsidRDefault="007A7E98" w:rsidP="00EB35A1">
            <w:pPr>
              <w:pStyle w:val="NoSpacing"/>
              <w:rPr>
                <w:sz w:val="20"/>
              </w:rPr>
            </w:pPr>
            <w:r w:rsidRPr="00341B41">
              <w:rPr>
                <w:sz w:val="20"/>
              </w:rPr>
              <w:t>Q9</w:t>
            </w:r>
          </w:p>
        </w:tc>
        <w:tc>
          <w:tcPr>
            <w:tcW w:w="3999" w:type="dxa"/>
            <w:tcBorders>
              <w:top w:val="single" w:sz="4" w:space="0" w:color="auto"/>
              <w:left w:val="single" w:sz="4" w:space="0" w:color="auto"/>
              <w:bottom w:val="single" w:sz="4" w:space="0" w:color="auto"/>
              <w:right w:val="single" w:sz="4" w:space="0" w:color="auto"/>
            </w:tcBorders>
            <w:hideMark/>
          </w:tcPr>
          <w:p w14:paraId="1FCFBB5B" w14:textId="77777777" w:rsidR="007A7E98" w:rsidRPr="00341B41" w:rsidRDefault="007A7E98" w:rsidP="00EB35A1">
            <w:pPr>
              <w:pStyle w:val="NoSpacing"/>
              <w:rPr>
                <w:sz w:val="20"/>
              </w:rPr>
            </w:pPr>
            <w:r w:rsidRPr="00341B41">
              <w:rPr>
                <w:sz w:val="20"/>
              </w:rPr>
              <w:t>How many years have you received / did you receive formal instruction?</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7F535D0F" w14:textId="77777777" w:rsidR="007A7E98" w:rsidRPr="00341B41" w:rsidRDefault="007A7E98" w:rsidP="00EB35A1">
            <w:pPr>
              <w:pStyle w:val="NoSpacing"/>
              <w:rPr>
                <w:sz w:val="20"/>
              </w:rPr>
            </w:pPr>
          </w:p>
        </w:tc>
      </w:tr>
      <w:tr w:rsidR="007A7E98" w:rsidRPr="00341B41" w14:paraId="6D1A6C66" w14:textId="77777777" w:rsidTr="007A7E98">
        <w:trPr>
          <w:gridAfter w:val="1"/>
          <w:wAfter w:w="12" w:type="dxa"/>
          <w:trHeight w:val="618"/>
        </w:trPr>
        <w:tc>
          <w:tcPr>
            <w:tcW w:w="640" w:type="dxa"/>
            <w:tcBorders>
              <w:top w:val="single" w:sz="4" w:space="0" w:color="auto"/>
              <w:left w:val="single" w:sz="4" w:space="0" w:color="auto"/>
              <w:bottom w:val="single" w:sz="4" w:space="0" w:color="auto"/>
              <w:right w:val="single" w:sz="4" w:space="0" w:color="auto"/>
            </w:tcBorders>
            <w:hideMark/>
          </w:tcPr>
          <w:p w14:paraId="19212C1C" w14:textId="77777777" w:rsidR="007A7E98" w:rsidRPr="00341B41" w:rsidRDefault="007A7E98" w:rsidP="00EB35A1">
            <w:pPr>
              <w:pStyle w:val="NoSpacing"/>
              <w:rPr>
                <w:sz w:val="20"/>
              </w:rPr>
            </w:pPr>
            <w:r w:rsidRPr="00341B41">
              <w:rPr>
                <w:sz w:val="20"/>
              </w:rPr>
              <w:t>Q10</w:t>
            </w:r>
          </w:p>
        </w:tc>
        <w:tc>
          <w:tcPr>
            <w:tcW w:w="3999" w:type="dxa"/>
            <w:tcBorders>
              <w:top w:val="single" w:sz="4" w:space="0" w:color="auto"/>
              <w:left w:val="single" w:sz="4" w:space="0" w:color="auto"/>
              <w:bottom w:val="single" w:sz="4" w:space="0" w:color="auto"/>
              <w:right w:val="single" w:sz="4" w:space="0" w:color="auto"/>
            </w:tcBorders>
            <w:hideMark/>
          </w:tcPr>
          <w:p w14:paraId="28A5FEF2" w14:textId="77777777" w:rsidR="007A7E98" w:rsidRPr="00341B41" w:rsidRDefault="007A7E98" w:rsidP="00EB35A1">
            <w:pPr>
              <w:pStyle w:val="NoSpacing"/>
              <w:rPr>
                <w:sz w:val="20"/>
              </w:rPr>
            </w:pPr>
            <w:r w:rsidRPr="00341B41">
              <w:rPr>
                <w:sz w:val="20"/>
              </w:rPr>
              <w:t>In the years you received formal instruction, approximately how many hours coaching did you receive per week?</w:t>
            </w:r>
          </w:p>
        </w:tc>
        <w:tc>
          <w:tcPr>
            <w:tcW w:w="773" w:type="dxa"/>
            <w:tcBorders>
              <w:top w:val="single" w:sz="4" w:space="0" w:color="auto"/>
              <w:left w:val="single" w:sz="4" w:space="0" w:color="auto"/>
              <w:bottom w:val="single" w:sz="4" w:space="0" w:color="auto"/>
              <w:right w:val="single" w:sz="4" w:space="0" w:color="auto"/>
            </w:tcBorders>
            <w:vAlign w:val="center"/>
          </w:tcPr>
          <w:p w14:paraId="03325C6A"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3E100176" w14:textId="77777777" w:rsidR="007A7E98" w:rsidRPr="00341B41" w:rsidRDefault="007A7E98" w:rsidP="00EB35A1">
            <w:pPr>
              <w:pStyle w:val="NoSpacing"/>
              <w:rPr>
                <w:sz w:val="20"/>
              </w:rPr>
            </w:pPr>
            <w:r w:rsidRPr="00341B41">
              <w:rPr>
                <w:sz w:val="20"/>
              </w:rPr>
              <w:t>Yes</w:t>
            </w:r>
          </w:p>
        </w:tc>
        <w:tc>
          <w:tcPr>
            <w:tcW w:w="771" w:type="dxa"/>
            <w:tcBorders>
              <w:top w:val="single" w:sz="4" w:space="0" w:color="auto"/>
              <w:left w:val="single" w:sz="4" w:space="0" w:color="auto"/>
              <w:bottom w:val="single" w:sz="4" w:space="0" w:color="auto"/>
              <w:right w:val="single" w:sz="4" w:space="0" w:color="auto"/>
            </w:tcBorders>
            <w:vAlign w:val="center"/>
          </w:tcPr>
          <w:p w14:paraId="0714D321"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44F45980" w14:textId="77777777" w:rsidR="007A7E98" w:rsidRPr="00341B41" w:rsidRDefault="007A7E98" w:rsidP="00EB35A1">
            <w:pPr>
              <w:pStyle w:val="NoSpacing"/>
              <w:rPr>
                <w:sz w:val="20"/>
              </w:rPr>
            </w:pPr>
            <w:r w:rsidRPr="00341B41">
              <w:rPr>
                <w:sz w:val="20"/>
              </w:rPr>
              <w:t>No</w:t>
            </w:r>
          </w:p>
        </w:tc>
      </w:tr>
      <w:tr w:rsidR="007A7E98" w:rsidRPr="00341B41" w14:paraId="62A50DA8" w14:textId="77777777" w:rsidTr="007A7E98">
        <w:trPr>
          <w:gridAfter w:val="1"/>
          <w:wAfter w:w="12" w:type="dxa"/>
          <w:trHeight w:val="605"/>
        </w:trPr>
        <w:tc>
          <w:tcPr>
            <w:tcW w:w="640" w:type="dxa"/>
            <w:tcBorders>
              <w:top w:val="single" w:sz="4" w:space="0" w:color="auto"/>
              <w:left w:val="single" w:sz="4" w:space="0" w:color="auto"/>
              <w:bottom w:val="single" w:sz="4" w:space="0" w:color="auto"/>
              <w:right w:val="single" w:sz="4" w:space="0" w:color="auto"/>
            </w:tcBorders>
            <w:hideMark/>
          </w:tcPr>
          <w:p w14:paraId="29BD6A49" w14:textId="77777777" w:rsidR="007A7E98" w:rsidRPr="00341B41" w:rsidRDefault="007A7E98" w:rsidP="00EB35A1">
            <w:pPr>
              <w:pStyle w:val="NoSpacing"/>
              <w:rPr>
                <w:sz w:val="20"/>
              </w:rPr>
            </w:pPr>
            <w:r w:rsidRPr="00341B41">
              <w:rPr>
                <w:sz w:val="20"/>
              </w:rPr>
              <w:t>Q11</w:t>
            </w:r>
          </w:p>
        </w:tc>
        <w:tc>
          <w:tcPr>
            <w:tcW w:w="3999" w:type="dxa"/>
            <w:tcBorders>
              <w:top w:val="single" w:sz="4" w:space="0" w:color="auto"/>
              <w:left w:val="single" w:sz="4" w:space="0" w:color="auto"/>
              <w:bottom w:val="single" w:sz="4" w:space="0" w:color="auto"/>
              <w:right w:val="single" w:sz="4" w:space="0" w:color="auto"/>
            </w:tcBorders>
          </w:tcPr>
          <w:p w14:paraId="62A33547" w14:textId="77777777" w:rsidR="007A7E98" w:rsidRPr="00341B41" w:rsidRDefault="007A7E98" w:rsidP="00EB35A1">
            <w:pPr>
              <w:pStyle w:val="NoSpacing"/>
              <w:rPr>
                <w:sz w:val="20"/>
              </w:rPr>
            </w:pPr>
            <w:r w:rsidRPr="00341B41">
              <w:rPr>
                <w:sz w:val="20"/>
              </w:rPr>
              <w:t>Have you given instruction to other players?</w:t>
            </w:r>
          </w:p>
          <w:p w14:paraId="2A3FDEEE" w14:textId="77777777" w:rsidR="007A7E98" w:rsidRPr="00341B41" w:rsidRDefault="007A7E98" w:rsidP="00EB35A1">
            <w:pPr>
              <w:pStyle w:val="NoSpacing"/>
              <w:rPr>
                <w:sz w:val="20"/>
              </w:rPr>
            </w:pPr>
          </w:p>
        </w:tc>
        <w:tc>
          <w:tcPr>
            <w:tcW w:w="773" w:type="dxa"/>
            <w:tcBorders>
              <w:top w:val="single" w:sz="4" w:space="0" w:color="auto"/>
              <w:left w:val="single" w:sz="4" w:space="0" w:color="auto"/>
              <w:bottom w:val="single" w:sz="4" w:space="0" w:color="auto"/>
              <w:right w:val="single" w:sz="4" w:space="0" w:color="auto"/>
            </w:tcBorders>
            <w:vAlign w:val="center"/>
          </w:tcPr>
          <w:p w14:paraId="6F5806C8"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1F091AF3" w14:textId="77777777" w:rsidR="007A7E98" w:rsidRPr="00341B41" w:rsidRDefault="007A7E98" w:rsidP="00EB35A1">
            <w:pPr>
              <w:pStyle w:val="NoSpacing"/>
              <w:rPr>
                <w:sz w:val="20"/>
              </w:rPr>
            </w:pPr>
            <w:r w:rsidRPr="00341B41">
              <w:rPr>
                <w:sz w:val="20"/>
              </w:rPr>
              <w:t>Yes</w:t>
            </w:r>
          </w:p>
        </w:tc>
        <w:tc>
          <w:tcPr>
            <w:tcW w:w="771" w:type="dxa"/>
            <w:tcBorders>
              <w:top w:val="single" w:sz="4" w:space="0" w:color="auto"/>
              <w:left w:val="single" w:sz="4" w:space="0" w:color="auto"/>
              <w:bottom w:val="single" w:sz="4" w:space="0" w:color="auto"/>
              <w:right w:val="single" w:sz="4" w:space="0" w:color="auto"/>
            </w:tcBorders>
            <w:vAlign w:val="center"/>
          </w:tcPr>
          <w:p w14:paraId="3B5B8C28"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421CB6FE" w14:textId="77777777" w:rsidR="007A7E98" w:rsidRPr="00341B41" w:rsidRDefault="007A7E98" w:rsidP="00EB35A1">
            <w:pPr>
              <w:pStyle w:val="NoSpacing"/>
              <w:rPr>
                <w:sz w:val="20"/>
              </w:rPr>
            </w:pPr>
            <w:r w:rsidRPr="00341B41">
              <w:rPr>
                <w:sz w:val="20"/>
              </w:rPr>
              <w:t>No</w:t>
            </w:r>
          </w:p>
        </w:tc>
      </w:tr>
      <w:tr w:rsidR="007A7E98" w:rsidRPr="00341B41" w14:paraId="5F03069B" w14:textId="77777777" w:rsidTr="007A7E98">
        <w:trPr>
          <w:gridAfter w:val="1"/>
          <w:wAfter w:w="12" w:type="dxa"/>
          <w:trHeight w:val="591"/>
        </w:trPr>
        <w:tc>
          <w:tcPr>
            <w:tcW w:w="640" w:type="dxa"/>
            <w:tcBorders>
              <w:top w:val="single" w:sz="4" w:space="0" w:color="auto"/>
              <w:left w:val="single" w:sz="4" w:space="0" w:color="auto"/>
              <w:bottom w:val="single" w:sz="4" w:space="0" w:color="auto"/>
              <w:right w:val="single" w:sz="4" w:space="0" w:color="auto"/>
            </w:tcBorders>
            <w:hideMark/>
          </w:tcPr>
          <w:p w14:paraId="7109C8A2" w14:textId="77777777" w:rsidR="007A7E98" w:rsidRPr="00341B41" w:rsidRDefault="007A7E98" w:rsidP="00EB35A1">
            <w:pPr>
              <w:pStyle w:val="NoSpacing"/>
              <w:rPr>
                <w:sz w:val="20"/>
              </w:rPr>
            </w:pPr>
            <w:r w:rsidRPr="00341B41">
              <w:rPr>
                <w:sz w:val="20"/>
              </w:rPr>
              <w:t>Q12</w:t>
            </w:r>
          </w:p>
        </w:tc>
        <w:tc>
          <w:tcPr>
            <w:tcW w:w="3999" w:type="dxa"/>
            <w:tcBorders>
              <w:top w:val="single" w:sz="4" w:space="0" w:color="auto"/>
              <w:left w:val="single" w:sz="4" w:space="0" w:color="auto"/>
              <w:bottom w:val="single" w:sz="4" w:space="0" w:color="auto"/>
              <w:right w:val="single" w:sz="4" w:space="0" w:color="auto"/>
            </w:tcBorders>
            <w:hideMark/>
          </w:tcPr>
          <w:p w14:paraId="1F62F08E" w14:textId="77777777" w:rsidR="007A7E98" w:rsidRPr="00341B41" w:rsidRDefault="007A7E98" w:rsidP="00EB35A1">
            <w:pPr>
              <w:pStyle w:val="NoSpacing"/>
              <w:rPr>
                <w:sz w:val="20"/>
              </w:rPr>
            </w:pPr>
            <w:r w:rsidRPr="00341B41">
              <w:rPr>
                <w:sz w:val="20"/>
              </w:rPr>
              <w:t>Have you ever played in competitive competitions?</w:t>
            </w:r>
          </w:p>
        </w:tc>
        <w:tc>
          <w:tcPr>
            <w:tcW w:w="773" w:type="dxa"/>
            <w:tcBorders>
              <w:top w:val="single" w:sz="4" w:space="0" w:color="auto"/>
              <w:left w:val="single" w:sz="4" w:space="0" w:color="auto"/>
              <w:bottom w:val="single" w:sz="4" w:space="0" w:color="auto"/>
              <w:right w:val="single" w:sz="4" w:space="0" w:color="auto"/>
            </w:tcBorders>
            <w:vAlign w:val="center"/>
          </w:tcPr>
          <w:p w14:paraId="31B33B3F"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43F4BA8D" w14:textId="77777777" w:rsidR="007A7E98" w:rsidRPr="00341B41" w:rsidRDefault="007A7E98" w:rsidP="00EB35A1">
            <w:pPr>
              <w:pStyle w:val="NoSpacing"/>
              <w:rPr>
                <w:sz w:val="20"/>
              </w:rPr>
            </w:pPr>
            <w:r w:rsidRPr="00341B41">
              <w:rPr>
                <w:sz w:val="20"/>
              </w:rPr>
              <w:t>Yes</w:t>
            </w:r>
          </w:p>
        </w:tc>
        <w:tc>
          <w:tcPr>
            <w:tcW w:w="771" w:type="dxa"/>
            <w:tcBorders>
              <w:top w:val="single" w:sz="4" w:space="0" w:color="auto"/>
              <w:left w:val="single" w:sz="4" w:space="0" w:color="auto"/>
              <w:bottom w:val="single" w:sz="4" w:space="0" w:color="auto"/>
              <w:right w:val="single" w:sz="4" w:space="0" w:color="auto"/>
            </w:tcBorders>
            <w:vAlign w:val="center"/>
          </w:tcPr>
          <w:p w14:paraId="1EA584D2"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tcPr>
          <w:p w14:paraId="4EE53EB6" w14:textId="77777777" w:rsidR="007A7E98" w:rsidRPr="00341B41" w:rsidRDefault="007A7E98" w:rsidP="00EB35A1">
            <w:pPr>
              <w:pStyle w:val="NoSpacing"/>
              <w:rPr>
                <w:sz w:val="20"/>
              </w:rPr>
            </w:pPr>
            <w:r w:rsidRPr="00341B41">
              <w:rPr>
                <w:sz w:val="20"/>
              </w:rPr>
              <w:t>No</w:t>
            </w:r>
          </w:p>
          <w:p w14:paraId="4BA39E77" w14:textId="77777777" w:rsidR="007A7E98" w:rsidRPr="00341B41" w:rsidRDefault="007A7E98" w:rsidP="00EB35A1">
            <w:pPr>
              <w:pStyle w:val="NoSpacing"/>
              <w:rPr>
                <w:sz w:val="20"/>
              </w:rPr>
            </w:pPr>
          </w:p>
        </w:tc>
      </w:tr>
      <w:tr w:rsidR="007A7E98" w:rsidRPr="00341B41" w14:paraId="25268D1C" w14:textId="77777777" w:rsidTr="007A7E98">
        <w:trPr>
          <w:trHeight w:val="294"/>
        </w:trPr>
        <w:tc>
          <w:tcPr>
            <w:tcW w:w="8262" w:type="dxa"/>
            <w:gridSpan w:val="7"/>
            <w:tcBorders>
              <w:top w:val="single" w:sz="4" w:space="0" w:color="auto"/>
              <w:left w:val="single" w:sz="4" w:space="0" w:color="auto"/>
              <w:bottom w:val="single" w:sz="4" w:space="0" w:color="auto"/>
              <w:right w:val="single" w:sz="4" w:space="0" w:color="auto"/>
            </w:tcBorders>
            <w:vAlign w:val="center"/>
            <w:hideMark/>
          </w:tcPr>
          <w:p w14:paraId="12215E2D" w14:textId="77777777" w:rsidR="007A7E98" w:rsidRPr="00341B41" w:rsidRDefault="007A7E98" w:rsidP="00EB35A1">
            <w:pPr>
              <w:pStyle w:val="NoSpacing"/>
              <w:rPr>
                <w:sz w:val="20"/>
              </w:rPr>
            </w:pPr>
            <w:r w:rsidRPr="00341B41">
              <w:rPr>
                <w:sz w:val="20"/>
              </w:rPr>
              <w:t>If YES go to Q13, if NO go to Q14</w:t>
            </w:r>
          </w:p>
        </w:tc>
      </w:tr>
      <w:tr w:rsidR="007A7E98" w:rsidRPr="00341B41" w14:paraId="73F3D931" w14:textId="77777777" w:rsidTr="007A7E98">
        <w:trPr>
          <w:trHeight w:val="618"/>
        </w:trPr>
        <w:tc>
          <w:tcPr>
            <w:tcW w:w="640" w:type="dxa"/>
            <w:tcBorders>
              <w:top w:val="single" w:sz="4" w:space="0" w:color="auto"/>
              <w:left w:val="single" w:sz="4" w:space="0" w:color="auto"/>
              <w:bottom w:val="single" w:sz="4" w:space="0" w:color="auto"/>
              <w:right w:val="single" w:sz="4" w:space="0" w:color="auto"/>
            </w:tcBorders>
            <w:hideMark/>
          </w:tcPr>
          <w:p w14:paraId="53003DD1" w14:textId="77777777" w:rsidR="007A7E98" w:rsidRPr="00341B41" w:rsidRDefault="007A7E98" w:rsidP="00EB35A1">
            <w:pPr>
              <w:pStyle w:val="NoSpacing"/>
              <w:rPr>
                <w:sz w:val="20"/>
              </w:rPr>
            </w:pPr>
            <w:r w:rsidRPr="00341B41">
              <w:rPr>
                <w:sz w:val="20"/>
              </w:rPr>
              <w:t>Q13</w:t>
            </w:r>
          </w:p>
        </w:tc>
        <w:tc>
          <w:tcPr>
            <w:tcW w:w="3999" w:type="dxa"/>
            <w:tcBorders>
              <w:top w:val="single" w:sz="4" w:space="0" w:color="auto"/>
              <w:left w:val="single" w:sz="4" w:space="0" w:color="auto"/>
              <w:bottom w:val="single" w:sz="4" w:space="0" w:color="auto"/>
              <w:right w:val="single" w:sz="4" w:space="0" w:color="auto"/>
            </w:tcBorders>
            <w:hideMark/>
          </w:tcPr>
          <w:p w14:paraId="4B50622D" w14:textId="77777777" w:rsidR="007A7E98" w:rsidRPr="00341B41" w:rsidRDefault="007A7E98" w:rsidP="00EB35A1">
            <w:pPr>
              <w:pStyle w:val="NoSpacing"/>
              <w:rPr>
                <w:sz w:val="20"/>
              </w:rPr>
            </w:pPr>
            <w:r w:rsidRPr="00341B41">
              <w:rPr>
                <w:sz w:val="20"/>
              </w:rPr>
              <w:t>What is the highest level of competition you have ever competed in? e.g. inter-school, club, county, university</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65D33DB9" w14:textId="77777777" w:rsidR="007A7E98" w:rsidRPr="00341B41" w:rsidRDefault="007A7E98" w:rsidP="00EB35A1">
            <w:pPr>
              <w:pStyle w:val="NoSpacing"/>
              <w:rPr>
                <w:sz w:val="20"/>
              </w:rPr>
            </w:pPr>
          </w:p>
        </w:tc>
      </w:tr>
      <w:tr w:rsidR="007A7E98" w:rsidRPr="00341B41" w14:paraId="053B20B0" w14:textId="77777777" w:rsidTr="007A7E98">
        <w:trPr>
          <w:trHeight w:val="591"/>
        </w:trPr>
        <w:tc>
          <w:tcPr>
            <w:tcW w:w="640" w:type="dxa"/>
            <w:tcBorders>
              <w:top w:val="single" w:sz="4" w:space="0" w:color="auto"/>
              <w:left w:val="single" w:sz="4" w:space="0" w:color="auto"/>
              <w:bottom w:val="single" w:sz="4" w:space="0" w:color="auto"/>
              <w:right w:val="single" w:sz="4" w:space="0" w:color="auto"/>
            </w:tcBorders>
            <w:hideMark/>
          </w:tcPr>
          <w:p w14:paraId="6CE017B9" w14:textId="77777777" w:rsidR="007A7E98" w:rsidRPr="00341B41" w:rsidRDefault="007A7E98" w:rsidP="00EB35A1">
            <w:pPr>
              <w:pStyle w:val="NoSpacing"/>
              <w:rPr>
                <w:sz w:val="20"/>
              </w:rPr>
            </w:pPr>
            <w:r w:rsidRPr="00341B41">
              <w:rPr>
                <w:sz w:val="20"/>
              </w:rPr>
              <w:lastRenderedPageBreak/>
              <w:t>Q14</w:t>
            </w:r>
          </w:p>
        </w:tc>
        <w:tc>
          <w:tcPr>
            <w:tcW w:w="3999" w:type="dxa"/>
            <w:tcBorders>
              <w:top w:val="single" w:sz="4" w:space="0" w:color="auto"/>
              <w:left w:val="single" w:sz="4" w:space="0" w:color="auto"/>
              <w:bottom w:val="single" w:sz="4" w:space="0" w:color="auto"/>
              <w:right w:val="single" w:sz="4" w:space="0" w:color="auto"/>
            </w:tcBorders>
            <w:hideMark/>
          </w:tcPr>
          <w:p w14:paraId="6BFAF5D6" w14:textId="77777777" w:rsidR="007A7E98" w:rsidRPr="00341B41" w:rsidRDefault="007A7E98" w:rsidP="00EB35A1">
            <w:pPr>
              <w:pStyle w:val="NoSpacing"/>
              <w:rPr>
                <w:sz w:val="20"/>
              </w:rPr>
            </w:pPr>
            <w:r w:rsidRPr="00341B41">
              <w:rPr>
                <w:sz w:val="20"/>
              </w:rPr>
              <w:t>Do you currently hold an LTA rating? If so, specify</w:t>
            </w:r>
          </w:p>
        </w:tc>
        <w:tc>
          <w:tcPr>
            <w:tcW w:w="3618" w:type="dxa"/>
            <w:gridSpan w:val="5"/>
            <w:tcBorders>
              <w:top w:val="single" w:sz="4" w:space="0" w:color="auto"/>
              <w:left w:val="single" w:sz="4" w:space="0" w:color="auto"/>
              <w:bottom w:val="single" w:sz="4" w:space="0" w:color="auto"/>
              <w:right w:val="single" w:sz="4" w:space="0" w:color="auto"/>
            </w:tcBorders>
            <w:vAlign w:val="center"/>
          </w:tcPr>
          <w:p w14:paraId="15B606A9" w14:textId="77777777" w:rsidR="007A7E98" w:rsidRPr="00341B41" w:rsidRDefault="007A7E98" w:rsidP="00EB35A1">
            <w:pPr>
              <w:pStyle w:val="NoSpacing"/>
              <w:rPr>
                <w:sz w:val="20"/>
              </w:rPr>
            </w:pPr>
          </w:p>
          <w:p w14:paraId="032A34E0" w14:textId="77777777" w:rsidR="007A7E98" w:rsidRPr="00341B41" w:rsidRDefault="007A7E98" w:rsidP="00EB35A1">
            <w:pPr>
              <w:pStyle w:val="NoSpacing"/>
              <w:rPr>
                <w:sz w:val="20"/>
              </w:rPr>
            </w:pPr>
          </w:p>
        </w:tc>
      </w:tr>
      <w:tr w:rsidR="007A7E98" w:rsidRPr="00341B41" w14:paraId="2C4FEBBE" w14:textId="77777777" w:rsidTr="007A7E98">
        <w:trPr>
          <w:gridAfter w:val="1"/>
          <w:wAfter w:w="12" w:type="dxa"/>
          <w:trHeight w:val="591"/>
        </w:trPr>
        <w:tc>
          <w:tcPr>
            <w:tcW w:w="640" w:type="dxa"/>
            <w:tcBorders>
              <w:top w:val="single" w:sz="4" w:space="0" w:color="auto"/>
              <w:left w:val="single" w:sz="4" w:space="0" w:color="auto"/>
              <w:bottom w:val="single" w:sz="4" w:space="0" w:color="auto"/>
              <w:right w:val="single" w:sz="4" w:space="0" w:color="auto"/>
            </w:tcBorders>
            <w:hideMark/>
          </w:tcPr>
          <w:p w14:paraId="4861B2F7" w14:textId="77777777" w:rsidR="007A7E98" w:rsidRPr="00341B41" w:rsidRDefault="007A7E98" w:rsidP="00EB35A1">
            <w:pPr>
              <w:pStyle w:val="NoSpacing"/>
              <w:rPr>
                <w:sz w:val="20"/>
              </w:rPr>
            </w:pPr>
            <w:r w:rsidRPr="00341B41">
              <w:rPr>
                <w:sz w:val="20"/>
              </w:rPr>
              <w:t>Q15</w:t>
            </w:r>
          </w:p>
        </w:tc>
        <w:tc>
          <w:tcPr>
            <w:tcW w:w="3999" w:type="dxa"/>
            <w:tcBorders>
              <w:top w:val="single" w:sz="4" w:space="0" w:color="auto"/>
              <w:left w:val="single" w:sz="4" w:space="0" w:color="auto"/>
              <w:bottom w:val="single" w:sz="4" w:space="0" w:color="auto"/>
              <w:right w:val="single" w:sz="4" w:space="0" w:color="auto"/>
            </w:tcBorders>
          </w:tcPr>
          <w:p w14:paraId="671B92F2" w14:textId="77777777" w:rsidR="007A7E98" w:rsidRPr="00341B41" w:rsidRDefault="007A7E98" w:rsidP="00EB35A1">
            <w:pPr>
              <w:pStyle w:val="NoSpacing"/>
              <w:rPr>
                <w:sz w:val="20"/>
              </w:rPr>
            </w:pPr>
            <w:r w:rsidRPr="00341B41">
              <w:rPr>
                <w:sz w:val="20"/>
              </w:rPr>
              <w:t>Which hand do you play tennis with?</w:t>
            </w:r>
          </w:p>
          <w:p w14:paraId="27E14E0B" w14:textId="77777777" w:rsidR="007A7E98" w:rsidRPr="00341B41" w:rsidRDefault="007A7E98" w:rsidP="00EB35A1">
            <w:pPr>
              <w:pStyle w:val="NoSpacing"/>
              <w:rPr>
                <w:sz w:val="20"/>
              </w:rPr>
            </w:pPr>
          </w:p>
        </w:tc>
        <w:tc>
          <w:tcPr>
            <w:tcW w:w="773" w:type="dxa"/>
            <w:tcBorders>
              <w:top w:val="single" w:sz="4" w:space="0" w:color="auto"/>
              <w:left w:val="single" w:sz="4" w:space="0" w:color="auto"/>
              <w:bottom w:val="single" w:sz="4" w:space="0" w:color="auto"/>
              <w:right w:val="single" w:sz="4" w:space="0" w:color="auto"/>
            </w:tcBorders>
            <w:vAlign w:val="center"/>
          </w:tcPr>
          <w:p w14:paraId="097BC6B4" w14:textId="77777777" w:rsidR="007A7E98" w:rsidRPr="00341B41" w:rsidRDefault="007A7E98" w:rsidP="00EB35A1">
            <w:pPr>
              <w:pStyle w:val="NoSpacing"/>
              <w:rPr>
                <w:sz w:val="20"/>
              </w:rPr>
            </w:pPr>
          </w:p>
        </w:tc>
        <w:tc>
          <w:tcPr>
            <w:tcW w:w="1161" w:type="dxa"/>
            <w:tcBorders>
              <w:top w:val="single" w:sz="4" w:space="0" w:color="auto"/>
              <w:left w:val="single" w:sz="4" w:space="0" w:color="auto"/>
              <w:bottom w:val="single" w:sz="4" w:space="0" w:color="auto"/>
              <w:right w:val="single" w:sz="4" w:space="0" w:color="auto"/>
            </w:tcBorders>
            <w:vAlign w:val="center"/>
            <w:hideMark/>
          </w:tcPr>
          <w:p w14:paraId="6C829E89" w14:textId="77777777" w:rsidR="007A7E98" w:rsidRPr="00341B41" w:rsidRDefault="007A7E98" w:rsidP="00EB35A1">
            <w:pPr>
              <w:pStyle w:val="NoSpacing"/>
              <w:rPr>
                <w:sz w:val="20"/>
              </w:rPr>
            </w:pPr>
            <w:r w:rsidRPr="00341B41">
              <w:rPr>
                <w:sz w:val="20"/>
              </w:rPr>
              <w:t>Left</w:t>
            </w:r>
          </w:p>
        </w:tc>
        <w:tc>
          <w:tcPr>
            <w:tcW w:w="771" w:type="dxa"/>
            <w:tcBorders>
              <w:top w:val="single" w:sz="4" w:space="0" w:color="auto"/>
              <w:left w:val="single" w:sz="4" w:space="0" w:color="auto"/>
              <w:bottom w:val="single" w:sz="4" w:space="0" w:color="auto"/>
              <w:right w:val="single" w:sz="4" w:space="0" w:color="auto"/>
            </w:tcBorders>
            <w:vAlign w:val="center"/>
          </w:tcPr>
          <w:p w14:paraId="6A08E1FB" w14:textId="77777777" w:rsidR="007A7E98" w:rsidRPr="00341B41" w:rsidRDefault="007A7E98" w:rsidP="00EB35A1">
            <w:pPr>
              <w:pStyle w:val="NoSpacing"/>
              <w:rPr>
                <w:sz w:val="20"/>
              </w:rPr>
            </w:pPr>
          </w:p>
        </w:tc>
        <w:tc>
          <w:tcPr>
            <w:tcW w:w="906" w:type="dxa"/>
            <w:tcBorders>
              <w:top w:val="single" w:sz="4" w:space="0" w:color="auto"/>
              <w:left w:val="single" w:sz="4" w:space="0" w:color="auto"/>
              <w:bottom w:val="single" w:sz="4" w:space="0" w:color="auto"/>
              <w:right w:val="single" w:sz="4" w:space="0" w:color="auto"/>
            </w:tcBorders>
            <w:vAlign w:val="center"/>
            <w:hideMark/>
          </w:tcPr>
          <w:p w14:paraId="71D24FE5" w14:textId="77777777" w:rsidR="007A7E98" w:rsidRPr="00341B41" w:rsidRDefault="007A7E98" w:rsidP="00EB35A1">
            <w:pPr>
              <w:pStyle w:val="NoSpacing"/>
              <w:rPr>
                <w:sz w:val="20"/>
              </w:rPr>
            </w:pPr>
            <w:r w:rsidRPr="00341B41">
              <w:rPr>
                <w:sz w:val="20"/>
              </w:rPr>
              <w:t>Right</w:t>
            </w:r>
          </w:p>
        </w:tc>
      </w:tr>
    </w:tbl>
    <w:p w14:paraId="1113B311" w14:textId="77777777" w:rsidR="007A7E98" w:rsidRPr="00341B41" w:rsidRDefault="007A7E98" w:rsidP="00EB35A1">
      <w:pPr>
        <w:pStyle w:val="NoSpacing"/>
      </w:pPr>
    </w:p>
    <w:p w14:paraId="3BC93AE3" w14:textId="77777777" w:rsidR="007A7E98" w:rsidRPr="00341B41" w:rsidRDefault="007A7E98" w:rsidP="00EB35A1">
      <w:pPr>
        <w:pStyle w:val="NoSpacing"/>
      </w:pPr>
    </w:p>
    <w:p w14:paraId="31E4FAA5" w14:textId="77777777" w:rsidR="007A7E98" w:rsidRPr="00341B41" w:rsidRDefault="007A7E98" w:rsidP="00EB35A1">
      <w:pPr>
        <w:pStyle w:val="NoSpacing"/>
      </w:pPr>
    </w:p>
    <w:p w14:paraId="38706029" w14:textId="77777777" w:rsidR="007A7E98" w:rsidRPr="00341B41" w:rsidRDefault="007A7E98" w:rsidP="00EB35A1">
      <w:pPr>
        <w:pStyle w:val="NoSpacing"/>
      </w:pPr>
    </w:p>
    <w:p w14:paraId="4A25E507" w14:textId="77777777" w:rsidR="007A7E98" w:rsidRPr="00341B41" w:rsidRDefault="007A7E98" w:rsidP="00EB35A1">
      <w:pPr>
        <w:pStyle w:val="NoSpacing"/>
      </w:pPr>
    </w:p>
    <w:p w14:paraId="2AD0191B" w14:textId="77777777" w:rsidR="007A7E98" w:rsidRPr="00341B41" w:rsidRDefault="007A7E98" w:rsidP="00EB35A1">
      <w:pPr>
        <w:pStyle w:val="NoSpacing"/>
      </w:pPr>
    </w:p>
    <w:p w14:paraId="67FBE72C" w14:textId="77777777" w:rsidR="00EB35A1" w:rsidRPr="00341B41" w:rsidRDefault="00EB35A1" w:rsidP="00EB35A1">
      <w:pPr>
        <w:pStyle w:val="NoSpacing"/>
        <w:sectPr w:rsidR="00EB35A1" w:rsidRPr="00341B41" w:rsidSect="00805FAB">
          <w:pgSz w:w="12240" w:h="15840"/>
          <w:pgMar w:top="1440" w:right="1138" w:bottom="1440" w:left="2275" w:header="720" w:footer="720" w:gutter="0"/>
          <w:cols w:space="720"/>
          <w:titlePg/>
          <w:docGrid w:linePitch="360"/>
        </w:sectPr>
      </w:pPr>
    </w:p>
    <w:p w14:paraId="1E0ECE69" w14:textId="31DF7B47" w:rsidR="00EB35A1" w:rsidRPr="00341B41" w:rsidRDefault="00EB35A1" w:rsidP="00EB35A1">
      <w:pPr>
        <w:pStyle w:val="Heading1"/>
      </w:pPr>
      <w:bookmarkStart w:id="130" w:name="_Toc486260910"/>
      <w:r w:rsidRPr="00341B41">
        <w:lastRenderedPageBreak/>
        <w:t>Appendix A2 – Questionnaire used to assess participant handedness</w:t>
      </w:r>
      <w:bookmarkEnd w:id="130"/>
    </w:p>
    <w:p w14:paraId="30B7EDEC" w14:textId="77777777" w:rsidR="00EB35A1" w:rsidRPr="00341B41" w:rsidRDefault="00EB35A1" w:rsidP="00EB35A1">
      <w:pPr>
        <w:pStyle w:val="NoSpacing"/>
      </w:pPr>
      <w:r w:rsidRPr="00341B41">
        <w:t>Handedness questionnaire</w:t>
      </w:r>
    </w:p>
    <w:p w14:paraId="1B2F359A" w14:textId="77777777" w:rsidR="00EB35A1" w:rsidRPr="00341B41" w:rsidRDefault="00EB35A1" w:rsidP="00EB35A1">
      <w:pPr>
        <w:pStyle w:val="NoSpacing"/>
      </w:pPr>
      <w:r w:rsidRPr="00341B41">
        <w:t>For each of the activities below, please indicate which hand you prefer for that activity, and do you ever use the other hand for the activity.</w:t>
      </w:r>
    </w:p>
    <w:p w14:paraId="7D2817A1" w14:textId="77777777" w:rsidR="00EB35A1" w:rsidRPr="00341B41" w:rsidRDefault="00EB35A1" w:rsidP="00EB35A1">
      <w:pPr>
        <w:pStyle w:val="NoSpacing"/>
      </w:pPr>
    </w:p>
    <w:p w14:paraId="061F6EA8" w14:textId="77777777" w:rsidR="00EB35A1" w:rsidRPr="00341B41" w:rsidRDefault="00EB35A1" w:rsidP="00EB35A1">
      <w:pPr>
        <w:pStyle w:val="NoSpacing"/>
      </w:pPr>
      <w:r w:rsidRPr="00341B41">
        <w:t xml:space="preserve">Which hand do you prefer to use </w:t>
      </w:r>
      <w:proofErr w:type="gramStart"/>
      <w:r w:rsidRPr="00341B41">
        <w:t>when:</w:t>
      </w:r>
      <w:proofErr w:type="gramEnd"/>
    </w:p>
    <w:p w14:paraId="7EE4DD8C" w14:textId="77777777" w:rsidR="00EB35A1" w:rsidRPr="00341B41" w:rsidRDefault="00EB35A1" w:rsidP="00EB35A1">
      <w:pPr>
        <w:pStyle w:val="NoSpacing"/>
      </w:pPr>
    </w:p>
    <w:tbl>
      <w:tblPr>
        <w:tblStyle w:val="TableGrid"/>
        <w:tblW w:w="8415" w:type="dxa"/>
        <w:tblLayout w:type="fixed"/>
        <w:tblLook w:val="04A0" w:firstRow="1" w:lastRow="0" w:firstColumn="1" w:lastColumn="0" w:noHBand="0" w:noVBand="1"/>
      </w:tblPr>
      <w:tblGrid>
        <w:gridCol w:w="2532"/>
        <w:gridCol w:w="1336"/>
        <w:gridCol w:w="1515"/>
        <w:gridCol w:w="1516"/>
        <w:gridCol w:w="1516"/>
      </w:tblGrid>
      <w:tr w:rsidR="00EB35A1" w:rsidRPr="00341B41" w14:paraId="162AFD65" w14:textId="77777777" w:rsidTr="0029738F">
        <w:trPr>
          <w:trHeight w:val="775"/>
        </w:trPr>
        <w:tc>
          <w:tcPr>
            <w:tcW w:w="2532" w:type="dxa"/>
            <w:tcBorders>
              <w:top w:val="single" w:sz="4" w:space="0" w:color="auto"/>
              <w:left w:val="single" w:sz="4" w:space="0" w:color="auto"/>
              <w:bottom w:val="single" w:sz="4" w:space="0" w:color="auto"/>
              <w:right w:val="single" w:sz="4" w:space="0" w:color="auto"/>
            </w:tcBorders>
          </w:tcPr>
          <w:p w14:paraId="2D143EBE" w14:textId="77777777" w:rsidR="00EB35A1" w:rsidRPr="00341B41" w:rsidRDefault="00EB35A1" w:rsidP="00EB35A1">
            <w:pPr>
              <w:pStyle w:val="NoSpacing"/>
            </w:pPr>
          </w:p>
        </w:tc>
        <w:tc>
          <w:tcPr>
            <w:tcW w:w="1335" w:type="dxa"/>
            <w:tcBorders>
              <w:top w:val="single" w:sz="4" w:space="0" w:color="auto"/>
              <w:left w:val="single" w:sz="4" w:space="0" w:color="auto"/>
              <w:bottom w:val="single" w:sz="4" w:space="0" w:color="auto"/>
              <w:right w:val="single" w:sz="4" w:space="0" w:color="auto"/>
            </w:tcBorders>
            <w:hideMark/>
          </w:tcPr>
          <w:p w14:paraId="7CB7D4AA" w14:textId="77777777" w:rsidR="00EB35A1" w:rsidRPr="00341B41" w:rsidRDefault="00EB35A1" w:rsidP="00EB35A1">
            <w:pPr>
              <w:pStyle w:val="NoSpacing"/>
            </w:pPr>
            <w:r w:rsidRPr="00341B41">
              <w:t>Left</w:t>
            </w:r>
          </w:p>
        </w:tc>
        <w:tc>
          <w:tcPr>
            <w:tcW w:w="1514" w:type="dxa"/>
            <w:tcBorders>
              <w:top w:val="single" w:sz="4" w:space="0" w:color="auto"/>
              <w:left w:val="single" w:sz="4" w:space="0" w:color="auto"/>
              <w:bottom w:val="single" w:sz="4" w:space="0" w:color="auto"/>
              <w:right w:val="single" w:sz="4" w:space="0" w:color="auto"/>
            </w:tcBorders>
            <w:hideMark/>
          </w:tcPr>
          <w:p w14:paraId="33666F33" w14:textId="77777777" w:rsidR="00EB35A1" w:rsidRPr="00341B41" w:rsidRDefault="00EB35A1" w:rsidP="00EB35A1">
            <w:pPr>
              <w:pStyle w:val="NoSpacing"/>
            </w:pPr>
            <w:r w:rsidRPr="00341B41">
              <w:t>No preference</w:t>
            </w:r>
          </w:p>
        </w:tc>
        <w:tc>
          <w:tcPr>
            <w:tcW w:w="1515" w:type="dxa"/>
            <w:tcBorders>
              <w:top w:val="single" w:sz="4" w:space="0" w:color="auto"/>
              <w:left w:val="single" w:sz="4" w:space="0" w:color="auto"/>
              <w:bottom w:val="single" w:sz="4" w:space="0" w:color="auto"/>
              <w:right w:val="single" w:sz="4" w:space="0" w:color="auto"/>
            </w:tcBorders>
            <w:hideMark/>
          </w:tcPr>
          <w:p w14:paraId="7BC4D1AA" w14:textId="77777777" w:rsidR="00EB35A1" w:rsidRPr="00341B41" w:rsidRDefault="00EB35A1" w:rsidP="00EB35A1">
            <w:pPr>
              <w:pStyle w:val="NoSpacing"/>
            </w:pPr>
            <w:r w:rsidRPr="00341B41">
              <w:t>Right</w:t>
            </w:r>
          </w:p>
        </w:tc>
        <w:tc>
          <w:tcPr>
            <w:tcW w:w="1515" w:type="dxa"/>
            <w:tcBorders>
              <w:top w:val="single" w:sz="4" w:space="0" w:color="auto"/>
              <w:left w:val="single" w:sz="4" w:space="0" w:color="auto"/>
              <w:bottom w:val="single" w:sz="4" w:space="0" w:color="auto"/>
              <w:right w:val="single" w:sz="4" w:space="0" w:color="auto"/>
            </w:tcBorders>
            <w:hideMark/>
          </w:tcPr>
          <w:p w14:paraId="48AC544E" w14:textId="77777777" w:rsidR="00EB35A1" w:rsidRPr="00341B41" w:rsidRDefault="00EB35A1" w:rsidP="00EB35A1">
            <w:pPr>
              <w:pStyle w:val="NoSpacing"/>
            </w:pPr>
            <w:r w:rsidRPr="00341B41">
              <w:t>Do you ever use the other hand?</w:t>
            </w:r>
          </w:p>
        </w:tc>
      </w:tr>
      <w:tr w:rsidR="00EB35A1" w:rsidRPr="00341B41" w14:paraId="58C4D80A" w14:textId="77777777" w:rsidTr="0029738F">
        <w:trPr>
          <w:trHeight w:val="541"/>
        </w:trPr>
        <w:tc>
          <w:tcPr>
            <w:tcW w:w="2532" w:type="dxa"/>
            <w:tcBorders>
              <w:top w:val="single" w:sz="4" w:space="0" w:color="auto"/>
              <w:left w:val="single" w:sz="4" w:space="0" w:color="auto"/>
              <w:bottom w:val="single" w:sz="4" w:space="0" w:color="auto"/>
              <w:right w:val="single" w:sz="4" w:space="0" w:color="auto"/>
            </w:tcBorders>
            <w:hideMark/>
          </w:tcPr>
          <w:p w14:paraId="0A47C2FE" w14:textId="77777777" w:rsidR="00EB35A1" w:rsidRPr="00341B41" w:rsidRDefault="00EB35A1" w:rsidP="00EB35A1">
            <w:pPr>
              <w:pStyle w:val="NoSpacing"/>
            </w:pPr>
            <w:r w:rsidRPr="00341B41">
              <w:t>Writing</w:t>
            </w:r>
          </w:p>
        </w:tc>
        <w:tc>
          <w:tcPr>
            <w:tcW w:w="1335" w:type="dxa"/>
            <w:tcBorders>
              <w:top w:val="single" w:sz="4" w:space="0" w:color="auto"/>
              <w:left w:val="single" w:sz="4" w:space="0" w:color="auto"/>
              <w:bottom w:val="single" w:sz="4" w:space="0" w:color="auto"/>
              <w:right w:val="single" w:sz="4" w:space="0" w:color="auto"/>
            </w:tcBorders>
          </w:tcPr>
          <w:p w14:paraId="7E103FB2"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50687D0F"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539289C8"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37BC959F" w14:textId="77777777" w:rsidR="00EB35A1" w:rsidRPr="00341B41" w:rsidRDefault="00EB35A1" w:rsidP="00EB35A1">
            <w:pPr>
              <w:pStyle w:val="NoSpacing"/>
            </w:pPr>
          </w:p>
        </w:tc>
      </w:tr>
      <w:tr w:rsidR="00EB35A1" w:rsidRPr="00341B41" w14:paraId="6123C89D" w14:textId="77777777" w:rsidTr="0029738F">
        <w:trPr>
          <w:trHeight w:val="541"/>
        </w:trPr>
        <w:tc>
          <w:tcPr>
            <w:tcW w:w="2532" w:type="dxa"/>
            <w:tcBorders>
              <w:top w:val="single" w:sz="4" w:space="0" w:color="auto"/>
              <w:left w:val="single" w:sz="4" w:space="0" w:color="auto"/>
              <w:bottom w:val="single" w:sz="4" w:space="0" w:color="auto"/>
              <w:right w:val="single" w:sz="4" w:space="0" w:color="auto"/>
            </w:tcBorders>
            <w:hideMark/>
          </w:tcPr>
          <w:p w14:paraId="12A0EB53" w14:textId="77777777" w:rsidR="00EB35A1" w:rsidRPr="00341B41" w:rsidRDefault="00EB35A1" w:rsidP="00EB35A1">
            <w:pPr>
              <w:pStyle w:val="NoSpacing"/>
            </w:pPr>
            <w:r w:rsidRPr="00341B41">
              <w:t>Drawing</w:t>
            </w:r>
          </w:p>
        </w:tc>
        <w:tc>
          <w:tcPr>
            <w:tcW w:w="1335" w:type="dxa"/>
            <w:tcBorders>
              <w:top w:val="single" w:sz="4" w:space="0" w:color="auto"/>
              <w:left w:val="single" w:sz="4" w:space="0" w:color="auto"/>
              <w:bottom w:val="single" w:sz="4" w:space="0" w:color="auto"/>
              <w:right w:val="single" w:sz="4" w:space="0" w:color="auto"/>
            </w:tcBorders>
          </w:tcPr>
          <w:p w14:paraId="42709403"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73EB0E27"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1B8AF0EC"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3C493FDD" w14:textId="77777777" w:rsidR="00EB35A1" w:rsidRPr="00341B41" w:rsidRDefault="00EB35A1" w:rsidP="00EB35A1">
            <w:pPr>
              <w:pStyle w:val="NoSpacing"/>
            </w:pPr>
          </w:p>
        </w:tc>
      </w:tr>
      <w:tr w:rsidR="00EB35A1" w:rsidRPr="00341B41" w14:paraId="60F80838" w14:textId="77777777" w:rsidTr="0029738F">
        <w:trPr>
          <w:trHeight w:val="510"/>
        </w:trPr>
        <w:tc>
          <w:tcPr>
            <w:tcW w:w="2532" w:type="dxa"/>
            <w:tcBorders>
              <w:top w:val="single" w:sz="4" w:space="0" w:color="auto"/>
              <w:left w:val="single" w:sz="4" w:space="0" w:color="auto"/>
              <w:bottom w:val="single" w:sz="4" w:space="0" w:color="auto"/>
              <w:right w:val="single" w:sz="4" w:space="0" w:color="auto"/>
            </w:tcBorders>
            <w:hideMark/>
          </w:tcPr>
          <w:p w14:paraId="34D42C3E" w14:textId="77777777" w:rsidR="00EB35A1" w:rsidRPr="00341B41" w:rsidRDefault="00EB35A1" w:rsidP="00EB35A1">
            <w:pPr>
              <w:pStyle w:val="NoSpacing"/>
            </w:pPr>
            <w:r w:rsidRPr="00341B41">
              <w:t>Throwing</w:t>
            </w:r>
          </w:p>
        </w:tc>
        <w:tc>
          <w:tcPr>
            <w:tcW w:w="1335" w:type="dxa"/>
            <w:tcBorders>
              <w:top w:val="single" w:sz="4" w:space="0" w:color="auto"/>
              <w:left w:val="single" w:sz="4" w:space="0" w:color="auto"/>
              <w:bottom w:val="single" w:sz="4" w:space="0" w:color="auto"/>
              <w:right w:val="single" w:sz="4" w:space="0" w:color="auto"/>
            </w:tcBorders>
          </w:tcPr>
          <w:p w14:paraId="4AB20E01"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2BD02125"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6A9447AE"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558EC3BD" w14:textId="77777777" w:rsidR="00EB35A1" w:rsidRPr="00341B41" w:rsidRDefault="00EB35A1" w:rsidP="00EB35A1">
            <w:pPr>
              <w:pStyle w:val="NoSpacing"/>
            </w:pPr>
          </w:p>
        </w:tc>
      </w:tr>
      <w:tr w:rsidR="00EB35A1" w:rsidRPr="00341B41" w14:paraId="427EA97A" w14:textId="77777777" w:rsidTr="0029738F">
        <w:trPr>
          <w:trHeight w:val="541"/>
        </w:trPr>
        <w:tc>
          <w:tcPr>
            <w:tcW w:w="2532" w:type="dxa"/>
            <w:tcBorders>
              <w:top w:val="single" w:sz="4" w:space="0" w:color="auto"/>
              <w:left w:val="single" w:sz="4" w:space="0" w:color="auto"/>
              <w:bottom w:val="single" w:sz="4" w:space="0" w:color="auto"/>
              <w:right w:val="single" w:sz="4" w:space="0" w:color="auto"/>
            </w:tcBorders>
            <w:hideMark/>
          </w:tcPr>
          <w:p w14:paraId="26602F07" w14:textId="77777777" w:rsidR="00EB35A1" w:rsidRPr="00341B41" w:rsidRDefault="00EB35A1" w:rsidP="00EB35A1">
            <w:pPr>
              <w:pStyle w:val="NoSpacing"/>
            </w:pPr>
            <w:r w:rsidRPr="00341B41">
              <w:t>Using scissors</w:t>
            </w:r>
          </w:p>
        </w:tc>
        <w:tc>
          <w:tcPr>
            <w:tcW w:w="1335" w:type="dxa"/>
            <w:tcBorders>
              <w:top w:val="single" w:sz="4" w:space="0" w:color="auto"/>
              <w:left w:val="single" w:sz="4" w:space="0" w:color="auto"/>
              <w:bottom w:val="single" w:sz="4" w:space="0" w:color="auto"/>
              <w:right w:val="single" w:sz="4" w:space="0" w:color="auto"/>
            </w:tcBorders>
          </w:tcPr>
          <w:p w14:paraId="52F8DB7C"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300909E0"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65CCAA71"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77B3A99B" w14:textId="77777777" w:rsidR="00EB35A1" w:rsidRPr="00341B41" w:rsidRDefault="00EB35A1" w:rsidP="00EB35A1">
            <w:pPr>
              <w:pStyle w:val="NoSpacing"/>
            </w:pPr>
          </w:p>
        </w:tc>
      </w:tr>
      <w:tr w:rsidR="00EB35A1" w:rsidRPr="00341B41" w14:paraId="40A1E095" w14:textId="77777777" w:rsidTr="0029738F">
        <w:trPr>
          <w:trHeight w:val="510"/>
        </w:trPr>
        <w:tc>
          <w:tcPr>
            <w:tcW w:w="2532" w:type="dxa"/>
            <w:tcBorders>
              <w:top w:val="single" w:sz="4" w:space="0" w:color="auto"/>
              <w:left w:val="single" w:sz="4" w:space="0" w:color="auto"/>
              <w:bottom w:val="single" w:sz="4" w:space="0" w:color="auto"/>
              <w:right w:val="single" w:sz="4" w:space="0" w:color="auto"/>
            </w:tcBorders>
            <w:hideMark/>
          </w:tcPr>
          <w:p w14:paraId="10388511" w14:textId="77777777" w:rsidR="00EB35A1" w:rsidRPr="00341B41" w:rsidRDefault="00EB35A1" w:rsidP="00EB35A1">
            <w:pPr>
              <w:pStyle w:val="NoSpacing"/>
            </w:pPr>
            <w:r w:rsidRPr="00341B41">
              <w:t>Using a toothbrush</w:t>
            </w:r>
          </w:p>
        </w:tc>
        <w:tc>
          <w:tcPr>
            <w:tcW w:w="1335" w:type="dxa"/>
            <w:tcBorders>
              <w:top w:val="single" w:sz="4" w:space="0" w:color="auto"/>
              <w:left w:val="single" w:sz="4" w:space="0" w:color="auto"/>
              <w:bottom w:val="single" w:sz="4" w:space="0" w:color="auto"/>
              <w:right w:val="single" w:sz="4" w:space="0" w:color="auto"/>
            </w:tcBorders>
          </w:tcPr>
          <w:p w14:paraId="63558530"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62E35C20"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475221B9"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34E497D7" w14:textId="77777777" w:rsidR="00EB35A1" w:rsidRPr="00341B41" w:rsidRDefault="00EB35A1" w:rsidP="00EB35A1">
            <w:pPr>
              <w:pStyle w:val="NoSpacing"/>
            </w:pPr>
          </w:p>
        </w:tc>
      </w:tr>
      <w:tr w:rsidR="00EB35A1" w:rsidRPr="00341B41" w14:paraId="2981F265" w14:textId="77777777" w:rsidTr="0029738F">
        <w:trPr>
          <w:trHeight w:val="696"/>
        </w:trPr>
        <w:tc>
          <w:tcPr>
            <w:tcW w:w="2532" w:type="dxa"/>
            <w:tcBorders>
              <w:top w:val="single" w:sz="4" w:space="0" w:color="auto"/>
              <w:left w:val="single" w:sz="4" w:space="0" w:color="auto"/>
              <w:bottom w:val="single" w:sz="4" w:space="0" w:color="auto"/>
              <w:right w:val="single" w:sz="4" w:space="0" w:color="auto"/>
            </w:tcBorders>
            <w:hideMark/>
          </w:tcPr>
          <w:p w14:paraId="1D3186ED" w14:textId="77777777" w:rsidR="00EB35A1" w:rsidRPr="00341B41" w:rsidRDefault="00EB35A1" w:rsidP="00EB35A1">
            <w:pPr>
              <w:pStyle w:val="NoSpacing"/>
            </w:pPr>
            <w:r w:rsidRPr="00341B41">
              <w:t>Using a knife (without a fork)</w:t>
            </w:r>
          </w:p>
        </w:tc>
        <w:tc>
          <w:tcPr>
            <w:tcW w:w="1335" w:type="dxa"/>
            <w:tcBorders>
              <w:top w:val="single" w:sz="4" w:space="0" w:color="auto"/>
              <w:left w:val="single" w:sz="4" w:space="0" w:color="auto"/>
              <w:bottom w:val="single" w:sz="4" w:space="0" w:color="auto"/>
              <w:right w:val="single" w:sz="4" w:space="0" w:color="auto"/>
            </w:tcBorders>
          </w:tcPr>
          <w:p w14:paraId="101200ED"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1DBA3ADF"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0C714E63"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71D8E97A" w14:textId="77777777" w:rsidR="00EB35A1" w:rsidRPr="00341B41" w:rsidRDefault="00EB35A1" w:rsidP="00EB35A1">
            <w:pPr>
              <w:pStyle w:val="NoSpacing"/>
            </w:pPr>
          </w:p>
        </w:tc>
      </w:tr>
      <w:tr w:rsidR="00EB35A1" w:rsidRPr="00341B41" w14:paraId="3FFB84DA" w14:textId="77777777" w:rsidTr="0029738F">
        <w:trPr>
          <w:trHeight w:val="510"/>
        </w:trPr>
        <w:tc>
          <w:tcPr>
            <w:tcW w:w="2532" w:type="dxa"/>
            <w:tcBorders>
              <w:top w:val="single" w:sz="4" w:space="0" w:color="auto"/>
              <w:left w:val="single" w:sz="4" w:space="0" w:color="auto"/>
              <w:bottom w:val="single" w:sz="4" w:space="0" w:color="auto"/>
              <w:right w:val="single" w:sz="4" w:space="0" w:color="auto"/>
            </w:tcBorders>
            <w:hideMark/>
          </w:tcPr>
          <w:p w14:paraId="793CD6F1" w14:textId="77777777" w:rsidR="00EB35A1" w:rsidRPr="00341B41" w:rsidRDefault="00EB35A1" w:rsidP="00EB35A1">
            <w:pPr>
              <w:pStyle w:val="NoSpacing"/>
            </w:pPr>
            <w:r w:rsidRPr="00341B41">
              <w:t>Using a spoon</w:t>
            </w:r>
          </w:p>
        </w:tc>
        <w:tc>
          <w:tcPr>
            <w:tcW w:w="1335" w:type="dxa"/>
            <w:tcBorders>
              <w:top w:val="single" w:sz="4" w:space="0" w:color="auto"/>
              <w:left w:val="single" w:sz="4" w:space="0" w:color="auto"/>
              <w:bottom w:val="single" w:sz="4" w:space="0" w:color="auto"/>
              <w:right w:val="single" w:sz="4" w:space="0" w:color="auto"/>
            </w:tcBorders>
          </w:tcPr>
          <w:p w14:paraId="2E0EDBFB"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0B19EC8D"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7C9491D2"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6AAB12C2" w14:textId="77777777" w:rsidR="00EB35A1" w:rsidRPr="00341B41" w:rsidRDefault="00EB35A1" w:rsidP="00EB35A1">
            <w:pPr>
              <w:pStyle w:val="NoSpacing"/>
            </w:pPr>
          </w:p>
        </w:tc>
      </w:tr>
      <w:tr w:rsidR="00EB35A1" w:rsidRPr="00341B41" w14:paraId="05520420" w14:textId="77777777" w:rsidTr="0029738F">
        <w:trPr>
          <w:trHeight w:val="493"/>
        </w:trPr>
        <w:tc>
          <w:tcPr>
            <w:tcW w:w="2532" w:type="dxa"/>
            <w:tcBorders>
              <w:top w:val="single" w:sz="4" w:space="0" w:color="auto"/>
              <w:left w:val="single" w:sz="4" w:space="0" w:color="auto"/>
              <w:bottom w:val="single" w:sz="4" w:space="0" w:color="auto"/>
              <w:right w:val="single" w:sz="4" w:space="0" w:color="auto"/>
            </w:tcBorders>
            <w:hideMark/>
          </w:tcPr>
          <w:p w14:paraId="2F247A02" w14:textId="77777777" w:rsidR="00EB35A1" w:rsidRPr="00341B41" w:rsidRDefault="00EB35A1" w:rsidP="00EB35A1">
            <w:pPr>
              <w:pStyle w:val="NoSpacing"/>
            </w:pPr>
            <w:r w:rsidRPr="00341B41">
              <w:t>Using a broom (upper hand)</w:t>
            </w:r>
          </w:p>
        </w:tc>
        <w:tc>
          <w:tcPr>
            <w:tcW w:w="1335" w:type="dxa"/>
            <w:tcBorders>
              <w:top w:val="single" w:sz="4" w:space="0" w:color="auto"/>
              <w:left w:val="single" w:sz="4" w:space="0" w:color="auto"/>
              <w:bottom w:val="single" w:sz="4" w:space="0" w:color="auto"/>
              <w:right w:val="single" w:sz="4" w:space="0" w:color="auto"/>
            </w:tcBorders>
          </w:tcPr>
          <w:p w14:paraId="25697E43"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5B1D9A84"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19BDB36A"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1D98ADD8" w14:textId="77777777" w:rsidR="00EB35A1" w:rsidRPr="00341B41" w:rsidRDefault="00EB35A1" w:rsidP="00EB35A1">
            <w:pPr>
              <w:pStyle w:val="NoSpacing"/>
            </w:pPr>
          </w:p>
        </w:tc>
      </w:tr>
      <w:tr w:rsidR="00EB35A1" w:rsidRPr="00341B41" w14:paraId="32ADCDC7" w14:textId="77777777" w:rsidTr="0029738F">
        <w:trPr>
          <w:trHeight w:val="510"/>
        </w:trPr>
        <w:tc>
          <w:tcPr>
            <w:tcW w:w="2532" w:type="dxa"/>
            <w:tcBorders>
              <w:top w:val="single" w:sz="4" w:space="0" w:color="auto"/>
              <w:left w:val="single" w:sz="4" w:space="0" w:color="auto"/>
              <w:bottom w:val="single" w:sz="4" w:space="0" w:color="auto"/>
              <w:right w:val="single" w:sz="4" w:space="0" w:color="auto"/>
            </w:tcBorders>
            <w:hideMark/>
          </w:tcPr>
          <w:p w14:paraId="3674EC22" w14:textId="77777777" w:rsidR="00EB35A1" w:rsidRPr="00341B41" w:rsidRDefault="00EB35A1" w:rsidP="00EB35A1">
            <w:pPr>
              <w:pStyle w:val="NoSpacing"/>
            </w:pPr>
            <w:r w:rsidRPr="00341B41">
              <w:t>Striking a match</w:t>
            </w:r>
          </w:p>
        </w:tc>
        <w:tc>
          <w:tcPr>
            <w:tcW w:w="1335" w:type="dxa"/>
            <w:tcBorders>
              <w:top w:val="single" w:sz="4" w:space="0" w:color="auto"/>
              <w:left w:val="single" w:sz="4" w:space="0" w:color="auto"/>
              <w:bottom w:val="single" w:sz="4" w:space="0" w:color="auto"/>
              <w:right w:val="single" w:sz="4" w:space="0" w:color="auto"/>
            </w:tcBorders>
          </w:tcPr>
          <w:p w14:paraId="3E93AA25"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41F32675"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28172841"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1B6FFF9C" w14:textId="77777777" w:rsidR="00EB35A1" w:rsidRPr="00341B41" w:rsidRDefault="00EB35A1" w:rsidP="00EB35A1">
            <w:pPr>
              <w:pStyle w:val="NoSpacing"/>
            </w:pPr>
          </w:p>
        </w:tc>
      </w:tr>
      <w:tr w:rsidR="00EB35A1" w:rsidRPr="00341B41" w14:paraId="64D1799A" w14:textId="77777777" w:rsidTr="0029738F">
        <w:trPr>
          <w:trHeight w:val="660"/>
        </w:trPr>
        <w:tc>
          <w:tcPr>
            <w:tcW w:w="2532" w:type="dxa"/>
            <w:tcBorders>
              <w:top w:val="single" w:sz="4" w:space="0" w:color="auto"/>
              <w:left w:val="single" w:sz="4" w:space="0" w:color="auto"/>
              <w:bottom w:val="single" w:sz="4" w:space="0" w:color="auto"/>
              <w:right w:val="single" w:sz="4" w:space="0" w:color="auto"/>
            </w:tcBorders>
            <w:hideMark/>
          </w:tcPr>
          <w:p w14:paraId="50BC176B" w14:textId="77777777" w:rsidR="00EB35A1" w:rsidRPr="00341B41" w:rsidRDefault="00EB35A1" w:rsidP="00EB35A1">
            <w:pPr>
              <w:pStyle w:val="NoSpacing"/>
            </w:pPr>
            <w:r w:rsidRPr="00341B41">
              <w:t>Opening a box (holding the lid)</w:t>
            </w:r>
          </w:p>
        </w:tc>
        <w:tc>
          <w:tcPr>
            <w:tcW w:w="1335" w:type="dxa"/>
            <w:tcBorders>
              <w:top w:val="single" w:sz="4" w:space="0" w:color="auto"/>
              <w:left w:val="single" w:sz="4" w:space="0" w:color="auto"/>
              <w:bottom w:val="single" w:sz="4" w:space="0" w:color="auto"/>
              <w:right w:val="single" w:sz="4" w:space="0" w:color="auto"/>
            </w:tcBorders>
          </w:tcPr>
          <w:p w14:paraId="5ADB52B0" w14:textId="77777777" w:rsidR="00EB35A1" w:rsidRPr="00341B41" w:rsidRDefault="00EB35A1" w:rsidP="00EB35A1">
            <w:pPr>
              <w:pStyle w:val="NoSpacing"/>
            </w:pPr>
          </w:p>
        </w:tc>
        <w:tc>
          <w:tcPr>
            <w:tcW w:w="1514" w:type="dxa"/>
            <w:tcBorders>
              <w:top w:val="single" w:sz="4" w:space="0" w:color="auto"/>
              <w:left w:val="single" w:sz="4" w:space="0" w:color="auto"/>
              <w:bottom w:val="single" w:sz="4" w:space="0" w:color="auto"/>
              <w:right w:val="single" w:sz="4" w:space="0" w:color="auto"/>
            </w:tcBorders>
          </w:tcPr>
          <w:p w14:paraId="2B001C94"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3E553029" w14:textId="77777777" w:rsidR="00EB35A1" w:rsidRPr="00341B41" w:rsidRDefault="00EB35A1" w:rsidP="00EB35A1">
            <w:pPr>
              <w:pStyle w:val="NoSpacing"/>
            </w:pPr>
          </w:p>
        </w:tc>
        <w:tc>
          <w:tcPr>
            <w:tcW w:w="1515" w:type="dxa"/>
            <w:tcBorders>
              <w:top w:val="single" w:sz="4" w:space="0" w:color="auto"/>
              <w:left w:val="single" w:sz="4" w:space="0" w:color="auto"/>
              <w:bottom w:val="single" w:sz="4" w:space="0" w:color="auto"/>
              <w:right w:val="single" w:sz="4" w:space="0" w:color="auto"/>
            </w:tcBorders>
          </w:tcPr>
          <w:p w14:paraId="652558ED" w14:textId="77777777" w:rsidR="00EB35A1" w:rsidRPr="00341B41" w:rsidRDefault="00EB35A1" w:rsidP="00EB35A1">
            <w:pPr>
              <w:pStyle w:val="NoSpacing"/>
            </w:pPr>
          </w:p>
        </w:tc>
      </w:tr>
    </w:tbl>
    <w:p w14:paraId="63259A42" w14:textId="77777777" w:rsidR="007A7E98" w:rsidRPr="00341B41" w:rsidRDefault="007A7E98" w:rsidP="007A7E98">
      <w:pPr>
        <w:pStyle w:val="NoSpacing"/>
      </w:pPr>
    </w:p>
    <w:p w14:paraId="4989CC55" w14:textId="77777777" w:rsidR="00D14014" w:rsidRPr="00341B41" w:rsidRDefault="00D14014" w:rsidP="007A7E98">
      <w:pPr>
        <w:pStyle w:val="NoSpacing"/>
      </w:pPr>
    </w:p>
    <w:p w14:paraId="4670BD35" w14:textId="77777777" w:rsidR="00D14014" w:rsidRPr="00341B41" w:rsidRDefault="00D14014" w:rsidP="007A7E98">
      <w:pPr>
        <w:pStyle w:val="NoSpacing"/>
      </w:pPr>
    </w:p>
    <w:p w14:paraId="6E177C68" w14:textId="77777777" w:rsidR="00D14014" w:rsidRPr="00341B41" w:rsidRDefault="00D14014" w:rsidP="007A7E98">
      <w:pPr>
        <w:pStyle w:val="NoSpacing"/>
      </w:pPr>
    </w:p>
    <w:p w14:paraId="160CA00A" w14:textId="77777777" w:rsidR="00D14014" w:rsidRPr="00341B41" w:rsidRDefault="00D14014" w:rsidP="007A7E98">
      <w:pPr>
        <w:pStyle w:val="NoSpacing"/>
      </w:pPr>
    </w:p>
    <w:p w14:paraId="7D6455A7" w14:textId="77777777" w:rsidR="00D14014" w:rsidRPr="00341B41" w:rsidRDefault="00D14014" w:rsidP="007A7E98">
      <w:pPr>
        <w:pStyle w:val="NoSpacing"/>
      </w:pPr>
    </w:p>
    <w:p w14:paraId="0D36E673" w14:textId="77777777" w:rsidR="00D14014" w:rsidRPr="00341B41" w:rsidRDefault="00D14014" w:rsidP="007A7E98">
      <w:pPr>
        <w:pStyle w:val="NoSpacing"/>
      </w:pPr>
    </w:p>
    <w:p w14:paraId="0E338A25" w14:textId="77777777" w:rsidR="00D14014" w:rsidRPr="00341B41" w:rsidRDefault="00D14014" w:rsidP="007A7E98">
      <w:pPr>
        <w:pStyle w:val="NoSpacing"/>
      </w:pPr>
    </w:p>
    <w:p w14:paraId="6A47620A" w14:textId="77777777" w:rsidR="00D14014" w:rsidRPr="00341B41" w:rsidRDefault="00D14014" w:rsidP="007A7E98">
      <w:pPr>
        <w:pStyle w:val="NoSpacing"/>
      </w:pPr>
    </w:p>
    <w:p w14:paraId="4F89071A" w14:textId="77777777" w:rsidR="00D14014" w:rsidRPr="00341B41" w:rsidRDefault="00D14014" w:rsidP="007A7E98">
      <w:pPr>
        <w:pStyle w:val="NoSpacing"/>
      </w:pPr>
    </w:p>
    <w:p w14:paraId="2879DD59" w14:textId="77777777" w:rsidR="00D14014" w:rsidRPr="00341B41" w:rsidRDefault="00D14014" w:rsidP="00D14014">
      <w:pPr>
        <w:pStyle w:val="ThesisHeading1"/>
      </w:pPr>
      <w:bookmarkStart w:id="131" w:name="_Toc463276224"/>
    </w:p>
    <w:p w14:paraId="44736B3B" w14:textId="77777777" w:rsidR="00D14014" w:rsidRPr="00341B41" w:rsidRDefault="00D14014" w:rsidP="00D14014">
      <w:pPr>
        <w:pStyle w:val="Heading1"/>
      </w:pPr>
      <w:bookmarkStart w:id="132" w:name="_Toc486260911"/>
      <w:r w:rsidRPr="00341B41">
        <w:lastRenderedPageBreak/>
        <w:t>Appendix B1 -  Individual participant ERSP plots for electrode D19</w:t>
      </w:r>
      <w:bookmarkEnd w:id="131"/>
      <w:bookmarkEnd w:id="132"/>
    </w:p>
    <w:p w14:paraId="1AE59A17" w14:textId="77777777" w:rsidR="00D14014" w:rsidRPr="00341B41" w:rsidRDefault="00D14014" w:rsidP="00D14014">
      <w:pPr>
        <w:pStyle w:val="ThesisHeading1"/>
      </w:pPr>
      <w:bookmarkStart w:id="133" w:name="_Toc463276225"/>
      <w:r w:rsidRPr="00341B41">
        <w:rPr>
          <w:noProof/>
        </w:rPr>
        <w:drawing>
          <wp:inline distT="0" distB="0" distL="0" distR="0" wp14:anchorId="106B4808" wp14:editId="7EB70B62">
            <wp:extent cx="6786000" cy="4502711"/>
            <wp:effectExtent l="0" t="1270" r="0" b="0"/>
            <wp:docPr id="24" name="Picture 24" descr="Appendix/D19%20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pendix/D19%20Experience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6786000" cy="4502711"/>
                    </a:xfrm>
                    <a:prstGeom prst="rect">
                      <a:avLst/>
                    </a:prstGeom>
                    <a:noFill/>
                    <a:ln>
                      <a:noFill/>
                    </a:ln>
                  </pic:spPr>
                </pic:pic>
              </a:graphicData>
            </a:graphic>
          </wp:inline>
        </w:drawing>
      </w:r>
      <w:bookmarkEnd w:id="133"/>
      <w:r w:rsidRPr="00341B41">
        <w:t xml:space="preserve"> </w:t>
      </w:r>
    </w:p>
    <w:p w14:paraId="75552E28" w14:textId="77777777" w:rsidR="00D14014" w:rsidRPr="00341B41" w:rsidRDefault="00D14014" w:rsidP="00D14014">
      <w:pPr>
        <w:pStyle w:val="Caption"/>
      </w:pPr>
      <w:bookmarkStart w:id="134" w:name="_Toc463276039"/>
      <w:bookmarkStart w:id="135" w:name="_Toc488400772"/>
      <w:bookmarkStart w:id="136" w:name="OLE_LINK25"/>
      <w:r w:rsidRPr="00341B41">
        <w:t xml:space="preserve">Figure </w:t>
      </w:r>
      <w:r w:rsidRPr="00341B41">
        <w:fldChar w:fldCharType="begin"/>
      </w:r>
      <w:r w:rsidRPr="00341B41">
        <w:instrText xml:space="preserve"> SEQ Figure \* ARABIC </w:instrText>
      </w:r>
      <w:r w:rsidRPr="00341B41">
        <w:fldChar w:fldCharType="separate"/>
      </w:r>
      <w:r w:rsidRPr="00341B41">
        <w:rPr>
          <w:noProof/>
        </w:rPr>
        <w:t>23</w:t>
      </w:r>
      <w:r w:rsidRPr="00341B41">
        <w:fldChar w:fldCharType="end"/>
      </w:r>
      <w:r w:rsidRPr="00341B41">
        <w:t>. Individual ERSP plots (4-50Hz) for each participant in the experienced group at electrode D19.</w:t>
      </w:r>
      <w:bookmarkEnd w:id="134"/>
      <w:bookmarkEnd w:id="135"/>
    </w:p>
    <w:bookmarkEnd w:id="136"/>
    <w:p w14:paraId="5FD8B183" w14:textId="77777777" w:rsidR="00D14014" w:rsidRPr="00341B41" w:rsidRDefault="00D14014" w:rsidP="00D14014"/>
    <w:p w14:paraId="171EC788" w14:textId="77777777" w:rsidR="00D14014" w:rsidRPr="00341B41" w:rsidRDefault="00D14014" w:rsidP="00D14014">
      <w:pPr>
        <w:pStyle w:val="ThesisNormal"/>
      </w:pPr>
      <w:r w:rsidRPr="00341B41">
        <w:rPr>
          <w:noProof/>
        </w:rPr>
        <w:lastRenderedPageBreak/>
        <w:drawing>
          <wp:inline distT="0" distB="0" distL="0" distR="0" wp14:anchorId="4F3C9C72" wp14:editId="634AA657">
            <wp:extent cx="6786000" cy="4518678"/>
            <wp:effectExtent l="0" t="9525" r="12065" b="12065"/>
            <wp:docPr id="25" name="Picture 25" descr="Appendix/D19%20Un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pendix/D19%20UnExperienced.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6786000" cy="4518678"/>
                    </a:xfrm>
                    <a:prstGeom prst="rect">
                      <a:avLst/>
                    </a:prstGeom>
                    <a:noFill/>
                    <a:ln>
                      <a:noFill/>
                    </a:ln>
                  </pic:spPr>
                </pic:pic>
              </a:graphicData>
            </a:graphic>
          </wp:inline>
        </w:drawing>
      </w:r>
    </w:p>
    <w:p w14:paraId="12D97730" w14:textId="77777777" w:rsidR="00D14014" w:rsidRPr="00341B41" w:rsidRDefault="00D14014" w:rsidP="00D14014">
      <w:pPr>
        <w:pStyle w:val="Caption"/>
      </w:pPr>
      <w:bookmarkStart w:id="137" w:name="_Toc463276040"/>
      <w:bookmarkStart w:id="138" w:name="_Toc488400773"/>
      <w:r w:rsidRPr="00341B41">
        <w:t xml:space="preserve">Figure </w:t>
      </w:r>
      <w:r w:rsidRPr="00341B41">
        <w:fldChar w:fldCharType="begin"/>
      </w:r>
      <w:r w:rsidRPr="00341B41">
        <w:instrText xml:space="preserve"> SEQ Figure \* ARABIC </w:instrText>
      </w:r>
      <w:r w:rsidRPr="00341B41">
        <w:fldChar w:fldCharType="separate"/>
      </w:r>
      <w:r w:rsidRPr="00341B41">
        <w:rPr>
          <w:noProof/>
        </w:rPr>
        <w:t>24</w:t>
      </w:r>
      <w:r w:rsidRPr="00341B41">
        <w:fldChar w:fldCharType="end"/>
      </w:r>
      <w:r w:rsidRPr="00341B41">
        <w:t xml:space="preserve">. Individual ERSP plots (4-50Hz) for each participant in the </w:t>
      </w:r>
      <w:proofErr w:type="gramStart"/>
      <w:r w:rsidRPr="00341B41">
        <w:t>unexperienced  group</w:t>
      </w:r>
      <w:proofErr w:type="gramEnd"/>
      <w:r w:rsidRPr="00341B41">
        <w:t xml:space="preserve"> at electrode D19.</w:t>
      </w:r>
      <w:bookmarkEnd w:id="137"/>
      <w:bookmarkEnd w:id="138"/>
    </w:p>
    <w:p w14:paraId="3BBE2A8E" w14:textId="77777777" w:rsidR="00D14014" w:rsidRPr="00341B41" w:rsidRDefault="00D14014" w:rsidP="00D14014">
      <w:pPr>
        <w:pStyle w:val="ThesisNormal"/>
      </w:pPr>
    </w:p>
    <w:p w14:paraId="09735352" w14:textId="77777777" w:rsidR="00D14014" w:rsidRPr="00341B41" w:rsidRDefault="00D14014" w:rsidP="00D14014">
      <w:pPr>
        <w:pStyle w:val="ThesisNormal"/>
      </w:pPr>
    </w:p>
    <w:p w14:paraId="28501A14" w14:textId="77777777" w:rsidR="00D14014" w:rsidRPr="00341B41" w:rsidRDefault="00D14014" w:rsidP="00D14014">
      <w:pPr>
        <w:pStyle w:val="ThesisHeading1"/>
      </w:pPr>
      <w:bookmarkStart w:id="139" w:name="OLE_LINK22"/>
      <w:bookmarkStart w:id="140" w:name="OLE_LINK23"/>
    </w:p>
    <w:p w14:paraId="240527F7" w14:textId="77777777" w:rsidR="00D14014" w:rsidRPr="00341B41" w:rsidRDefault="00D14014" w:rsidP="00D14014">
      <w:pPr>
        <w:pStyle w:val="Heading1"/>
      </w:pPr>
      <w:bookmarkStart w:id="141" w:name="_Toc463276226"/>
      <w:bookmarkStart w:id="142" w:name="_Toc486260912"/>
      <w:r w:rsidRPr="00341B41">
        <w:lastRenderedPageBreak/>
        <w:t>Appendix B2 -  Individual participant ERSP plots for electrode B22</w:t>
      </w:r>
      <w:bookmarkEnd w:id="141"/>
      <w:bookmarkEnd w:id="142"/>
      <w:r w:rsidRPr="00341B41">
        <w:t xml:space="preserve"> </w:t>
      </w:r>
    </w:p>
    <w:bookmarkEnd w:id="139"/>
    <w:bookmarkEnd w:id="140"/>
    <w:p w14:paraId="74DAF922" w14:textId="77777777" w:rsidR="00D14014" w:rsidRPr="00341B41" w:rsidRDefault="00D14014" w:rsidP="00D14014">
      <w:pPr>
        <w:pStyle w:val="ThesisNormal"/>
        <w:rPr>
          <w:b/>
          <w:sz w:val="32"/>
        </w:rPr>
      </w:pPr>
      <w:r w:rsidRPr="00341B41">
        <w:rPr>
          <w:noProof/>
        </w:rPr>
        <w:drawing>
          <wp:inline distT="0" distB="0" distL="0" distR="0" wp14:anchorId="41DC4B25" wp14:editId="3B3BA7BA">
            <wp:extent cx="6786000" cy="4502777"/>
            <wp:effectExtent l="0" t="1270" r="0" b="0"/>
            <wp:docPr id="26" name="Picture 26" descr="Appendix/B22%20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endix/B22%20Experienced.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6786000" cy="4502777"/>
                    </a:xfrm>
                    <a:prstGeom prst="rect">
                      <a:avLst/>
                    </a:prstGeom>
                    <a:noFill/>
                    <a:ln>
                      <a:noFill/>
                    </a:ln>
                  </pic:spPr>
                </pic:pic>
              </a:graphicData>
            </a:graphic>
          </wp:inline>
        </w:drawing>
      </w:r>
    </w:p>
    <w:p w14:paraId="0F94755B" w14:textId="77777777" w:rsidR="00D14014" w:rsidRPr="00341B41" w:rsidRDefault="00D14014" w:rsidP="00D14014">
      <w:pPr>
        <w:pStyle w:val="Caption"/>
      </w:pPr>
      <w:bookmarkStart w:id="143" w:name="_Toc463276041"/>
      <w:bookmarkStart w:id="144" w:name="_Toc488400774"/>
      <w:bookmarkStart w:id="145" w:name="OLE_LINK20"/>
      <w:bookmarkStart w:id="146" w:name="OLE_LINK21"/>
      <w:bookmarkStart w:id="147" w:name="OLE_LINK24"/>
      <w:r w:rsidRPr="00341B41">
        <w:t xml:space="preserve">Figure </w:t>
      </w:r>
      <w:r w:rsidRPr="00341B41">
        <w:fldChar w:fldCharType="begin"/>
      </w:r>
      <w:r w:rsidRPr="00341B41">
        <w:instrText xml:space="preserve"> SEQ Figure \* ARABIC </w:instrText>
      </w:r>
      <w:r w:rsidRPr="00341B41">
        <w:fldChar w:fldCharType="separate"/>
      </w:r>
      <w:r w:rsidRPr="00341B41">
        <w:rPr>
          <w:noProof/>
        </w:rPr>
        <w:t>25</w:t>
      </w:r>
      <w:r w:rsidRPr="00341B41">
        <w:fldChar w:fldCharType="end"/>
      </w:r>
      <w:r w:rsidRPr="00341B41">
        <w:t>. Individual ERSP plots (4-50Hz) for each participant in the experienced group at electrode B22.</w:t>
      </w:r>
      <w:bookmarkEnd w:id="143"/>
      <w:bookmarkEnd w:id="144"/>
    </w:p>
    <w:bookmarkEnd w:id="145"/>
    <w:bookmarkEnd w:id="146"/>
    <w:bookmarkEnd w:id="147"/>
    <w:p w14:paraId="4D66DC08" w14:textId="77777777" w:rsidR="00D14014" w:rsidRPr="00341B41" w:rsidRDefault="00D14014" w:rsidP="00D14014">
      <w:pPr>
        <w:pStyle w:val="Caption"/>
      </w:pPr>
    </w:p>
    <w:p w14:paraId="7E13ECAE" w14:textId="77777777" w:rsidR="00D14014" w:rsidRPr="00341B41" w:rsidRDefault="00D14014" w:rsidP="00D14014"/>
    <w:p w14:paraId="09604585" w14:textId="662D6D08" w:rsidR="00D14014" w:rsidRPr="00341B41" w:rsidRDefault="00D14014" w:rsidP="00D14014">
      <w:r w:rsidRPr="00341B41">
        <w:rPr>
          <w:noProof/>
          <w:lang w:val="en-US"/>
        </w:rPr>
        <w:drawing>
          <wp:inline distT="0" distB="0" distL="0" distR="0" wp14:anchorId="7A9E69E0" wp14:editId="2A50B861">
            <wp:extent cx="6786000" cy="4486744"/>
            <wp:effectExtent l="6667" t="0" r="2858" b="2857"/>
            <wp:docPr id="27" name="Picture 27" descr="Appendix/B22%20Un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endix/B22%20UnExperienced.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6786000" cy="4486744"/>
                    </a:xfrm>
                    <a:prstGeom prst="rect">
                      <a:avLst/>
                    </a:prstGeom>
                    <a:noFill/>
                    <a:ln>
                      <a:noFill/>
                    </a:ln>
                  </pic:spPr>
                </pic:pic>
              </a:graphicData>
            </a:graphic>
          </wp:inline>
        </w:drawing>
      </w:r>
    </w:p>
    <w:p w14:paraId="4D57BE8E" w14:textId="77777777" w:rsidR="00D14014" w:rsidRPr="00341B41" w:rsidRDefault="00D14014" w:rsidP="00D14014">
      <w:pPr>
        <w:pStyle w:val="Caption"/>
      </w:pPr>
      <w:bookmarkStart w:id="148" w:name="_Toc463276042"/>
      <w:bookmarkStart w:id="149" w:name="_Toc488400775"/>
      <w:r w:rsidRPr="00341B41">
        <w:t xml:space="preserve">Figure </w:t>
      </w:r>
      <w:r w:rsidRPr="00341B41">
        <w:fldChar w:fldCharType="begin"/>
      </w:r>
      <w:r w:rsidRPr="00341B41">
        <w:instrText xml:space="preserve"> SEQ Figure \* ARABIC </w:instrText>
      </w:r>
      <w:r w:rsidRPr="00341B41">
        <w:fldChar w:fldCharType="separate"/>
      </w:r>
      <w:r w:rsidRPr="00341B41">
        <w:rPr>
          <w:noProof/>
        </w:rPr>
        <w:t>26</w:t>
      </w:r>
      <w:r w:rsidRPr="00341B41">
        <w:fldChar w:fldCharType="end"/>
      </w:r>
      <w:r w:rsidRPr="00341B41">
        <w:t>. Individual ERSP plots (4-50Hz) for each participant in the experienced group at electrode B22.</w:t>
      </w:r>
      <w:bookmarkEnd w:id="148"/>
      <w:bookmarkEnd w:id="149"/>
    </w:p>
    <w:p w14:paraId="3A36331D" w14:textId="77777777" w:rsidR="00D14014" w:rsidRPr="00341B41" w:rsidRDefault="00D14014" w:rsidP="00D14014">
      <w:pPr>
        <w:sectPr w:rsidR="00D14014" w:rsidRPr="00341B41" w:rsidSect="00617805">
          <w:pgSz w:w="11906" w:h="16838"/>
          <w:pgMar w:top="1440" w:right="1134" w:bottom="1440" w:left="2268" w:header="708" w:footer="708" w:gutter="0"/>
          <w:cols w:space="708"/>
          <w:docGrid w:linePitch="360"/>
        </w:sectPr>
      </w:pPr>
    </w:p>
    <w:p w14:paraId="4C53BE18" w14:textId="32C1D5A0" w:rsidR="00D14014" w:rsidRPr="00341B41" w:rsidRDefault="00D14014" w:rsidP="00D14014">
      <w:pPr>
        <w:pStyle w:val="Heading1"/>
      </w:pPr>
      <w:bookmarkStart w:id="150" w:name="_Toc463276227"/>
      <w:bookmarkStart w:id="151" w:name="_Toc486260913"/>
      <w:bookmarkStart w:id="152" w:name="OLE_LINK16"/>
      <w:bookmarkStart w:id="153" w:name="OLE_LINK17"/>
      <w:r w:rsidRPr="00341B41">
        <w:lastRenderedPageBreak/>
        <w:t>Appendix C1 – Individual participant ERSP plots for the left sensorimotor cluster</w:t>
      </w:r>
      <w:bookmarkEnd w:id="150"/>
      <w:bookmarkEnd w:id="151"/>
    </w:p>
    <w:bookmarkEnd w:id="152"/>
    <w:bookmarkEnd w:id="153"/>
    <w:p w14:paraId="43B08166" w14:textId="708EDA80" w:rsidR="00D14014" w:rsidRPr="00341B41" w:rsidRDefault="00D14014" w:rsidP="00D14014">
      <w:pPr>
        <w:pStyle w:val="ThesisHeading1"/>
      </w:pPr>
    </w:p>
    <w:p w14:paraId="6561085C" w14:textId="512D33FD" w:rsidR="00D14014" w:rsidRPr="00341B41" w:rsidRDefault="00D14014" w:rsidP="00D14014">
      <w:pPr>
        <w:pStyle w:val="ThesisHeading1"/>
      </w:pPr>
      <w:bookmarkStart w:id="154" w:name="_Toc463276228"/>
      <w:r w:rsidRPr="00341B41">
        <w:rPr>
          <w:noProof/>
        </w:rPr>
        <w:drawing>
          <wp:anchor distT="0" distB="0" distL="114300" distR="114300" simplePos="0" relativeHeight="251671552" behindDoc="0" locked="0" layoutInCell="1" allowOverlap="1" wp14:anchorId="75BE1A68" wp14:editId="2D77CD86">
            <wp:simplePos x="0" y="0"/>
            <wp:positionH relativeFrom="column">
              <wp:posOffset>-711835</wp:posOffset>
            </wp:positionH>
            <wp:positionV relativeFrom="paragraph">
              <wp:posOffset>424815</wp:posOffset>
            </wp:positionV>
            <wp:extent cx="6445250" cy="4307205"/>
            <wp:effectExtent l="2222" t="0" r="8573" b="8572"/>
            <wp:wrapSquare wrapText="bothSides"/>
            <wp:docPr id="28" name="Picture 28" descr="Appendix/Left%20mu%20cluster%20-%20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endix/Left%20mu%20cluster%20-%20experienc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6445250" cy="43072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4"/>
    </w:p>
    <w:p w14:paraId="568A9740" w14:textId="46B3AA17" w:rsidR="00D14014" w:rsidRPr="00341B41" w:rsidRDefault="00D14014" w:rsidP="00D14014">
      <w:pPr>
        <w:pStyle w:val="ThesisHeading1"/>
      </w:pPr>
    </w:p>
    <w:p w14:paraId="1DD94652" w14:textId="77777777" w:rsidR="00D14014" w:rsidRPr="00341B41" w:rsidRDefault="00D14014" w:rsidP="00D14014">
      <w:pPr>
        <w:pStyle w:val="ThesisHeading1"/>
      </w:pPr>
    </w:p>
    <w:p w14:paraId="336B89FD" w14:textId="77777777" w:rsidR="00D14014" w:rsidRPr="00341B41" w:rsidRDefault="00D14014" w:rsidP="00D14014">
      <w:pPr>
        <w:pStyle w:val="ThesisHeading1"/>
      </w:pPr>
    </w:p>
    <w:p w14:paraId="3F996C5A" w14:textId="77777777" w:rsidR="00D14014" w:rsidRPr="00341B41" w:rsidRDefault="00D14014" w:rsidP="00D14014">
      <w:pPr>
        <w:pStyle w:val="ThesisHeading1"/>
      </w:pPr>
    </w:p>
    <w:p w14:paraId="7BDE906F" w14:textId="77777777" w:rsidR="00D14014" w:rsidRPr="00341B41" w:rsidRDefault="00D14014" w:rsidP="00D14014">
      <w:pPr>
        <w:pStyle w:val="ThesisHeading1"/>
      </w:pPr>
    </w:p>
    <w:p w14:paraId="2457E711" w14:textId="77777777" w:rsidR="00D14014" w:rsidRPr="00341B41" w:rsidRDefault="00D14014" w:rsidP="00D14014">
      <w:pPr>
        <w:pStyle w:val="ThesisHeading1"/>
      </w:pPr>
    </w:p>
    <w:p w14:paraId="5B482AA6" w14:textId="77777777" w:rsidR="00D14014" w:rsidRPr="00341B41" w:rsidRDefault="00D14014" w:rsidP="00D14014">
      <w:pPr>
        <w:pStyle w:val="ThesisHeading1"/>
      </w:pPr>
    </w:p>
    <w:p w14:paraId="7A991A56" w14:textId="77777777" w:rsidR="00D14014" w:rsidRPr="00341B41" w:rsidRDefault="00D14014" w:rsidP="00D14014">
      <w:pPr>
        <w:pStyle w:val="ThesisHeading1"/>
      </w:pPr>
    </w:p>
    <w:p w14:paraId="5E9454FE" w14:textId="77777777" w:rsidR="00D14014" w:rsidRPr="00341B41" w:rsidRDefault="00D14014" w:rsidP="00D14014">
      <w:pPr>
        <w:pStyle w:val="ThesisHeading1"/>
      </w:pPr>
    </w:p>
    <w:p w14:paraId="7B8D88EF" w14:textId="77777777" w:rsidR="00D14014" w:rsidRPr="00341B41" w:rsidRDefault="00D14014" w:rsidP="00D14014">
      <w:pPr>
        <w:pStyle w:val="ThesisHeading1"/>
      </w:pPr>
    </w:p>
    <w:p w14:paraId="7FCB31E8" w14:textId="77777777" w:rsidR="00D14014" w:rsidRPr="00341B41" w:rsidRDefault="00D14014" w:rsidP="00D14014">
      <w:pPr>
        <w:pStyle w:val="ThesisHeading1"/>
      </w:pPr>
    </w:p>
    <w:p w14:paraId="2ED08F48" w14:textId="77777777" w:rsidR="00D14014" w:rsidRPr="00341B41" w:rsidRDefault="00D14014" w:rsidP="00D14014">
      <w:pPr>
        <w:pStyle w:val="Caption"/>
        <w:rPr>
          <w:b/>
          <w:i w:val="0"/>
          <w:iCs w:val="0"/>
          <w:color w:val="auto"/>
          <w:sz w:val="32"/>
          <w:szCs w:val="24"/>
          <w:lang w:val="en-US"/>
        </w:rPr>
      </w:pPr>
      <w:bookmarkStart w:id="155" w:name="_Toc463276043"/>
      <w:bookmarkStart w:id="156" w:name="OLE_LINK14"/>
      <w:bookmarkStart w:id="157" w:name="OLE_LINK15"/>
      <w:bookmarkStart w:id="158" w:name="OLE_LINK19"/>
    </w:p>
    <w:p w14:paraId="7E262C65" w14:textId="77777777" w:rsidR="00D14014" w:rsidRPr="00341B41" w:rsidRDefault="00D14014" w:rsidP="00D14014">
      <w:pPr>
        <w:pStyle w:val="Caption"/>
      </w:pPr>
      <w:bookmarkStart w:id="159" w:name="_Toc488400776"/>
      <w:r w:rsidRPr="00341B41">
        <w:t xml:space="preserve">Figure </w:t>
      </w:r>
      <w:r w:rsidRPr="00341B41">
        <w:fldChar w:fldCharType="begin"/>
      </w:r>
      <w:r w:rsidRPr="00341B41">
        <w:instrText xml:space="preserve"> SEQ Figure \* ARABIC </w:instrText>
      </w:r>
      <w:r w:rsidRPr="00341B41">
        <w:fldChar w:fldCharType="separate"/>
      </w:r>
      <w:r w:rsidRPr="00341B41">
        <w:rPr>
          <w:noProof/>
        </w:rPr>
        <w:t>27</w:t>
      </w:r>
      <w:r w:rsidRPr="00341B41">
        <w:fldChar w:fldCharType="end"/>
      </w:r>
      <w:r w:rsidRPr="00341B41">
        <w:t>. Individual ERSP plots (4-50Hz) for each participant in the experienced group within the left sensorimotor component cluster.</w:t>
      </w:r>
      <w:bookmarkEnd w:id="155"/>
      <w:bookmarkEnd w:id="159"/>
      <w:r w:rsidRPr="00341B41">
        <w:t xml:space="preserve">  </w:t>
      </w:r>
    </w:p>
    <w:bookmarkEnd w:id="156"/>
    <w:bookmarkEnd w:id="157"/>
    <w:bookmarkEnd w:id="158"/>
    <w:p w14:paraId="19822052" w14:textId="77777777" w:rsidR="00D14014" w:rsidRPr="00341B41" w:rsidRDefault="00D14014" w:rsidP="00D14014">
      <w:pPr>
        <w:pStyle w:val="ThesisHeading1"/>
      </w:pPr>
    </w:p>
    <w:p w14:paraId="301EA68F" w14:textId="77777777" w:rsidR="00D14014" w:rsidRPr="00341B41" w:rsidRDefault="00D14014" w:rsidP="00D14014">
      <w:pPr>
        <w:pStyle w:val="ThesisHeading1"/>
      </w:pPr>
    </w:p>
    <w:p w14:paraId="22E87B57" w14:textId="77777777" w:rsidR="00D14014" w:rsidRPr="00341B41" w:rsidRDefault="00D14014" w:rsidP="00D14014">
      <w:pPr>
        <w:pStyle w:val="ThesisHeading1"/>
      </w:pPr>
    </w:p>
    <w:p w14:paraId="4BD085B5" w14:textId="77777777" w:rsidR="00D14014" w:rsidRPr="00341B41" w:rsidRDefault="00D14014" w:rsidP="00D14014">
      <w:pPr>
        <w:pStyle w:val="ThesisHeading1"/>
      </w:pPr>
      <w:bookmarkStart w:id="160" w:name="_Toc463276229"/>
      <w:r w:rsidRPr="00341B41">
        <w:rPr>
          <w:noProof/>
        </w:rPr>
        <w:drawing>
          <wp:anchor distT="0" distB="0" distL="114300" distR="114300" simplePos="0" relativeHeight="251672576" behindDoc="0" locked="0" layoutInCell="1" allowOverlap="1" wp14:anchorId="61CE5B65" wp14:editId="7459CC50">
            <wp:simplePos x="0" y="0"/>
            <wp:positionH relativeFrom="column">
              <wp:posOffset>-365760</wp:posOffset>
            </wp:positionH>
            <wp:positionV relativeFrom="paragraph">
              <wp:posOffset>271145</wp:posOffset>
            </wp:positionV>
            <wp:extent cx="6614160" cy="4326255"/>
            <wp:effectExtent l="952" t="0" r="0" b="0"/>
            <wp:wrapSquare wrapText="bothSides"/>
            <wp:docPr id="29" name="Picture 29" descr="Appendix/Left%20mu%20cluster%20-%20un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endix/Left%20mu%20cluster%20-%20unexperienced.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614160" cy="43262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0"/>
    </w:p>
    <w:p w14:paraId="19A64713" w14:textId="77777777" w:rsidR="00D14014" w:rsidRPr="00341B41" w:rsidRDefault="00D14014" w:rsidP="00D14014">
      <w:pPr>
        <w:pStyle w:val="ThesisHeading1"/>
      </w:pPr>
    </w:p>
    <w:p w14:paraId="1B0160F9" w14:textId="77777777" w:rsidR="00D14014" w:rsidRPr="00341B41" w:rsidRDefault="00D14014" w:rsidP="00D14014">
      <w:pPr>
        <w:pStyle w:val="ThesisHeading1"/>
      </w:pPr>
    </w:p>
    <w:p w14:paraId="1EF1E55C" w14:textId="77777777" w:rsidR="00D14014" w:rsidRPr="00341B41" w:rsidRDefault="00D14014" w:rsidP="00D14014">
      <w:pPr>
        <w:pStyle w:val="ThesisHeading1"/>
      </w:pPr>
    </w:p>
    <w:p w14:paraId="40F8B70A" w14:textId="77777777" w:rsidR="00D14014" w:rsidRPr="00341B41" w:rsidRDefault="00D14014" w:rsidP="00D14014">
      <w:pPr>
        <w:pStyle w:val="ThesisHeading1"/>
      </w:pPr>
    </w:p>
    <w:p w14:paraId="2092D273" w14:textId="77777777" w:rsidR="00D14014" w:rsidRPr="00341B41" w:rsidRDefault="00D14014" w:rsidP="00D14014">
      <w:pPr>
        <w:pStyle w:val="ThesisHeading1"/>
      </w:pPr>
    </w:p>
    <w:p w14:paraId="3BA05B1F" w14:textId="77777777" w:rsidR="00D14014" w:rsidRPr="00341B41" w:rsidRDefault="00D14014" w:rsidP="00D14014">
      <w:pPr>
        <w:pStyle w:val="ThesisHeading1"/>
      </w:pPr>
    </w:p>
    <w:p w14:paraId="11D489D5" w14:textId="77777777" w:rsidR="00D14014" w:rsidRPr="00341B41" w:rsidRDefault="00D14014" w:rsidP="00D14014">
      <w:pPr>
        <w:pStyle w:val="ThesisHeading1"/>
      </w:pPr>
    </w:p>
    <w:p w14:paraId="21B8747E" w14:textId="77777777" w:rsidR="00D14014" w:rsidRPr="00341B41" w:rsidRDefault="00D14014" w:rsidP="00D14014">
      <w:pPr>
        <w:pStyle w:val="ThesisHeading1"/>
      </w:pPr>
    </w:p>
    <w:p w14:paraId="3C59BD85" w14:textId="77777777" w:rsidR="00D14014" w:rsidRPr="00341B41" w:rsidRDefault="00D14014" w:rsidP="00D14014">
      <w:pPr>
        <w:pStyle w:val="ThesisHeading1"/>
      </w:pPr>
    </w:p>
    <w:p w14:paraId="59C8768D" w14:textId="77777777" w:rsidR="00D14014" w:rsidRPr="00341B41" w:rsidRDefault="00D14014" w:rsidP="00D14014">
      <w:pPr>
        <w:pStyle w:val="ThesisHeading1"/>
      </w:pPr>
    </w:p>
    <w:p w14:paraId="7A78D3E3" w14:textId="77777777" w:rsidR="00D14014" w:rsidRPr="00341B41" w:rsidRDefault="00D14014" w:rsidP="00D14014">
      <w:pPr>
        <w:pStyle w:val="ThesisHeading1"/>
      </w:pPr>
    </w:p>
    <w:p w14:paraId="0865B569" w14:textId="77777777" w:rsidR="00D14014" w:rsidRPr="00341B41" w:rsidRDefault="00D14014" w:rsidP="00D14014">
      <w:pPr>
        <w:pStyle w:val="Caption"/>
        <w:spacing w:after="0"/>
      </w:pPr>
    </w:p>
    <w:p w14:paraId="40ED400E" w14:textId="77777777" w:rsidR="00D14014" w:rsidRPr="00341B41" w:rsidRDefault="00D14014" w:rsidP="00D14014">
      <w:pPr>
        <w:pStyle w:val="Caption"/>
        <w:spacing w:after="0"/>
      </w:pPr>
    </w:p>
    <w:p w14:paraId="31564785" w14:textId="77777777" w:rsidR="00D14014" w:rsidRPr="00341B41" w:rsidRDefault="00D14014" w:rsidP="00D14014">
      <w:pPr>
        <w:pStyle w:val="Caption"/>
      </w:pPr>
      <w:bookmarkStart w:id="161" w:name="_Toc463276044"/>
      <w:bookmarkStart w:id="162" w:name="_Toc488400777"/>
      <w:r w:rsidRPr="00341B41">
        <w:t xml:space="preserve">Figure </w:t>
      </w:r>
      <w:r w:rsidRPr="00341B41">
        <w:fldChar w:fldCharType="begin"/>
      </w:r>
      <w:r w:rsidRPr="00341B41">
        <w:instrText xml:space="preserve"> SEQ Figure \* ARABIC </w:instrText>
      </w:r>
      <w:r w:rsidRPr="00341B41">
        <w:fldChar w:fldCharType="separate"/>
      </w:r>
      <w:r w:rsidRPr="00341B41">
        <w:rPr>
          <w:noProof/>
        </w:rPr>
        <w:t>28</w:t>
      </w:r>
      <w:r w:rsidRPr="00341B41">
        <w:fldChar w:fldCharType="end"/>
      </w:r>
      <w:r w:rsidRPr="00341B41">
        <w:t>. Individual ERSP plots (4-50Hz) for each participant in the unexperienced group within the left sensorimotor component cluster.</w:t>
      </w:r>
      <w:bookmarkEnd w:id="161"/>
      <w:bookmarkEnd w:id="162"/>
      <w:r w:rsidRPr="00341B41">
        <w:t xml:space="preserve">  </w:t>
      </w:r>
    </w:p>
    <w:p w14:paraId="560292EE" w14:textId="77777777" w:rsidR="00D14014" w:rsidRPr="00341B41" w:rsidRDefault="00D14014" w:rsidP="00D14014">
      <w:pPr>
        <w:pStyle w:val="ThesisHeading1"/>
      </w:pPr>
    </w:p>
    <w:p w14:paraId="3BCB9797" w14:textId="77777777" w:rsidR="00D14014" w:rsidRPr="00341B41" w:rsidRDefault="00D14014" w:rsidP="00D14014">
      <w:pPr>
        <w:pStyle w:val="Heading1"/>
      </w:pPr>
      <w:bookmarkStart w:id="163" w:name="_Toc463276230"/>
      <w:bookmarkStart w:id="164" w:name="_Toc486260914"/>
      <w:r w:rsidRPr="00341B41">
        <w:lastRenderedPageBreak/>
        <w:t>Appendix C2 – Individual participant ERSP plots for the right sensorimotor cluster</w:t>
      </w:r>
      <w:bookmarkEnd w:id="163"/>
      <w:bookmarkEnd w:id="164"/>
    </w:p>
    <w:p w14:paraId="0C83619D" w14:textId="77777777" w:rsidR="00D14014" w:rsidRPr="00341B41" w:rsidRDefault="00D14014" w:rsidP="00D14014">
      <w:pPr>
        <w:pStyle w:val="ThesisHeading1"/>
      </w:pPr>
      <w:bookmarkStart w:id="165" w:name="_Toc463276231"/>
      <w:r w:rsidRPr="00341B41">
        <w:rPr>
          <w:noProof/>
        </w:rPr>
        <w:drawing>
          <wp:inline distT="0" distB="0" distL="0" distR="0" wp14:anchorId="29859CED" wp14:editId="461548BE">
            <wp:extent cx="6495106" cy="3346890"/>
            <wp:effectExtent l="0" t="635" r="6985" b="6985"/>
            <wp:docPr id="30" name="Picture 30" descr="Appendix/Right%20mu%20cluster%20-%20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pendix/Right%20mu%20cluster%20-%20experienc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6504574" cy="3351769"/>
                    </a:xfrm>
                    <a:prstGeom prst="rect">
                      <a:avLst/>
                    </a:prstGeom>
                    <a:noFill/>
                    <a:ln>
                      <a:noFill/>
                    </a:ln>
                  </pic:spPr>
                </pic:pic>
              </a:graphicData>
            </a:graphic>
          </wp:inline>
        </w:drawing>
      </w:r>
      <w:bookmarkEnd w:id="165"/>
    </w:p>
    <w:p w14:paraId="27446AC6" w14:textId="77777777" w:rsidR="00D14014" w:rsidRPr="00341B41" w:rsidRDefault="00D14014" w:rsidP="00D14014">
      <w:pPr>
        <w:pStyle w:val="Caption"/>
      </w:pPr>
      <w:bookmarkStart w:id="166" w:name="_Toc463276045"/>
      <w:bookmarkStart w:id="167" w:name="_Toc488400778"/>
      <w:bookmarkStart w:id="168" w:name="OLE_LINK26"/>
      <w:bookmarkStart w:id="169" w:name="OLE_LINK27"/>
      <w:r w:rsidRPr="00341B41">
        <w:t xml:space="preserve">Figure </w:t>
      </w:r>
      <w:r w:rsidRPr="00341B41">
        <w:fldChar w:fldCharType="begin"/>
      </w:r>
      <w:r w:rsidRPr="00341B41">
        <w:instrText xml:space="preserve"> SEQ Figure \* ARABIC </w:instrText>
      </w:r>
      <w:r w:rsidRPr="00341B41">
        <w:fldChar w:fldCharType="separate"/>
      </w:r>
      <w:r w:rsidRPr="00341B41">
        <w:rPr>
          <w:noProof/>
        </w:rPr>
        <w:t>29</w:t>
      </w:r>
      <w:r w:rsidRPr="00341B41">
        <w:fldChar w:fldCharType="end"/>
      </w:r>
      <w:r w:rsidRPr="00341B41">
        <w:t>. Individual ERSP plots (4-50Hz) for each participant in the experienced group within the right sensorimotor component cluster.</w:t>
      </w:r>
      <w:bookmarkEnd w:id="166"/>
      <w:bookmarkEnd w:id="167"/>
      <w:r w:rsidRPr="00341B41">
        <w:t xml:space="preserve"> </w:t>
      </w:r>
    </w:p>
    <w:bookmarkEnd w:id="168"/>
    <w:bookmarkEnd w:id="169"/>
    <w:p w14:paraId="06C10440" w14:textId="77777777" w:rsidR="00D14014" w:rsidRPr="00341B41" w:rsidRDefault="00D14014" w:rsidP="00D14014">
      <w:pPr>
        <w:pStyle w:val="Caption"/>
      </w:pPr>
    </w:p>
    <w:p w14:paraId="35CCC851" w14:textId="77777777" w:rsidR="00D14014" w:rsidRPr="00341B41" w:rsidRDefault="00D14014" w:rsidP="00D14014">
      <w:pPr>
        <w:pStyle w:val="Caption"/>
      </w:pPr>
    </w:p>
    <w:p w14:paraId="0C2DA6B1" w14:textId="77777777" w:rsidR="00D14014" w:rsidRPr="00341B41" w:rsidRDefault="00D14014" w:rsidP="00D14014">
      <w:pPr>
        <w:pStyle w:val="Caption"/>
      </w:pPr>
      <w:r w:rsidRPr="00341B41">
        <w:rPr>
          <w:noProof/>
          <w:lang w:val="en-US"/>
        </w:rPr>
        <w:drawing>
          <wp:inline distT="0" distB="0" distL="0" distR="0" wp14:anchorId="4AB57898" wp14:editId="2EE03563">
            <wp:extent cx="6786000" cy="4566579"/>
            <wp:effectExtent l="0" t="7938" r="0" b="0"/>
            <wp:docPr id="31" name="Picture 31" descr="Appendix/Right%20mu%20cluster%20-%20unexperie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pendix/Right%20mu%20cluster%20-%20unexperience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6786000" cy="4566579"/>
                    </a:xfrm>
                    <a:prstGeom prst="rect">
                      <a:avLst/>
                    </a:prstGeom>
                    <a:noFill/>
                    <a:ln>
                      <a:noFill/>
                    </a:ln>
                  </pic:spPr>
                </pic:pic>
              </a:graphicData>
            </a:graphic>
          </wp:inline>
        </w:drawing>
      </w:r>
      <w:r w:rsidRPr="00341B41">
        <w:t xml:space="preserve"> </w:t>
      </w:r>
    </w:p>
    <w:p w14:paraId="65607B89" w14:textId="77777777" w:rsidR="00D14014" w:rsidRPr="00341B41" w:rsidRDefault="00D14014" w:rsidP="00D14014">
      <w:pPr>
        <w:pStyle w:val="Caption"/>
      </w:pPr>
      <w:bookmarkStart w:id="170" w:name="_Toc463276046"/>
      <w:bookmarkStart w:id="171" w:name="_Toc488400779"/>
      <w:bookmarkStart w:id="172" w:name="OLE_LINK28"/>
      <w:bookmarkStart w:id="173" w:name="OLE_LINK29"/>
      <w:r w:rsidRPr="00341B41">
        <w:t xml:space="preserve">Figure </w:t>
      </w:r>
      <w:r w:rsidRPr="00341B41">
        <w:fldChar w:fldCharType="begin"/>
      </w:r>
      <w:r w:rsidRPr="00341B41">
        <w:instrText xml:space="preserve"> SEQ Figure \* ARABIC </w:instrText>
      </w:r>
      <w:r w:rsidRPr="00341B41">
        <w:fldChar w:fldCharType="separate"/>
      </w:r>
      <w:r w:rsidRPr="00341B41">
        <w:rPr>
          <w:noProof/>
        </w:rPr>
        <w:t>30</w:t>
      </w:r>
      <w:r w:rsidRPr="00341B41">
        <w:fldChar w:fldCharType="end"/>
      </w:r>
      <w:r w:rsidRPr="00341B41">
        <w:t>. Individual ERSP plots (4-50Hz) for each participant in the experienced group within the right sensorimotor component cluster.</w:t>
      </w:r>
      <w:bookmarkEnd w:id="170"/>
      <w:bookmarkEnd w:id="171"/>
      <w:r w:rsidRPr="00341B41">
        <w:t xml:space="preserve"> </w:t>
      </w:r>
      <w:bookmarkStart w:id="174" w:name="_Toc463276232"/>
      <w:bookmarkStart w:id="175" w:name="OLE_LINK30"/>
      <w:bookmarkStart w:id="176" w:name="OLE_LINK31"/>
      <w:bookmarkEnd w:id="172"/>
      <w:bookmarkEnd w:id="173"/>
    </w:p>
    <w:p w14:paraId="20CADC2F" w14:textId="4170169A" w:rsidR="00D14014" w:rsidRPr="00341B41" w:rsidRDefault="00D14014" w:rsidP="00D14014">
      <w:pPr>
        <w:pStyle w:val="Caption"/>
      </w:pPr>
      <w:bookmarkStart w:id="177" w:name="_Toc486260915"/>
      <w:r w:rsidRPr="00341B41">
        <w:rPr>
          <w:rStyle w:val="Heading1Char"/>
          <w:i w:val="0"/>
        </w:rPr>
        <w:lastRenderedPageBreak/>
        <w:t>Appendix C3 – Individual participant scalp maps for the left sensorimotor cluster</w:t>
      </w:r>
      <w:bookmarkEnd w:id="177"/>
      <w:r w:rsidRPr="00341B41">
        <w:rPr>
          <w:noProof/>
          <w:lang w:val="en-US"/>
        </w:rPr>
        <w:drawing>
          <wp:inline distT="0" distB="0" distL="0" distR="0" wp14:anchorId="6A6CEC75" wp14:editId="6FB82802">
            <wp:extent cx="5384800" cy="4267200"/>
            <wp:effectExtent l="0" t="0" r="0" b="0"/>
            <wp:docPr id="32" name="Picture 32" descr="Appendix/Left%20mu_sca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pendix/Left%20mu_scalp.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4800" cy="4267200"/>
                    </a:xfrm>
                    <a:prstGeom prst="rect">
                      <a:avLst/>
                    </a:prstGeom>
                    <a:noFill/>
                    <a:ln>
                      <a:noFill/>
                    </a:ln>
                  </pic:spPr>
                </pic:pic>
              </a:graphicData>
            </a:graphic>
          </wp:inline>
        </w:drawing>
      </w:r>
      <w:bookmarkEnd w:id="174"/>
    </w:p>
    <w:p w14:paraId="216DAED3" w14:textId="77777777" w:rsidR="00D14014" w:rsidRPr="00341B41" w:rsidRDefault="00D14014" w:rsidP="00D14014">
      <w:pPr>
        <w:pStyle w:val="Caption"/>
      </w:pPr>
      <w:bookmarkStart w:id="178" w:name="_Toc463276047"/>
      <w:bookmarkStart w:id="179" w:name="_Toc488400780"/>
      <w:r w:rsidRPr="00341B41">
        <w:t xml:space="preserve">Figure </w:t>
      </w:r>
      <w:r w:rsidRPr="00341B41">
        <w:fldChar w:fldCharType="begin"/>
      </w:r>
      <w:r w:rsidRPr="00341B41">
        <w:instrText xml:space="preserve"> SEQ Figure \* ARABIC </w:instrText>
      </w:r>
      <w:r w:rsidRPr="00341B41">
        <w:fldChar w:fldCharType="separate"/>
      </w:r>
      <w:r w:rsidRPr="00341B41">
        <w:rPr>
          <w:noProof/>
        </w:rPr>
        <w:t>31</w:t>
      </w:r>
      <w:r w:rsidRPr="00341B41">
        <w:fldChar w:fldCharType="end"/>
      </w:r>
      <w:r w:rsidRPr="00341B41">
        <w:t>. Individual participant scalp maps for the left sensorimotor cluster</w:t>
      </w:r>
      <w:bookmarkEnd w:id="178"/>
      <w:bookmarkEnd w:id="179"/>
      <w:r w:rsidRPr="00341B41">
        <w:t xml:space="preserve"> </w:t>
      </w:r>
    </w:p>
    <w:bookmarkEnd w:id="175"/>
    <w:bookmarkEnd w:id="176"/>
    <w:p w14:paraId="07D88D87" w14:textId="77777777" w:rsidR="00D14014" w:rsidRPr="00341B41" w:rsidRDefault="00D14014" w:rsidP="00D14014">
      <w:pPr>
        <w:pStyle w:val="ThesisHeading1"/>
      </w:pPr>
    </w:p>
    <w:p w14:paraId="19BA225A" w14:textId="77777777" w:rsidR="00D14014" w:rsidRPr="00341B41" w:rsidRDefault="00D14014" w:rsidP="00D14014">
      <w:pPr>
        <w:pStyle w:val="ThesisHeading1"/>
      </w:pPr>
    </w:p>
    <w:p w14:paraId="14C493EA" w14:textId="77777777" w:rsidR="00D14014" w:rsidRPr="00341B41" w:rsidRDefault="00D14014" w:rsidP="00D14014">
      <w:pPr>
        <w:pStyle w:val="ThesisHeading1"/>
      </w:pPr>
    </w:p>
    <w:p w14:paraId="546B3AD8" w14:textId="77777777" w:rsidR="00D14014" w:rsidRPr="00341B41" w:rsidRDefault="00D14014" w:rsidP="00D14014">
      <w:pPr>
        <w:pStyle w:val="ThesisHeading1"/>
      </w:pPr>
    </w:p>
    <w:p w14:paraId="30BD4B35" w14:textId="77777777" w:rsidR="00D14014" w:rsidRPr="00341B41" w:rsidRDefault="00D14014" w:rsidP="00D14014">
      <w:pPr>
        <w:pStyle w:val="ThesisHeading1"/>
      </w:pPr>
    </w:p>
    <w:p w14:paraId="68FB08D1" w14:textId="77777777" w:rsidR="00D14014" w:rsidRPr="00341B41" w:rsidRDefault="00D14014" w:rsidP="00D14014">
      <w:pPr>
        <w:pStyle w:val="ThesisHeading1"/>
      </w:pPr>
    </w:p>
    <w:p w14:paraId="018E2E98" w14:textId="77777777" w:rsidR="00D14014" w:rsidRPr="00341B41" w:rsidRDefault="00D14014" w:rsidP="00D14014">
      <w:pPr>
        <w:pStyle w:val="ThesisHeading1"/>
      </w:pPr>
    </w:p>
    <w:p w14:paraId="469E2994" w14:textId="77777777" w:rsidR="00D14014" w:rsidRPr="00341B41" w:rsidRDefault="00D14014" w:rsidP="00D14014">
      <w:pPr>
        <w:pStyle w:val="Heading1"/>
      </w:pPr>
      <w:bookmarkStart w:id="180" w:name="_Toc463276233"/>
      <w:bookmarkStart w:id="181" w:name="_Toc486260916"/>
      <w:r w:rsidRPr="00341B41">
        <w:lastRenderedPageBreak/>
        <w:t>Appendix C4 – Individual participant scalp maps for the right sensorimotor cluster</w:t>
      </w:r>
      <w:bookmarkEnd w:id="180"/>
      <w:bookmarkEnd w:id="181"/>
    </w:p>
    <w:p w14:paraId="3CADDAA0" w14:textId="77777777" w:rsidR="00D14014" w:rsidRPr="00341B41" w:rsidRDefault="00D14014" w:rsidP="00D14014">
      <w:pPr>
        <w:pStyle w:val="ThesisHeading1"/>
      </w:pPr>
      <w:bookmarkStart w:id="182" w:name="_Toc463276234"/>
      <w:r w:rsidRPr="00341B41">
        <w:rPr>
          <w:noProof/>
        </w:rPr>
        <w:drawing>
          <wp:inline distT="0" distB="0" distL="0" distR="0" wp14:anchorId="06E3B6F6" wp14:editId="68EEB3F0">
            <wp:extent cx="5384800" cy="4267200"/>
            <wp:effectExtent l="0" t="0" r="0" b="0"/>
            <wp:docPr id="33" name="Picture 33" descr="Appendix/right%20mu_sca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endix/right%20mu_scalp.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4800" cy="4267200"/>
                    </a:xfrm>
                    <a:prstGeom prst="rect">
                      <a:avLst/>
                    </a:prstGeom>
                    <a:noFill/>
                    <a:ln>
                      <a:noFill/>
                    </a:ln>
                  </pic:spPr>
                </pic:pic>
              </a:graphicData>
            </a:graphic>
          </wp:inline>
        </w:drawing>
      </w:r>
      <w:bookmarkEnd w:id="182"/>
    </w:p>
    <w:p w14:paraId="74A8F27B" w14:textId="77777777" w:rsidR="00D14014" w:rsidRDefault="00D14014" w:rsidP="00D14014">
      <w:pPr>
        <w:pStyle w:val="Caption"/>
      </w:pPr>
      <w:bookmarkStart w:id="183" w:name="_Toc463276048"/>
      <w:bookmarkStart w:id="184" w:name="_Toc488400781"/>
      <w:r w:rsidRPr="00341B41">
        <w:t xml:space="preserve">Figure </w:t>
      </w:r>
      <w:r w:rsidRPr="00341B41">
        <w:fldChar w:fldCharType="begin"/>
      </w:r>
      <w:r w:rsidRPr="00341B41">
        <w:instrText xml:space="preserve"> SEQ Figure \* ARABIC </w:instrText>
      </w:r>
      <w:r w:rsidRPr="00341B41">
        <w:fldChar w:fldCharType="separate"/>
      </w:r>
      <w:r w:rsidRPr="00341B41">
        <w:rPr>
          <w:noProof/>
        </w:rPr>
        <w:t>32</w:t>
      </w:r>
      <w:r w:rsidRPr="00341B41">
        <w:fldChar w:fldCharType="end"/>
      </w:r>
      <w:r w:rsidRPr="00341B41">
        <w:t>. Individual participant scalp maps for the right sensorimotor cluster</w:t>
      </w:r>
      <w:bookmarkEnd w:id="183"/>
      <w:bookmarkEnd w:id="184"/>
      <w:r>
        <w:t xml:space="preserve"> </w:t>
      </w:r>
    </w:p>
    <w:p w14:paraId="56E258BF" w14:textId="77777777" w:rsidR="00D14014" w:rsidRPr="007A7E98" w:rsidRDefault="00D14014" w:rsidP="007A7E98">
      <w:pPr>
        <w:pStyle w:val="NoSpacing"/>
      </w:pPr>
    </w:p>
    <w:bookmarkEnd w:id="0"/>
    <w:sectPr w:rsidR="00D14014" w:rsidRPr="007A7E98" w:rsidSect="00805FAB">
      <w:pgSz w:w="12240" w:h="15840"/>
      <w:pgMar w:top="1440" w:right="1138" w:bottom="1440" w:left="2275"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688F24" w14:textId="77777777" w:rsidR="00064B7D" w:rsidRDefault="00064B7D" w:rsidP="00D07C34">
      <w:pPr>
        <w:spacing w:after="0" w:line="240" w:lineRule="auto"/>
      </w:pPr>
      <w:r>
        <w:separator/>
      </w:r>
    </w:p>
  </w:endnote>
  <w:endnote w:type="continuationSeparator" w:id="0">
    <w:p w14:paraId="3F371B7A" w14:textId="77777777" w:rsidR="00064B7D" w:rsidRDefault="00064B7D" w:rsidP="00D07C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DF136" w14:textId="77777777" w:rsidR="00B141E3" w:rsidRDefault="00B141E3" w:rsidP="0038461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EB5C16" w14:textId="77777777" w:rsidR="00B141E3" w:rsidRDefault="00B141E3" w:rsidP="00D07C34">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0FD98315" w14:textId="77777777" w:rsidR="00B141E3" w:rsidRDefault="00B141E3" w:rsidP="00D07C34">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77CC1151" w14:textId="77777777" w:rsidR="00B141E3" w:rsidRDefault="00B141E3" w:rsidP="00D07C3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9EF480" w14:textId="77777777" w:rsidR="00B141E3" w:rsidRDefault="00B141E3" w:rsidP="0038461F">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9CD4E" w14:textId="77777777" w:rsidR="00B141E3" w:rsidRDefault="00B141E3" w:rsidP="00FA1FB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F1257">
      <w:rPr>
        <w:rStyle w:val="PageNumber"/>
        <w:noProof/>
      </w:rPr>
      <w:t>232</w:t>
    </w:r>
    <w:r>
      <w:rPr>
        <w:rStyle w:val="PageNumber"/>
      </w:rPr>
      <w:fldChar w:fldCharType="end"/>
    </w:r>
  </w:p>
  <w:p w14:paraId="75637FAE" w14:textId="77777777" w:rsidR="00B141E3" w:rsidRDefault="00B141E3" w:rsidP="00173F85">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481EDE" w14:textId="77777777" w:rsidR="00B141E3" w:rsidRDefault="00B141E3" w:rsidP="0038461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F1257">
      <w:rPr>
        <w:rStyle w:val="PageNumber"/>
        <w:noProof/>
      </w:rPr>
      <w:t>237</w:t>
    </w:r>
    <w:r>
      <w:rPr>
        <w:rStyle w:val="PageNumber"/>
      </w:rPr>
      <w:fldChar w:fldCharType="end"/>
    </w:r>
  </w:p>
  <w:p w14:paraId="3FD50C35" w14:textId="77777777" w:rsidR="00B141E3" w:rsidRDefault="00B141E3" w:rsidP="0038461F">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5F83CE" w14:textId="77777777" w:rsidR="00064B7D" w:rsidRDefault="00064B7D" w:rsidP="00D07C34">
      <w:pPr>
        <w:spacing w:after="0" w:line="240" w:lineRule="auto"/>
      </w:pPr>
      <w:r>
        <w:separator/>
      </w:r>
    </w:p>
  </w:footnote>
  <w:footnote w:type="continuationSeparator" w:id="0">
    <w:p w14:paraId="41E53355" w14:textId="77777777" w:rsidR="00064B7D" w:rsidRDefault="00064B7D" w:rsidP="00D07C3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24FC4A8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9562AF2"/>
    <w:lvl w:ilvl="0">
      <w:start w:val="1"/>
      <w:numFmt w:val="decimal"/>
      <w:lvlText w:val="%1."/>
      <w:lvlJc w:val="left"/>
      <w:pPr>
        <w:tabs>
          <w:tab w:val="num" w:pos="1800"/>
        </w:tabs>
        <w:ind w:left="1800" w:hanging="360"/>
      </w:pPr>
    </w:lvl>
  </w:abstractNum>
  <w:abstractNum w:abstractNumId="2">
    <w:nsid w:val="FFFFFF7D"/>
    <w:multiLevelType w:val="singleLevel"/>
    <w:tmpl w:val="00E49AAE"/>
    <w:lvl w:ilvl="0">
      <w:start w:val="1"/>
      <w:numFmt w:val="decimal"/>
      <w:lvlText w:val="%1."/>
      <w:lvlJc w:val="left"/>
      <w:pPr>
        <w:tabs>
          <w:tab w:val="num" w:pos="1440"/>
        </w:tabs>
        <w:ind w:left="1440" w:hanging="360"/>
      </w:pPr>
    </w:lvl>
  </w:abstractNum>
  <w:abstractNum w:abstractNumId="3">
    <w:nsid w:val="FFFFFF7E"/>
    <w:multiLevelType w:val="singleLevel"/>
    <w:tmpl w:val="96860C30"/>
    <w:lvl w:ilvl="0">
      <w:start w:val="1"/>
      <w:numFmt w:val="decimal"/>
      <w:lvlText w:val="%1."/>
      <w:lvlJc w:val="left"/>
      <w:pPr>
        <w:tabs>
          <w:tab w:val="num" w:pos="1080"/>
        </w:tabs>
        <w:ind w:left="1080" w:hanging="360"/>
      </w:pPr>
    </w:lvl>
  </w:abstractNum>
  <w:abstractNum w:abstractNumId="4">
    <w:nsid w:val="FFFFFF7F"/>
    <w:multiLevelType w:val="singleLevel"/>
    <w:tmpl w:val="CEBC8312"/>
    <w:lvl w:ilvl="0">
      <w:start w:val="1"/>
      <w:numFmt w:val="decimal"/>
      <w:lvlText w:val="%1."/>
      <w:lvlJc w:val="left"/>
      <w:pPr>
        <w:tabs>
          <w:tab w:val="num" w:pos="720"/>
        </w:tabs>
        <w:ind w:left="720" w:hanging="360"/>
      </w:pPr>
    </w:lvl>
  </w:abstractNum>
  <w:abstractNum w:abstractNumId="5">
    <w:nsid w:val="FFFFFF80"/>
    <w:multiLevelType w:val="singleLevel"/>
    <w:tmpl w:val="D326D66E"/>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D7D0F2F0"/>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6C64D66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7092F92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5DA1B82"/>
    <w:lvl w:ilvl="0">
      <w:start w:val="1"/>
      <w:numFmt w:val="decimal"/>
      <w:lvlText w:val="%1."/>
      <w:lvlJc w:val="left"/>
      <w:pPr>
        <w:tabs>
          <w:tab w:val="num" w:pos="360"/>
        </w:tabs>
        <w:ind w:left="360" w:hanging="360"/>
      </w:pPr>
    </w:lvl>
  </w:abstractNum>
  <w:abstractNum w:abstractNumId="10">
    <w:nsid w:val="FFFFFF89"/>
    <w:multiLevelType w:val="singleLevel"/>
    <w:tmpl w:val="30B4C6B4"/>
    <w:lvl w:ilvl="0">
      <w:start w:val="1"/>
      <w:numFmt w:val="bullet"/>
      <w:lvlText w:val=""/>
      <w:lvlJc w:val="left"/>
      <w:pPr>
        <w:tabs>
          <w:tab w:val="num" w:pos="360"/>
        </w:tabs>
        <w:ind w:left="360" w:hanging="360"/>
      </w:pPr>
      <w:rPr>
        <w:rFonts w:ascii="Symbol" w:hAnsi="Symbol" w:hint="default"/>
      </w:rPr>
    </w:lvl>
  </w:abstractNum>
  <w:abstractNum w:abstractNumId="11">
    <w:nsid w:val="22F712B2"/>
    <w:multiLevelType w:val="hybridMultilevel"/>
    <w:tmpl w:val="EF423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2D2839"/>
    <w:multiLevelType w:val="hybridMultilevel"/>
    <w:tmpl w:val="22CC4DA0"/>
    <w:lvl w:ilvl="0" w:tplc="47D41CAA">
      <w:start w:val="201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BE089A"/>
    <w:multiLevelType w:val="multilevel"/>
    <w:tmpl w:val="4E6AC0A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6576032"/>
    <w:multiLevelType w:val="hybridMultilevel"/>
    <w:tmpl w:val="08B0C244"/>
    <w:lvl w:ilvl="0" w:tplc="A8F4368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A45435"/>
    <w:multiLevelType w:val="hybridMultilevel"/>
    <w:tmpl w:val="545CC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1"/>
  </w:num>
  <w:num w:numId="4">
    <w:abstractNumId w:val="2"/>
  </w:num>
  <w:num w:numId="5">
    <w:abstractNumId w:val="3"/>
  </w:num>
  <w:num w:numId="6">
    <w:abstractNumId w:val="4"/>
  </w:num>
  <w:num w:numId="7">
    <w:abstractNumId w:val="9"/>
  </w:num>
  <w:num w:numId="8">
    <w:abstractNumId w:val="5"/>
  </w:num>
  <w:num w:numId="9">
    <w:abstractNumId w:val="6"/>
  </w:num>
  <w:num w:numId="10">
    <w:abstractNumId w:val="7"/>
  </w:num>
  <w:num w:numId="11">
    <w:abstractNumId w:val="8"/>
  </w:num>
  <w:num w:numId="12">
    <w:abstractNumId w:val="10"/>
  </w:num>
  <w:num w:numId="13">
    <w:abstractNumId w:val="12"/>
  </w:num>
  <w:num w:numId="14">
    <w:abstractNumId w:val="15"/>
  </w:num>
  <w:num w:numId="15">
    <w:abstractNumId w:val="11"/>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3B2"/>
    <w:rsid w:val="000141C4"/>
    <w:rsid w:val="00017BBC"/>
    <w:rsid w:val="00020B0E"/>
    <w:rsid w:val="000243D2"/>
    <w:rsid w:val="00024491"/>
    <w:rsid w:val="0002485E"/>
    <w:rsid w:val="00026046"/>
    <w:rsid w:val="00030804"/>
    <w:rsid w:val="000316AC"/>
    <w:rsid w:val="00033DD3"/>
    <w:rsid w:val="000354F6"/>
    <w:rsid w:val="0003586B"/>
    <w:rsid w:val="0004045F"/>
    <w:rsid w:val="00040D80"/>
    <w:rsid w:val="00042B16"/>
    <w:rsid w:val="0004484E"/>
    <w:rsid w:val="00047076"/>
    <w:rsid w:val="00047A27"/>
    <w:rsid w:val="00050D89"/>
    <w:rsid w:val="00053799"/>
    <w:rsid w:val="00055388"/>
    <w:rsid w:val="00064B7D"/>
    <w:rsid w:val="00064DC6"/>
    <w:rsid w:val="00065FC3"/>
    <w:rsid w:val="00066704"/>
    <w:rsid w:val="0007225D"/>
    <w:rsid w:val="0008203A"/>
    <w:rsid w:val="000849A7"/>
    <w:rsid w:val="0008759B"/>
    <w:rsid w:val="000928D3"/>
    <w:rsid w:val="00093870"/>
    <w:rsid w:val="000950D6"/>
    <w:rsid w:val="00095E46"/>
    <w:rsid w:val="000979D6"/>
    <w:rsid w:val="000A0E1C"/>
    <w:rsid w:val="000A1754"/>
    <w:rsid w:val="000A23C1"/>
    <w:rsid w:val="000B208C"/>
    <w:rsid w:val="000B2439"/>
    <w:rsid w:val="000C1464"/>
    <w:rsid w:val="000C1C6B"/>
    <w:rsid w:val="000C74BD"/>
    <w:rsid w:val="000D2E3D"/>
    <w:rsid w:val="000D5DF4"/>
    <w:rsid w:val="000D66FE"/>
    <w:rsid w:val="000E5280"/>
    <w:rsid w:val="000E595A"/>
    <w:rsid w:val="000E5975"/>
    <w:rsid w:val="000E7EC1"/>
    <w:rsid w:val="000F582A"/>
    <w:rsid w:val="00100EED"/>
    <w:rsid w:val="001024A9"/>
    <w:rsid w:val="001037F8"/>
    <w:rsid w:val="00104D1C"/>
    <w:rsid w:val="00105F12"/>
    <w:rsid w:val="00107813"/>
    <w:rsid w:val="0011684E"/>
    <w:rsid w:val="00122396"/>
    <w:rsid w:val="001235A7"/>
    <w:rsid w:val="001245FD"/>
    <w:rsid w:val="00130EF8"/>
    <w:rsid w:val="00131058"/>
    <w:rsid w:val="00131EC0"/>
    <w:rsid w:val="00133625"/>
    <w:rsid w:val="001338F5"/>
    <w:rsid w:val="00134E1C"/>
    <w:rsid w:val="00135E4F"/>
    <w:rsid w:val="00145C1E"/>
    <w:rsid w:val="00150B42"/>
    <w:rsid w:val="00156DF1"/>
    <w:rsid w:val="00157C8F"/>
    <w:rsid w:val="0016157E"/>
    <w:rsid w:val="00162375"/>
    <w:rsid w:val="00163AB1"/>
    <w:rsid w:val="00163CF5"/>
    <w:rsid w:val="0016474D"/>
    <w:rsid w:val="00165ACC"/>
    <w:rsid w:val="00170E3F"/>
    <w:rsid w:val="001728E3"/>
    <w:rsid w:val="0017357E"/>
    <w:rsid w:val="00173F85"/>
    <w:rsid w:val="001813D1"/>
    <w:rsid w:val="00182704"/>
    <w:rsid w:val="001846B6"/>
    <w:rsid w:val="00187069"/>
    <w:rsid w:val="001870DE"/>
    <w:rsid w:val="00192596"/>
    <w:rsid w:val="001927B0"/>
    <w:rsid w:val="00193C2B"/>
    <w:rsid w:val="00196087"/>
    <w:rsid w:val="0019756D"/>
    <w:rsid w:val="001A0B60"/>
    <w:rsid w:val="001A3004"/>
    <w:rsid w:val="001A7CC2"/>
    <w:rsid w:val="001B3146"/>
    <w:rsid w:val="001B376D"/>
    <w:rsid w:val="001C1062"/>
    <w:rsid w:val="001C123D"/>
    <w:rsid w:val="001D0385"/>
    <w:rsid w:val="001E054B"/>
    <w:rsid w:val="001E41C6"/>
    <w:rsid w:val="00202CD5"/>
    <w:rsid w:val="0020355C"/>
    <w:rsid w:val="002039AB"/>
    <w:rsid w:val="00204EC1"/>
    <w:rsid w:val="00216828"/>
    <w:rsid w:val="00220B69"/>
    <w:rsid w:val="002235CE"/>
    <w:rsid w:val="002264F5"/>
    <w:rsid w:val="0023305A"/>
    <w:rsid w:val="002377AB"/>
    <w:rsid w:val="00240190"/>
    <w:rsid w:val="0024090C"/>
    <w:rsid w:val="00240FD1"/>
    <w:rsid w:val="00243674"/>
    <w:rsid w:val="002443F6"/>
    <w:rsid w:val="002470DA"/>
    <w:rsid w:val="00247743"/>
    <w:rsid w:val="00247D9F"/>
    <w:rsid w:val="002504A5"/>
    <w:rsid w:val="00250DE8"/>
    <w:rsid w:val="00252B08"/>
    <w:rsid w:val="00253447"/>
    <w:rsid w:val="00260296"/>
    <w:rsid w:val="00260BB2"/>
    <w:rsid w:val="00261280"/>
    <w:rsid w:val="00261640"/>
    <w:rsid w:val="00264B83"/>
    <w:rsid w:val="00270DEE"/>
    <w:rsid w:val="00271A48"/>
    <w:rsid w:val="00271E21"/>
    <w:rsid w:val="0027200D"/>
    <w:rsid w:val="002720BB"/>
    <w:rsid w:val="00283382"/>
    <w:rsid w:val="002840B7"/>
    <w:rsid w:val="0028714A"/>
    <w:rsid w:val="00291B1C"/>
    <w:rsid w:val="0029330F"/>
    <w:rsid w:val="00293E82"/>
    <w:rsid w:val="0029738F"/>
    <w:rsid w:val="002978C8"/>
    <w:rsid w:val="00297A99"/>
    <w:rsid w:val="00297E4D"/>
    <w:rsid w:val="002A0D7D"/>
    <w:rsid w:val="002A2CC6"/>
    <w:rsid w:val="002A34FC"/>
    <w:rsid w:val="002A4241"/>
    <w:rsid w:val="002A5A26"/>
    <w:rsid w:val="002B0501"/>
    <w:rsid w:val="002B1F2C"/>
    <w:rsid w:val="002B28FF"/>
    <w:rsid w:val="002C0708"/>
    <w:rsid w:val="002C3F02"/>
    <w:rsid w:val="002C7017"/>
    <w:rsid w:val="002C7C46"/>
    <w:rsid w:val="002D0D93"/>
    <w:rsid w:val="002D3B74"/>
    <w:rsid w:val="002D48A5"/>
    <w:rsid w:val="002E46FC"/>
    <w:rsid w:val="002E525F"/>
    <w:rsid w:val="002F0AA4"/>
    <w:rsid w:val="002F1FF0"/>
    <w:rsid w:val="002F1FFD"/>
    <w:rsid w:val="002F588F"/>
    <w:rsid w:val="00300B26"/>
    <w:rsid w:val="00312827"/>
    <w:rsid w:val="003201F4"/>
    <w:rsid w:val="00323477"/>
    <w:rsid w:val="00323813"/>
    <w:rsid w:val="00323C53"/>
    <w:rsid w:val="00326048"/>
    <w:rsid w:val="00331E87"/>
    <w:rsid w:val="00340A01"/>
    <w:rsid w:val="003415AE"/>
    <w:rsid w:val="00341B41"/>
    <w:rsid w:val="00341DB9"/>
    <w:rsid w:val="00347858"/>
    <w:rsid w:val="00347D20"/>
    <w:rsid w:val="00351C84"/>
    <w:rsid w:val="0035594D"/>
    <w:rsid w:val="003571AF"/>
    <w:rsid w:val="00357448"/>
    <w:rsid w:val="003635CF"/>
    <w:rsid w:val="00365A7D"/>
    <w:rsid w:val="00367A86"/>
    <w:rsid w:val="00374758"/>
    <w:rsid w:val="00376A4F"/>
    <w:rsid w:val="00377478"/>
    <w:rsid w:val="003778BD"/>
    <w:rsid w:val="00380B0D"/>
    <w:rsid w:val="00384056"/>
    <w:rsid w:val="0038461F"/>
    <w:rsid w:val="0039114E"/>
    <w:rsid w:val="003967EA"/>
    <w:rsid w:val="0039691B"/>
    <w:rsid w:val="003A1970"/>
    <w:rsid w:val="003A46E2"/>
    <w:rsid w:val="003A5177"/>
    <w:rsid w:val="003A6113"/>
    <w:rsid w:val="003A70C8"/>
    <w:rsid w:val="003A777A"/>
    <w:rsid w:val="003B1B55"/>
    <w:rsid w:val="003B22BD"/>
    <w:rsid w:val="003B25D0"/>
    <w:rsid w:val="003B3AF2"/>
    <w:rsid w:val="003B7E3F"/>
    <w:rsid w:val="003C158C"/>
    <w:rsid w:val="003C4650"/>
    <w:rsid w:val="003D0D0D"/>
    <w:rsid w:val="003D7F81"/>
    <w:rsid w:val="003E00ED"/>
    <w:rsid w:val="003E12DC"/>
    <w:rsid w:val="003E1563"/>
    <w:rsid w:val="003E480F"/>
    <w:rsid w:val="003E6CDD"/>
    <w:rsid w:val="003F091D"/>
    <w:rsid w:val="003F1554"/>
    <w:rsid w:val="003F15AE"/>
    <w:rsid w:val="003F1AB1"/>
    <w:rsid w:val="003F3C99"/>
    <w:rsid w:val="003F414A"/>
    <w:rsid w:val="003F477B"/>
    <w:rsid w:val="003F4E40"/>
    <w:rsid w:val="003F5123"/>
    <w:rsid w:val="003F5409"/>
    <w:rsid w:val="00402A12"/>
    <w:rsid w:val="00402E8E"/>
    <w:rsid w:val="004036D1"/>
    <w:rsid w:val="00403C76"/>
    <w:rsid w:val="0041391E"/>
    <w:rsid w:val="004175CE"/>
    <w:rsid w:val="004243E6"/>
    <w:rsid w:val="00425817"/>
    <w:rsid w:val="00432886"/>
    <w:rsid w:val="004366AD"/>
    <w:rsid w:val="00440C8D"/>
    <w:rsid w:val="004462D6"/>
    <w:rsid w:val="004545E6"/>
    <w:rsid w:val="0046098A"/>
    <w:rsid w:val="00460B75"/>
    <w:rsid w:val="004625F7"/>
    <w:rsid w:val="004629B7"/>
    <w:rsid w:val="00463264"/>
    <w:rsid w:val="004654AB"/>
    <w:rsid w:val="004702AA"/>
    <w:rsid w:val="004739CC"/>
    <w:rsid w:val="004743B2"/>
    <w:rsid w:val="004779C4"/>
    <w:rsid w:val="004824AC"/>
    <w:rsid w:val="004835CE"/>
    <w:rsid w:val="00485035"/>
    <w:rsid w:val="00493AA4"/>
    <w:rsid w:val="0049645F"/>
    <w:rsid w:val="00497620"/>
    <w:rsid w:val="004A0CCB"/>
    <w:rsid w:val="004A2311"/>
    <w:rsid w:val="004A472C"/>
    <w:rsid w:val="004A64FE"/>
    <w:rsid w:val="004B0A64"/>
    <w:rsid w:val="004B2815"/>
    <w:rsid w:val="004B3826"/>
    <w:rsid w:val="004B6879"/>
    <w:rsid w:val="004B6B2B"/>
    <w:rsid w:val="004B6B7C"/>
    <w:rsid w:val="004C1B53"/>
    <w:rsid w:val="004C2407"/>
    <w:rsid w:val="004C4003"/>
    <w:rsid w:val="004C61EE"/>
    <w:rsid w:val="004D0EE6"/>
    <w:rsid w:val="004D7AF1"/>
    <w:rsid w:val="004E1286"/>
    <w:rsid w:val="004E48C2"/>
    <w:rsid w:val="004F199E"/>
    <w:rsid w:val="004F19ED"/>
    <w:rsid w:val="004F247C"/>
    <w:rsid w:val="004F3B44"/>
    <w:rsid w:val="004F6B88"/>
    <w:rsid w:val="005026FA"/>
    <w:rsid w:val="00502D58"/>
    <w:rsid w:val="00506DB4"/>
    <w:rsid w:val="00510629"/>
    <w:rsid w:val="00512CFB"/>
    <w:rsid w:val="00513ED5"/>
    <w:rsid w:val="005151A2"/>
    <w:rsid w:val="00515955"/>
    <w:rsid w:val="00515E52"/>
    <w:rsid w:val="00521086"/>
    <w:rsid w:val="00521116"/>
    <w:rsid w:val="005253F2"/>
    <w:rsid w:val="00527EFF"/>
    <w:rsid w:val="0053038A"/>
    <w:rsid w:val="005403CC"/>
    <w:rsid w:val="0054046D"/>
    <w:rsid w:val="00541634"/>
    <w:rsid w:val="00541B02"/>
    <w:rsid w:val="0054641A"/>
    <w:rsid w:val="0054728A"/>
    <w:rsid w:val="00550605"/>
    <w:rsid w:val="00550764"/>
    <w:rsid w:val="005517FC"/>
    <w:rsid w:val="00551C3E"/>
    <w:rsid w:val="00552AE1"/>
    <w:rsid w:val="005564EF"/>
    <w:rsid w:val="00570BEA"/>
    <w:rsid w:val="00571812"/>
    <w:rsid w:val="00573289"/>
    <w:rsid w:val="00574A90"/>
    <w:rsid w:val="00577AC8"/>
    <w:rsid w:val="00585B7A"/>
    <w:rsid w:val="0059460C"/>
    <w:rsid w:val="005949B5"/>
    <w:rsid w:val="005B1EB9"/>
    <w:rsid w:val="005B47BD"/>
    <w:rsid w:val="005C0530"/>
    <w:rsid w:val="005C2EE5"/>
    <w:rsid w:val="005C3729"/>
    <w:rsid w:val="005C4254"/>
    <w:rsid w:val="005C6252"/>
    <w:rsid w:val="005D29A2"/>
    <w:rsid w:val="005D582D"/>
    <w:rsid w:val="005E1DC4"/>
    <w:rsid w:val="005E2176"/>
    <w:rsid w:val="005E21F0"/>
    <w:rsid w:val="005E5F5C"/>
    <w:rsid w:val="005E6BAB"/>
    <w:rsid w:val="005E714A"/>
    <w:rsid w:val="005E7A0B"/>
    <w:rsid w:val="005F13DB"/>
    <w:rsid w:val="005F1E74"/>
    <w:rsid w:val="005F208E"/>
    <w:rsid w:val="005F67C8"/>
    <w:rsid w:val="005F6F30"/>
    <w:rsid w:val="00602E42"/>
    <w:rsid w:val="00605E25"/>
    <w:rsid w:val="00607EDB"/>
    <w:rsid w:val="006103C8"/>
    <w:rsid w:val="00610538"/>
    <w:rsid w:val="00611DA9"/>
    <w:rsid w:val="00612094"/>
    <w:rsid w:val="0061774B"/>
    <w:rsid w:val="00617805"/>
    <w:rsid w:val="0061791F"/>
    <w:rsid w:val="00621177"/>
    <w:rsid w:val="0062168E"/>
    <w:rsid w:val="006222F3"/>
    <w:rsid w:val="00625FE7"/>
    <w:rsid w:val="00626ECE"/>
    <w:rsid w:val="0063011F"/>
    <w:rsid w:val="006304C5"/>
    <w:rsid w:val="00631D84"/>
    <w:rsid w:val="00633E43"/>
    <w:rsid w:val="0063425F"/>
    <w:rsid w:val="00634526"/>
    <w:rsid w:val="00634BFE"/>
    <w:rsid w:val="00636E14"/>
    <w:rsid w:val="006418E7"/>
    <w:rsid w:val="00647EF1"/>
    <w:rsid w:val="00651958"/>
    <w:rsid w:val="0065686B"/>
    <w:rsid w:val="0066182C"/>
    <w:rsid w:val="00661E89"/>
    <w:rsid w:val="006651DC"/>
    <w:rsid w:val="00670497"/>
    <w:rsid w:val="00670543"/>
    <w:rsid w:val="00670BDF"/>
    <w:rsid w:val="00670FDA"/>
    <w:rsid w:val="00672EF5"/>
    <w:rsid w:val="00674362"/>
    <w:rsid w:val="00683B4E"/>
    <w:rsid w:val="00686A2E"/>
    <w:rsid w:val="0069321F"/>
    <w:rsid w:val="006935FC"/>
    <w:rsid w:val="00693B83"/>
    <w:rsid w:val="006947E1"/>
    <w:rsid w:val="006978FC"/>
    <w:rsid w:val="006B1422"/>
    <w:rsid w:val="006B41D2"/>
    <w:rsid w:val="006B606A"/>
    <w:rsid w:val="006B76CB"/>
    <w:rsid w:val="006C34F7"/>
    <w:rsid w:val="006D1B26"/>
    <w:rsid w:val="006E05DD"/>
    <w:rsid w:val="006E56B8"/>
    <w:rsid w:val="006E6911"/>
    <w:rsid w:val="006F10EA"/>
    <w:rsid w:val="006F1398"/>
    <w:rsid w:val="006F3002"/>
    <w:rsid w:val="006F5E58"/>
    <w:rsid w:val="00702179"/>
    <w:rsid w:val="007041C3"/>
    <w:rsid w:val="0071002F"/>
    <w:rsid w:val="00712B9C"/>
    <w:rsid w:val="00713B03"/>
    <w:rsid w:val="00720CE4"/>
    <w:rsid w:val="00724C31"/>
    <w:rsid w:val="007337E4"/>
    <w:rsid w:val="00733D38"/>
    <w:rsid w:val="00737EAF"/>
    <w:rsid w:val="00744462"/>
    <w:rsid w:val="00746B04"/>
    <w:rsid w:val="00750A53"/>
    <w:rsid w:val="00752D49"/>
    <w:rsid w:val="00752FDD"/>
    <w:rsid w:val="007530DB"/>
    <w:rsid w:val="007534B8"/>
    <w:rsid w:val="00753772"/>
    <w:rsid w:val="00754311"/>
    <w:rsid w:val="007579B1"/>
    <w:rsid w:val="00761685"/>
    <w:rsid w:val="0076355F"/>
    <w:rsid w:val="007637FF"/>
    <w:rsid w:val="00764699"/>
    <w:rsid w:val="00764807"/>
    <w:rsid w:val="00765288"/>
    <w:rsid w:val="007664C3"/>
    <w:rsid w:val="00774691"/>
    <w:rsid w:val="00774E2F"/>
    <w:rsid w:val="00775B2A"/>
    <w:rsid w:val="007763B0"/>
    <w:rsid w:val="0078768C"/>
    <w:rsid w:val="00790521"/>
    <w:rsid w:val="007A360E"/>
    <w:rsid w:val="007A3919"/>
    <w:rsid w:val="007A7E98"/>
    <w:rsid w:val="007B4E40"/>
    <w:rsid w:val="007C03A5"/>
    <w:rsid w:val="007C0578"/>
    <w:rsid w:val="007C5587"/>
    <w:rsid w:val="007E026B"/>
    <w:rsid w:val="007E6289"/>
    <w:rsid w:val="007F22DE"/>
    <w:rsid w:val="007F296C"/>
    <w:rsid w:val="007F3F4D"/>
    <w:rsid w:val="007F4C03"/>
    <w:rsid w:val="00803064"/>
    <w:rsid w:val="00803402"/>
    <w:rsid w:val="008050DD"/>
    <w:rsid w:val="00805372"/>
    <w:rsid w:val="00805FAB"/>
    <w:rsid w:val="00807ACB"/>
    <w:rsid w:val="0081157C"/>
    <w:rsid w:val="00812E2B"/>
    <w:rsid w:val="00822836"/>
    <w:rsid w:val="008238D3"/>
    <w:rsid w:val="00826229"/>
    <w:rsid w:val="00834E75"/>
    <w:rsid w:val="00841476"/>
    <w:rsid w:val="008465AD"/>
    <w:rsid w:val="00847616"/>
    <w:rsid w:val="008534B3"/>
    <w:rsid w:val="0085450A"/>
    <w:rsid w:val="00856D74"/>
    <w:rsid w:val="008575F3"/>
    <w:rsid w:val="00866A58"/>
    <w:rsid w:val="00871123"/>
    <w:rsid w:val="008727F5"/>
    <w:rsid w:val="00873A60"/>
    <w:rsid w:val="00876673"/>
    <w:rsid w:val="0088088C"/>
    <w:rsid w:val="008832BC"/>
    <w:rsid w:val="00896184"/>
    <w:rsid w:val="008961AD"/>
    <w:rsid w:val="008A02FC"/>
    <w:rsid w:val="008A03B6"/>
    <w:rsid w:val="008A240F"/>
    <w:rsid w:val="008A4190"/>
    <w:rsid w:val="008A5950"/>
    <w:rsid w:val="008B07E3"/>
    <w:rsid w:val="008B25F4"/>
    <w:rsid w:val="008B3518"/>
    <w:rsid w:val="008B5B86"/>
    <w:rsid w:val="008C7C4D"/>
    <w:rsid w:val="008D43F0"/>
    <w:rsid w:val="008D62A6"/>
    <w:rsid w:val="008D75E9"/>
    <w:rsid w:val="008E4B4A"/>
    <w:rsid w:val="008E5B13"/>
    <w:rsid w:val="008F00CF"/>
    <w:rsid w:val="008F02B6"/>
    <w:rsid w:val="009029C5"/>
    <w:rsid w:val="00902A02"/>
    <w:rsid w:val="00906E5D"/>
    <w:rsid w:val="00907792"/>
    <w:rsid w:val="009116B8"/>
    <w:rsid w:val="009120AD"/>
    <w:rsid w:val="0091302B"/>
    <w:rsid w:val="00920995"/>
    <w:rsid w:val="00920A64"/>
    <w:rsid w:val="00926CE1"/>
    <w:rsid w:val="0093098E"/>
    <w:rsid w:val="00933385"/>
    <w:rsid w:val="00934E22"/>
    <w:rsid w:val="0094275A"/>
    <w:rsid w:val="009459C9"/>
    <w:rsid w:val="00945F3E"/>
    <w:rsid w:val="00947524"/>
    <w:rsid w:val="0095077A"/>
    <w:rsid w:val="00960088"/>
    <w:rsid w:val="00960AA5"/>
    <w:rsid w:val="00965586"/>
    <w:rsid w:val="00967534"/>
    <w:rsid w:val="00970C87"/>
    <w:rsid w:val="00975E1B"/>
    <w:rsid w:val="00977CFD"/>
    <w:rsid w:val="00980C63"/>
    <w:rsid w:val="0098293B"/>
    <w:rsid w:val="00991BF8"/>
    <w:rsid w:val="00992366"/>
    <w:rsid w:val="009B2C1D"/>
    <w:rsid w:val="009B460F"/>
    <w:rsid w:val="009C00F5"/>
    <w:rsid w:val="009C0633"/>
    <w:rsid w:val="009C177D"/>
    <w:rsid w:val="009C4261"/>
    <w:rsid w:val="009C5411"/>
    <w:rsid w:val="009D3B35"/>
    <w:rsid w:val="009E0D23"/>
    <w:rsid w:val="009F0365"/>
    <w:rsid w:val="009F1250"/>
    <w:rsid w:val="009F13AC"/>
    <w:rsid w:val="009F3F27"/>
    <w:rsid w:val="00A02605"/>
    <w:rsid w:val="00A044F1"/>
    <w:rsid w:val="00A10978"/>
    <w:rsid w:val="00A11FFD"/>
    <w:rsid w:val="00A205B3"/>
    <w:rsid w:val="00A20D71"/>
    <w:rsid w:val="00A2109B"/>
    <w:rsid w:val="00A23E95"/>
    <w:rsid w:val="00A27856"/>
    <w:rsid w:val="00A32286"/>
    <w:rsid w:val="00A33EC4"/>
    <w:rsid w:val="00A35D4B"/>
    <w:rsid w:val="00A36A35"/>
    <w:rsid w:val="00A414E1"/>
    <w:rsid w:val="00A42881"/>
    <w:rsid w:val="00A43193"/>
    <w:rsid w:val="00A4360E"/>
    <w:rsid w:val="00A44D40"/>
    <w:rsid w:val="00A45791"/>
    <w:rsid w:val="00A45BF1"/>
    <w:rsid w:val="00A507D7"/>
    <w:rsid w:val="00A535AC"/>
    <w:rsid w:val="00A5438C"/>
    <w:rsid w:val="00A56E72"/>
    <w:rsid w:val="00A579ED"/>
    <w:rsid w:val="00A60911"/>
    <w:rsid w:val="00A625BF"/>
    <w:rsid w:val="00A641E4"/>
    <w:rsid w:val="00A66248"/>
    <w:rsid w:val="00A66AEC"/>
    <w:rsid w:val="00A83BA2"/>
    <w:rsid w:val="00A83E97"/>
    <w:rsid w:val="00A85086"/>
    <w:rsid w:val="00A93F5F"/>
    <w:rsid w:val="00AA522C"/>
    <w:rsid w:val="00AA6B60"/>
    <w:rsid w:val="00AB2591"/>
    <w:rsid w:val="00AC4673"/>
    <w:rsid w:val="00AD2B8F"/>
    <w:rsid w:val="00AE0F70"/>
    <w:rsid w:val="00AE2F04"/>
    <w:rsid w:val="00AE35CF"/>
    <w:rsid w:val="00AE6458"/>
    <w:rsid w:val="00AF319A"/>
    <w:rsid w:val="00AF43B2"/>
    <w:rsid w:val="00B00C58"/>
    <w:rsid w:val="00B03065"/>
    <w:rsid w:val="00B05120"/>
    <w:rsid w:val="00B108A8"/>
    <w:rsid w:val="00B141E3"/>
    <w:rsid w:val="00B15647"/>
    <w:rsid w:val="00B157FA"/>
    <w:rsid w:val="00B23456"/>
    <w:rsid w:val="00B3362A"/>
    <w:rsid w:val="00B33A5D"/>
    <w:rsid w:val="00B37F7C"/>
    <w:rsid w:val="00B406B1"/>
    <w:rsid w:val="00B42DB7"/>
    <w:rsid w:val="00B43274"/>
    <w:rsid w:val="00B464D0"/>
    <w:rsid w:val="00B468CB"/>
    <w:rsid w:val="00B55CFE"/>
    <w:rsid w:val="00B5613D"/>
    <w:rsid w:val="00B62E71"/>
    <w:rsid w:val="00B636C5"/>
    <w:rsid w:val="00B65007"/>
    <w:rsid w:val="00B67AAB"/>
    <w:rsid w:val="00B76CD2"/>
    <w:rsid w:val="00B77D31"/>
    <w:rsid w:val="00B820AF"/>
    <w:rsid w:val="00B83D79"/>
    <w:rsid w:val="00B85AA6"/>
    <w:rsid w:val="00B9013A"/>
    <w:rsid w:val="00B911A3"/>
    <w:rsid w:val="00B91B4A"/>
    <w:rsid w:val="00B91EBF"/>
    <w:rsid w:val="00B92D46"/>
    <w:rsid w:val="00B93F16"/>
    <w:rsid w:val="00BB62BD"/>
    <w:rsid w:val="00BC053A"/>
    <w:rsid w:val="00BC351E"/>
    <w:rsid w:val="00BC6FD5"/>
    <w:rsid w:val="00BD2AD7"/>
    <w:rsid w:val="00BD2ADA"/>
    <w:rsid w:val="00BD41A5"/>
    <w:rsid w:val="00BE436F"/>
    <w:rsid w:val="00BE7CCB"/>
    <w:rsid w:val="00BF0762"/>
    <w:rsid w:val="00BF1257"/>
    <w:rsid w:val="00BF3835"/>
    <w:rsid w:val="00C00BF6"/>
    <w:rsid w:val="00C05A56"/>
    <w:rsid w:val="00C05EAF"/>
    <w:rsid w:val="00C07AC0"/>
    <w:rsid w:val="00C11413"/>
    <w:rsid w:val="00C14EC4"/>
    <w:rsid w:val="00C15276"/>
    <w:rsid w:val="00C1542C"/>
    <w:rsid w:val="00C17EFA"/>
    <w:rsid w:val="00C241AF"/>
    <w:rsid w:val="00C256AF"/>
    <w:rsid w:val="00C32D9A"/>
    <w:rsid w:val="00C3357F"/>
    <w:rsid w:val="00C41443"/>
    <w:rsid w:val="00C434F7"/>
    <w:rsid w:val="00C4356C"/>
    <w:rsid w:val="00C55FE4"/>
    <w:rsid w:val="00C609B2"/>
    <w:rsid w:val="00C62722"/>
    <w:rsid w:val="00C65F7D"/>
    <w:rsid w:val="00C662A7"/>
    <w:rsid w:val="00C668E9"/>
    <w:rsid w:val="00C70805"/>
    <w:rsid w:val="00C70E72"/>
    <w:rsid w:val="00C75E5F"/>
    <w:rsid w:val="00C9252E"/>
    <w:rsid w:val="00C93705"/>
    <w:rsid w:val="00C94B2A"/>
    <w:rsid w:val="00C94B4E"/>
    <w:rsid w:val="00C9742A"/>
    <w:rsid w:val="00CA052F"/>
    <w:rsid w:val="00CA5626"/>
    <w:rsid w:val="00CA747D"/>
    <w:rsid w:val="00CB0B9B"/>
    <w:rsid w:val="00CB16E8"/>
    <w:rsid w:val="00CB6DF1"/>
    <w:rsid w:val="00CB747D"/>
    <w:rsid w:val="00CB7E6F"/>
    <w:rsid w:val="00CC15CF"/>
    <w:rsid w:val="00CC30A4"/>
    <w:rsid w:val="00CC6039"/>
    <w:rsid w:val="00CE45B9"/>
    <w:rsid w:val="00CE520B"/>
    <w:rsid w:val="00CE642E"/>
    <w:rsid w:val="00CF0850"/>
    <w:rsid w:val="00CF5EE5"/>
    <w:rsid w:val="00D011FF"/>
    <w:rsid w:val="00D050E1"/>
    <w:rsid w:val="00D06083"/>
    <w:rsid w:val="00D07C34"/>
    <w:rsid w:val="00D14014"/>
    <w:rsid w:val="00D14D69"/>
    <w:rsid w:val="00D15041"/>
    <w:rsid w:val="00D15C0A"/>
    <w:rsid w:val="00D2356E"/>
    <w:rsid w:val="00D31BE2"/>
    <w:rsid w:val="00D31F56"/>
    <w:rsid w:val="00D32D61"/>
    <w:rsid w:val="00D332D6"/>
    <w:rsid w:val="00D335AF"/>
    <w:rsid w:val="00D41DFE"/>
    <w:rsid w:val="00D42E81"/>
    <w:rsid w:val="00D43767"/>
    <w:rsid w:val="00D43B25"/>
    <w:rsid w:val="00D52369"/>
    <w:rsid w:val="00D52502"/>
    <w:rsid w:val="00D533C7"/>
    <w:rsid w:val="00D5607D"/>
    <w:rsid w:val="00D5617D"/>
    <w:rsid w:val="00D63CD7"/>
    <w:rsid w:val="00D644C4"/>
    <w:rsid w:val="00D65865"/>
    <w:rsid w:val="00D65A2D"/>
    <w:rsid w:val="00D7002B"/>
    <w:rsid w:val="00D707E0"/>
    <w:rsid w:val="00D71F06"/>
    <w:rsid w:val="00D76931"/>
    <w:rsid w:val="00D9220F"/>
    <w:rsid w:val="00D93DE2"/>
    <w:rsid w:val="00D94652"/>
    <w:rsid w:val="00D964F7"/>
    <w:rsid w:val="00D96F98"/>
    <w:rsid w:val="00DA3786"/>
    <w:rsid w:val="00DB2E1B"/>
    <w:rsid w:val="00DC3445"/>
    <w:rsid w:val="00DC5392"/>
    <w:rsid w:val="00DD009C"/>
    <w:rsid w:val="00DD406F"/>
    <w:rsid w:val="00DD60E8"/>
    <w:rsid w:val="00DD6AB6"/>
    <w:rsid w:val="00DE37C3"/>
    <w:rsid w:val="00DE67DB"/>
    <w:rsid w:val="00DE6BDA"/>
    <w:rsid w:val="00DE78E5"/>
    <w:rsid w:val="00DF21CC"/>
    <w:rsid w:val="00E01305"/>
    <w:rsid w:val="00E04185"/>
    <w:rsid w:val="00E047D0"/>
    <w:rsid w:val="00E111AD"/>
    <w:rsid w:val="00E249CE"/>
    <w:rsid w:val="00E309CD"/>
    <w:rsid w:val="00E36457"/>
    <w:rsid w:val="00E36D1D"/>
    <w:rsid w:val="00E45927"/>
    <w:rsid w:val="00E50824"/>
    <w:rsid w:val="00E52B7A"/>
    <w:rsid w:val="00E60597"/>
    <w:rsid w:val="00E60999"/>
    <w:rsid w:val="00E6379E"/>
    <w:rsid w:val="00E63928"/>
    <w:rsid w:val="00E63C54"/>
    <w:rsid w:val="00E64406"/>
    <w:rsid w:val="00E65A68"/>
    <w:rsid w:val="00E66178"/>
    <w:rsid w:val="00E70C53"/>
    <w:rsid w:val="00E7595F"/>
    <w:rsid w:val="00E7759C"/>
    <w:rsid w:val="00E851E3"/>
    <w:rsid w:val="00E905E6"/>
    <w:rsid w:val="00E938E9"/>
    <w:rsid w:val="00E9522C"/>
    <w:rsid w:val="00EA1EA8"/>
    <w:rsid w:val="00EA4CB2"/>
    <w:rsid w:val="00EB33A8"/>
    <w:rsid w:val="00EB35A1"/>
    <w:rsid w:val="00EC05B4"/>
    <w:rsid w:val="00EC136F"/>
    <w:rsid w:val="00EC1DA4"/>
    <w:rsid w:val="00EC3984"/>
    <w:rsid w:val="00EC4110"/>
    <w:rsid w:val="00EE260F"/>
    <w:rsid w:val="00EE33ED"/>
    <w:rsid w:val="00EE5CB6"/>
    <w:rsid w:val="00EE6FE8"/>
    <w:rsid w:val="00EF6DFF"/>
    <w:rsid w:val="00EF7D16"/>
    <w:rsid w:val="00F02923"/>
    <w:rsid w:val="00F036B7"/>
    <w:rsid w:val="00F071C1"/>
    <w:rsid w:val="00F077AF"/>
    <w:rsid w:val="00F10711"/>
    <w:rsid w:val="00F152E3"/>
    <w:rsid w:val="00F15E1C"/>
    <w:rsid w:val="00F21B58"/>
    <w:rsid w:val="00F25A4B"/>
    <w:rsid w:val="00F27DBC"/>
    <w:rsid w:val="00F308DB"/>
    <w:rsid w:val="00F34F40"/>
    <w:rsid w:val="00F405A0"/>
    <w:rsid w:val="00F422AC"/>
    <w:rsid w:val="00F52B95"/>
    <w:rsid w:val="00F530A7"/>
    <w:rsid w:val="00F61E21"/>
    <w:rsid w:val="00F624CB"/>
    <w:rsid w:val="00F62B42"/>
    <w:rsid w:val="00F64EB7"/>
    <w:rsid w:val="00F707F9"/>
    <w:rsid w:val="00F72C53"/>
    <w:rsid w:val="00F74663"/>
    <w:rsid w:val="00F74899"/>
    <w:rsid w:val="00F8395A"/>
    <w:rsid w:val="00F87038"/>
    <w:rsid w:val="00F92A91"/>
    <w:rsid w:val="00F9429B"/>
    <w:rsid w:val="00F946AC"/>
    <w:rsid w:val="00F9695B"/>
    <w:rsid w:val="00FA04E1"/>
    <w:rsid w:val="00FA1B67"/>
    <w:rsid w:val="00FA1FB2"/>
    <w:rsid w:val="00FA2763"/>
    <w:rsid w:val="00FB0B99"/>
    <w:rsid w:val="00FC31D9"/>
    <w:rsid w:val="00FC4E92"/>
    <w:rsid w:val="00FD5276"/>
    <w:rsid w:val="00FE1D16"/>
    <w:rsid w:val="00FE2C92"/>
    <w:rsid w:val="00FE7C5C"/>
    <w:rsid w:val="00FF3C4D"/>
    <w:rsid w:val="00FF4645"/>
    <w:rsid w:val="00FF4F97"/>
    <w:rsid w:val="00FF5D2E"/>
    <w:rsid w:val="00FF77FE"/>
    <w:rsid w:val="00FF79D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BECD8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24C31"/>
    <w:pPr>
      <w:spacing w:after="200" w:line="480" w:lineRule="auto"/>
    </w:pPr>
    <w:rPr>
      <w:szCs w:val="22"/>
      <w:lang w:val="en-GB"/>
    </w:rPr>
  </w:style>
  <w:style w:type="paragraph" w:styleId="Heading1">
    <w:name w:val="heading 1"/>
    <w:basedOn w:val="Normal"/>
    <w:next w:val="Normal"/>
    <w:link w:val="Heading1Char"/>
    <w:uiPriority w:val="9"/>
    <w:qFormat/>
    <w:rsid w:val="00607EDB"/>
    <w:pPr>
      <w:keepNext/>
      <w:keepLines/>
      <w:spacing w:before="240"/>
      <w:outlineLvl w:val="0"/>
    </w:pPr>
    <w:rPr>
      <w:rFonts w:eastAsiaTheme="majorEastAsia" w:cstheme="majorBidi"/>
      <w:b/>
      <w:color w:val="000000" w:themeColor="text1"/>
      <w:sz w:val="32"/>
      <w:szCs w:val="32"/>
    </w:rPr>
  </w:style>
  <w:style w:type="paragraph" w:styleId="Heading2">
    <w:name w:val="heading 2"/>
    <w:basedOn w:val="Normal"/>
    <w:next w:val="Normal"/>
    <w:link w:val="Heading2Char"/>
    <w:uiPriority w:val="9"/>
    <w:unhideWhenUsed/>
    <w:qFormat/>
    <w:rsid w:val="00724C31"/>
    <w:pPr>
      <w:keepNext/>
      <w:keepLines/>
      <w:spacing w:before="40"/>
      <w:outlineLvl w:val="1"/>
    </w:pPr>
    <w:rPr>
      <w:rFonts w:eastAsiaTheme="majorEastAsia" w:cstheme="majorBidi"/>
      <w:b/>
      <w:color w:val="000000" w:themeColor="text1"/>
      <w:sz w:val="28"/>
      <w:szCs w:val="26"/>
    </w:rPr>
  </w:style>
  <w:style w:type="paragraph" w:styleId="Heading3">
    <w:name w:val="heading 3"/>
    <w:basedOn w:val="Normal"/>
    <w:next w:val="Normal"/>
    <w:link w:val="Heading3Char"/>
    <w:uiPriority w:val="9"/>
    <w:unhideWhenUsed/>
    <w:qFormat/>
    <w:rsid w:val="00724C31"/>
    <w:pPr>
      <w:keepNext/>
      <w:keepLines/>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724C31"/>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24C31"/>
    <w:pPr>
      <w:spacing w:line="240" w:lineRule="auto"/>
      <w:contextualSpacing/>
    </w:pPr>
    <w:rPr>
      <w:rFonts w:eastAsiaTheme="majorEastAsia" w:cstheme="majorBidi"/>
      <w:b/>
      <w:spacing w:val="-10"/>
      <w:kern w:val="28"/>
      <w:sz w:val="32"/>
      <w:szCs w:val="56"/>
      <w:u w:val="single"/>
    </w:rPr>
  </w:style>
  <w:style w:type="character" w:customStyle="1" w:styleId="TitleChar">
    <w:name w:val="Title Char"/>
    <w:basedOn w:val="DefaultParagraphFont"/>
    <w:link w:val="Title"/>
    <w:uiPriority w:val="10"/>
    <w:rsid w:val="00724C31"/>
    <w:rPr>
      <w:rFonts w:eastAsiaTheme="majorEastAsia" w:cstheme="majorBidi"/>
      <w:b/>
      <w:spacing w:val="-10"/>
      <w:kern w:val="28"/>
      <w:sz w:val="32"/>
      <w:szCs w:val="56"/>
      <w:u w:val="single"/>
      <w:lang w:val="en-GB"/>
    </w:rPr>
  </w:style>
  <w:style w:type="character" w:customStyle="1" w:styleId="Heading1Char">
    <w:name w:val="Heading 1 Char"/>
    <w:basedOn w:val="DefaultParagraphFont"/>
    <w:link w:val="Heading1"/>
    <w:uiPriority w:val="9"/>
    <w:rsid w:val="00607EDB"/>
    <w:rPr>
      <w:rFonts w:eastAsiaTheme="majorEastAsia" w:cstheme="majorBidi"/>
      <w:b/>
      <w:color w:val="000000" w:themeColor="text1"/>
      <w:sz w:val="32"/>
      <w:szCs w:val="32"/>
      <w:lang w:val="en-GB"/>
    </w:rPr>
  </w:style>
  <w:style w:type="character" w:customStyle="1" w:styleId="Heading2Char">
    <w:name w:val="Heading 2 Char"/>
    <w:basedOn w:val="DefaultParagraphFont"/>
    <w:link w:val="Heading2"/>
    <w:uiPriority w:val="9"/>
    <w:rsid w:val="00724C31"/>
    <w:rPr>
      <w:rFonts w:eastAsiaTheme="majorEastAsia" w:cstheme="majorBidi"/>
      <w:b/>
      <w:color w:val="000000" w:themeColor="text1"/>
      <w:sz w:val="28"/>
      <w:szCs w:val="26"/>
      <w:lang w:val="en-GB"/>
    </w:rPr>
  </w:style>
  <w:style w:type="character" w:styleId="SubtleEmphasis">
    <w:name w:val="Subtle Emphasis"/>
    <w:basedOn w:val="DefaultParagraphFont"/>
    <w:uiPriority w:val="19"/>
    <w:qFormat/>
    <w:rsid w:val="00377478"/>
    <w:rPr>
      <w:rFonts w:ascii="Times New Roman" w:hAnsi="Times New Roman"/>
      <w:i/>
      <w:iCs/>
      <w:color w:val="000000" w:themeColor="text1"/>
      <w:sz w:val="24"/>
    </w:rPr>
  </w:style>
  <w:style w:type="character" w:customStyle="1" w:styleId="Heading3Char">
    <w:name w:val="Heading 3 Char"/>
    <w:basedOn w:val="DefaultParagraphFont"/>
    <w:link w:val="Heading3"/>
    <w:uiPriority w:val="9"/>
    <w:rsid w:val="00724C31"/>
    <w:rPr>
      <w:rFonts w:eastAsiaTheme="majorEastAsia" w:cstheme="majorBidi"/>
      <w:b/>
      <w:color w:val="000000" w:themeColor="text1"/>
      <w:lang w:val="en-GB"/>
    </w:rPr>
  </w:style>
  <w:style w:type="paragraph" w:styleId="ListParagraph">
    <w:name w:val="List Paragraph"/>
    <w:basedOn w:val="Normal"/>
    <w:uiPriority w:val="34"/>
    <w:qFormat/>
    <w:rsid w:val="004743B2"/>
    <w:pPr>
      <w:ind w:left="720"/>
      <w:contextualSpacing/>
    </w:pPr>
  </w:style>
  <w:style w:type="paragraph" w:styleId="Footer">
    <w:name w:val="footer"/>
    <w:basedOn w:val="Normal"/>
    <w:link w:val="FooterChar"/>
    <w:uiPriority w:val="99"/>
    <w:unhideWhenUsed/>
    <w:rsid w:val="004743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43B2"/>
    <w:rPr>
      <w:rFonts w:asciiTheme="minorHAnsi" w:hAnsiTheme="minorHAnsi"/>
      <w:sz w:val="22"/>
      <w:szCs w:val="22"/>
      <w:lang w:val="en-GB"/>
    </w:rPr>
  </w:style>
  <w:style w:type="character" w:styleId="PageNumber">
    <w:name w:val="page number"/>
    <w:basedOn w:val="DefaultParagraphFont"/>
    <w:uiPriority w:val="99"/>
    <w:semiHidden/>
    <w:unhideWhenUsed/>
    <w:rsid w:val="004743B2"/>
  </w:style>
  <w:style w:type="character" w:customStyle="1" w:styleId="Heading4Char">
    <w:name w:val="Heading 4 Char"/>
    <w:basedOn w:val="DefaultParagraphFont"/>
    <w:link w:val="Heading4"/>
    <w:uiPriority w:val="9"/>
    <w:rsid w:val="00724C31"/>
    <w:rPr>
      <w:rFonts w:eastAsiaTheme="majorEastAsia" w:cstheme="majorBidi"/>
      <w:i/>
      <w:iCs/>
      <w:color w:val="000000" w:themeColor="text1"/>
      <w:szCs w:val="22"/>
      <w:lang w:val="en-GB"/>
    </w:rPr>
  </w:style>
  <w:style w:type="paragraph" w:styleId="NoSpacing">
    <w:name w:val="No Spacing"/>
    <w:uiPriority w:val="1"/>
    <w:qFormat/>
    <w:rsid w:val="00724C31"/>
    <w:rPr>
      <w:szCs w:val="22"/>
      <w:lang w:val="en-GB"/>
    </w:rPr>
  </w:style>
  <w:style w:type="paragraph" w:styleId="TableofFigures">
    <w:name w:val="table of figures"/>
    <w:basedOn w:val="Normal"/>
    <w:next w:val="Normal"/>
    <w:uiPriority w:val="99"/>
    <w:unhideWhenUsed/>
    <w:rsid w:val="00EA1EA8"/>
    <w:pPr>
      <w:spacing w:after="0" w:line="360" w:lineRule="auto"/>
    </w:pPr>
  </w:style>
  <w:style w:type="paragraph" w:styleId="TOCHeading">
    <w:name w:val="TOC Heading"/>
    <w:basedOn w:val="Heading1"/>
    <w:next w:val="Normal"/>
    <w:uiPriority w:val="39"/>
    <w:unhideWhenUsed/>
    <w:qFormat/>
    <w:rsid w:val="00EA1EA8"/>
    <w:pPr>
      <w:spacing w:before="480" w:after="0"/>
      <w:outlineLvl w:val="9"/>
    </w:pPr>
    <w:rPr>
      <w:bCs/>
      <w:szCs w:val="28"/>
      <w:lang w:val="en-US"/>
    </w:rPr>
  </w:style>
  <w:style w:type="paragraph" w:styleId="TOC1">
    <w:name w:val="toc 1"/>
    <w:basedOn w:val="Normal"/>
    <w:next w:val="Normal"/>
    <w:autoRedefine/>
    <w:uiPriority w:val="39"/>
    <w:unhideWhenUsed/>
    <w:rsid w:val="00EA1EA8"/>
    <w:pPr>
      <w:spacing w:before="120" w:after="0" w:line="360" w:lineRule="auto"/>
    </w:pPr>
    <w:rPr>
      <w:bCs/>
      <w:szCs w:val="24"/>
    </w:rPr>
  </w:style>
  <w:style w:type="paragraph" w:styleId="TOC2">
    <w:name w:val="toc 2"/>
    <w:basedOn w:val="Normal"/>
    <w:next w:val="Normal"/>
    <w:autoRedefine/>
    <w:uiPriority w:val="39"/>
    <w:unhideWhenUsed/>
    <w:rsid w:val="00EA1EA8"/>
    <w:pPr>
      <w:spacing w:after="0" w:line="360" w:lineRule="auto"/>
      <w:ind w:left="240"/>
    </w:pPr>
    <w:rPr>
      <w:bCs/>
      <w:sz w:val="22"/>
    </w:rPr>
  </w:style>
  <w:style w:type="paragraph" w:styleId="TOC3">
    <w:name w:val="toc 3"/>
    <w:basedOn w:val="Normal"/>
    <w:next w:val="Normal"/>
    <w:autoRedefine/>
    <w:uiPriority w:val="39"/>
    <w:unhideWhenUsed/>
    <w:rsid w:val="00EA1EA8"/>
    <w:pPr>
      <w:spacing w:after="0" w:line="360" w:lineRule="auto"/>
      <w:ind w:left="480"/>
    </w:pPr>
    <w:rPr>
      <w:sz w:val="22"/>
    </w:rPr>
  </w:style>
  <w:style w:type="paragraph" w:styleId="TOC4">
    <w:name w:val="toc 4"/>
    <w:basedOn w:val="Normal"/>
    <w:next w:val="Normal"/>
    <w:autoRedefine/>
    <w:uiPriority w:val="39"/>
    <w:unhideWhenUsed/>
    <w:rsid w:val="00EA1EA8"/>
    <w:pPr>
      <w:spacing w:after="0" w:line="360" w:lineRule="auto"/>
      <w:ind w:left="720"/>
    </w:pPr>
    <w:rPr>
      <w:sz w:val="20"/>
      <w:szCs w:val="20"/>
    </w:rPr>
  </w:style>
  <w:style w:type="paragraph" w:styleId="TOC5">
    <w:name w:val="toc 5"/>
    <w:basedOn w:val="Normal"/>
    <w:next w:val="Normal"/>
    <w:autoRedefine/>
    <w:uiPriority w:val="39"/>
    <w:unhideWhenUsed/>
    <w:rsid w:val="00724C31"/>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724C31"/>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724C31"/>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724C31"/>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724C31"/>
    <w:pPr>
      <w:spacing w:after="0"/>
      <w:ind w:left="1920"/>
    </w:pPr>
    <w:rPr>
      <w:rFonts w:asciiTheme="minorHAnsi" w:hAnsiTheme="minorHAnsi"/>
      <w:sz w:val="20"/>
      <w:szCs w:val="20"/>
    </w:rPr>
  </w:style>
  <w:style w:type="paragraph" w:styleId="Bibliography">
    <w:name w:val="Bibliography"/>
    <w:basedOn w:val="Normal"/>
    <w:next w:val="Normal"/>
    <w:uiPriority w:val="37"/>
    <w:unhideWhenUsed/>
    <w:rsid w:val="00724C31"/>
    <w:pPr>
      <w:spacing w:line="240" w:lineRule="auto"/>
    </w:pPr>
  </w:style>
  <w:style w:type="paragraph" w:styleId="Caption">
    <w:name w:val="caption"/>
    <w:basedOn w:val="Normal"/>
    <w:next w:val="Normal"/>
    <w:uiPriority w:val="35"/>
    <w:unhideWhenUsed/>
    <w:qFormat/>
    <w:rsid w:val="00BC6FD5"/>
    <w:pPr>
      <w:spacing w:line="240" w:lineRule="auto"/>
    </w:pPr>
    <w:rPr>
      <w:i/>
      <w:iCs/>
      <w:color w:val="000000" w:themeColor="text1"/>
      <w:szCs w:val="18"/>
    </w:rPr>
  </w:style>
  <w:style w:type="paragraph" w:customStyle="1" w:styleId="ThesisNormal">
    <w:name w:val="Thesis_Normal"/>
    <w:basedOn w:val="Normal"/>
    <w:qFormat/>
    <w:rsid w:val="00607EDB"/>
    <w:pPr>
      <w:spacing w:after="0"/>
    </w:pPr>
    <w:rPr>
      <w:szCs w:val="24"/>
      <w:lang w:val="en-US"/>
    </w:rPr>
  </w:style>
  <w:style w:type="paragraph" w:customStyle="1" w:styleId="ThesisHeading1">
    <w:name w:val="Thesis_Heading_1"/>
    <w:basedOn w:val="Normal"/>
    <w:qFormat/>
    <w:rsid w:val="00607EDB"/>
    <w:pPr>
      <w:spacing w:after="0"/>
    </w:pPr>
    <w:rPr>
      <w:b/>
      <w:sz w:val="32"/>
      <w:szCs w:val="24"/>
      <w:lang w:val="en-US"/>
    </w:rPr>
  </w:style>
  <w:style w:type="character" w:styleId="Hyperlink">
    <w:name w:val="Hyperlink"/>
    <w:basedOn w:val="DefaultParagraphFont"/>
    <w:uiPriority w:val="99"/>
    <w:unhideWhenUsed/>
    <w:rsid w:val="00EA1EA8"/>
    <w:rPr>
      <w:color w:val="0563C1" w:themeColor="hyperlink"/>
      <w:u w:val="single"/>
    </w:rPr>
  </w:style>
  <w:style w:type="paragraph" w:styleId="Header">
    <w:name w:val="header"/>
    <w:basedOn w:val="Normal"/>
    <w:link w:val="HeaderChar"/>
    <w:uiPriority w:val="99"/>
    <w:unhideWhenUsed/>
    <w:rsid w:val="00D07C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7C34"/>
    <w:rPr>
      <w:szCs w:val="22"/>
      <w:lang w:val="en-GB"/>
    </w:rPr>
  </w:style>
  <w:style w:type="table" w:styleId="TableGrid">
    <w:name w:val="Table Grid"/>
    <w:basedOn w:val="TableNormal"/>
    <w:uiPriority w:val="59"/>
    <w:rsid w:val="007A7E98"/>
    <w:rPr>
      <w:rFonts w:asciiTheme="minorHAnsi" w:hAnsi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7EF1"/>
    <w:pPr>
      <w:spacing w:after="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647EF1"/>
    <w:rPr>
      <w:rFonts w:cs="Times New Roman"/>
      <w:sz w:val="18"/>
      <w:szCs w:val="18"/>
      <w:lang w:val="en-GB"/>
    </w:rPr>
  </w:style>
  <w:style w:type="character" w:styleId="CommentReference">
    <w:name w:val="annotation reference"/>
    <w:basedOn w:val="DefaultParagraphFont"/>
    <w:uiPriority w:val="99"/>
    <w:semiHidden/>
    <w:unhideWhenUsed/>
    <w:rsid w:val="003F414A"/>
    <w:rPr>
      <w:sz w:val="18"/>
      <w:szCs w:val="18"/>
    </w:rPr>
  </w:style>
  <w:style w:type="paragraph" w:styleId="CommentText">
    <w:name w:val="annotation text"/>
    <w:basedOn w:val="Normal"/>
    <w:link w:val="CommentTextChar"/>
    <w:uiPriority w:val="99"/>
    <w:semiHidden/>
    <w:unhideWhenUsed/>
    <w:rsid w:val="003F414A"/>
    <w:pPr>
      <w:spacing w:line="240" w:lineRule="auto"/>
    </w:pPr>
    <w:rPr>
      <w:szCs w:val="24"/>
    </w:rPr>
  </w:style>
  <w:style w:type="character" w:customStyle="1" w:styleId="CommentTextChar">
    <w:name w:val="Comment Text Char"/>
    <w:basedOn w:val="DefaultParagraphFont"/>
    <w:link w:val="CommentText"/>
    <w:uiPriority w:val="99"/>
    <w:semiHidden/>
    <w:rsid w:val="003F414A"/>
    <w:rPr>
      <w:lang w:val="en-GB"/>
    </w:rPr>
  </w:style>
  <w:style w:type="paragraph" w:styleId="CommentSubject">
    <w:name w:val="annotation subject"/>
    <w:basedOn w:val="CommentText"/>
    <w:next w:val="CommentText"/>
    <w:link w:val="CommentSubjectChar"/>
    <w:uiPriority w:val="99"/>
    <w:semiHidden/>
    <w:unhideWhenUsed/>
    <w:rsid w:val="003F414A"/>
    <w:rPr>
      <w:b/>
      <w:bCs/>
      <w:sz w:val="20"/>
      <w:szCs w:val="20"/>
    </w:rPr>
  </w:style>
  <w:style w:type="character" w:customStyle="1" w:styleId="CommentSubjectChar">
    <w:name w:val="Comment Subject Char"/>
    <w:basedOn w:val="CommentTextChar"/>
    <w:link w:val="CommentSubject"/>
    <w:uiPriority w:val="99"/>
    <w:semiHidden/>
    <w:rsid w:val="003F414A"/>
    <w:rPr>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emf"/><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902A053-7386-B846-8521-8F4533DA6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239</Pages>
  <Words>231748</Words>
  <Characters>1320970</Characters>
  <Application>Microsoft Macintosh Word</Application>
  <DocSecurity>0</DocSecurity>
  <Lines>11008</Lines>
  <Paragraphs>3099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1549619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cp:lastPrinted>2017-06-18T02:41:00Z</cp:lastPrinted>
  <dcterms:created xsi:type="dcterms:W3CDTF">2017-07-21T15:44:00Z</dcterms:created>
  <dcterms:modified xsi:type="dcterms:W3CDTF">2017-08-01T14:07:00Z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9a18ca7a-9739-32e0-b31e-b7a2765ccb79</vt:lpwstr>
  </property>
  <property fmtid="{D5CDD505-2E9C-101B-9397-08002B2CF9AE}" pid="4" name="Mendeley Citation Style_1">
    <vt:lpwstr>http://www.zotero.org/styles/apa</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http://www.zotero.org/styles/bmc-psychology</vt:lpwstr>
  </property>
  <property fmtid="{D5CDD505-2E9C-101B-9397-08002B2CF9AE}" pid="12" name="Mendeley Recent Style Name 3_1">
    <vt:lpwstr>BMC Psychology</vt:lpwstr>
  </property>
  <property fmtid="{D5CDD505-2E9C-101B-9397-08002B2CF9AE}" pid="13" name="Mendeley Recent Style Id 4_1">
    <vt:lpwstr>http://www.zotero.org/styles/biomed-central</vt:lpwstr>
  </property>
  <property fmtid="{D5CDD505-2E9C-101B-9397-08002B2CF9AE}" pid="14" name="Mendeley Recent Style Name 4_1">
    <vt:lpwstr>BioMed Central</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http://www.zotero.org/styles/journal-of-sleep-research</vt:lpwstr>
  </property>
  <property fmtid="{D5CDD505-2E9C-101B-9397-08002B2CF9AE}" pid="18" name="Mendeley Recent Style Name 6_1">
    <vt:lpwstr>Journal of Sleep Research</vt:lpwstr>
  </property>
  <property fmtid="{D5CDD505-2E9C-101B-9397-08002B2CF9AE}" pid="19" name="Mendeley Recent Style Id 7_1">
    <vt:lpwstr>http://www.zotero.org/styles/neuroscience-and-biobehavioral-reviews</vt:lpwstr>
  </property>
  <property fmtid="{D5CDD505-2E9C-101B-9397-08002B2CF9AE}" pid="20" name="Mendeley Recent Style Name 7_1">
    <vt:lpwstr>Neuroscience and Biobehavioral Reviews</vt:lpwstr>
  </property>
  <property fmtid="{D5CDD505-2E9C-101B-9397-08002B2CF9AE}" pid="21" name="Mendeley Recent Style Id 8_1">
    <vt:lpwstr>http://csl.mendeley.com/styles/25509021/Sleep</vt:lpwstr>
  </property>
  <property fmtid="{D5CDD505-2E9C-101B-9397-08002B2CF9AE}" pid="22" name="Mendeley Recent Style Name 8_1">
    <vt:lpwstr>Sleep - Dan Denis</vt:lpwstr>
  </property>
  <property fmtid="{D5CDD505-2E9C-101B-9397-08002B2CF9AE}" pid="23" name="Mendeley Recent Style Id 9_1">
    <vt:lpwstr>http://www.zotero.org/styles/sleep-medicine-reviews</vt:lpwstr>
  </property>
  <property fmtid="{D5CDD505-2E9C-101B-9397-08002B2CF9AE}" pid="24" name="Mendeley Recent Style Name 9_1">
    <vt:lpwstr>Sleep Medicine Reviews</vt:lpwstr>
  </property>
</Properties>
</file>