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50FC9" w:rsidRDefault="00C50FC9" w:rsidP="00B812E2">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noProof/>
          <w:sz w:val="24"/>
          <w:szCs w:val="24"/>
          <w:lang w:eastAsia="en-GB"/>
        </w:rPr>
        <w:drawing>
          <wp:inline distT="0" distB="0" distL="0" distR="0">
            <wp:extent cx="3036570" cy="1104265"/>
            <wp:effectExtent l="0" t="0" r="0" b="635"/>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inline>
        </w:drawing>
      </w:r>
    </w:p>
    <w:p w:rsidR="00C50FC9" w:rsidRDefault="00C50FC9" w:rsidP="00C50FC9">
      <w:pPr>
        <w:autoSpaceDE w:val="0"/>
        <w:autoSpaceDN w:val="0"/>
        <w:adjustRightInd w:val="0"/>
        <w:spacing w:after="0" w:line="240" w:lineRule="auto"/>
        <w:jc w:val="center"/>
        <w:rPr>
          <w:rFonts w:asciiTheme="majorBidi" w:hAnsiTheme="majorBidi" w:cstheme="majorBidi"/>
          <w:sz w:val="24"/>
          <w:szCs w:val="24"/>
        </w:rPr>
      </w:pPr>
    </w:p>
    <w:p w:rsidR="00C50FC9" w:rsidRDefault="00C50FC9" w:rsidP="00C50FC9">
      <w:pPr>
        <w:autoSpaceDE w:val="0"/>
        <w:autoSpaceDN w:val="0"/>
        <w:adjustRightInd w:val="0"/>
        <w:spacing w:after="0" w:line="240" w:lineRule="auto"/>
        <w:jc w:val="center"/>
        <w:rPr>
          <w:rFonts w:asciiTheme="majorBidi" w:hAnsiTheme="majorBidi" w:cstheme="majorBidi"/>
          <w:sz w:val="24"/>
          <w:szCs w:val="24"/>
        </w:rPr>
      </w:pPr>
    </w:p>
    <w:p w:rsidR="00C50FC9" w:rsidRDefault="00C50FC9" w:rsidP="00C50FC9">
      <w:pPr>
        <w:autoSpaceDE w:val="0"/>
        <w:autoSpaceDN w:val="0"/>
        <w:adjustRightInd w:val="0"/>
        <w:spacing w:after="0" w:line="240" w:lineRule="auto"/>
        <w:jc w:val="center"/>
        <w:rPr>
          <w:rFonts w:asciiTheme="majorBidi" w:hAnsiTheme="majorBidi" w:cstheme="majorBidi"/>
          <w:sz w:val="24"/>
          <w:szCs w:val="24"/>
        </w:rPr>
      </w:pPr>
    </w:p>
    <w:p w:rsidR="00C50FC9" w:rsidRDefault="00C50FC9" w:rsidP="00C50FC9">
      <w:pPr>
        <w:autoSpaceDE w:val="0"/>
        <w:autoSpaceDN w:val="0"/>
        <w:adjustRightInd w:val="0"/>
        <w:spacing w:after="0" w:line="240" w:lineRule="auto"/>
        <w:jc w:val="center"/>
        <w:rPr>
          <w:rFonts w:asciiTheme="majorBidi" w:hAnsiTheme="majorBidi" w:cstheme="majorBidi"/>
          <w:sz w:val="24"/>
          <w:szCs w:val="24"/>
        </w:rPr>
      </w:pPr>
    </w:p>
    <w:p w:rsidR="00C50FC9" w:rsidRDefault="00C50FC9" w:rsidP="00C50FC9">
      <w:pPr>
        <w:autoSpaceDE w:val="0"/>
        <w:autoSpaceDN w:val="0"/>
        <w:adjustRightInd w:val="0"/>
        <w:spacing w:after="0" w:line="240" w:lineRule="auto"/>
        <w:jc w:val="center"/>
        <w:rPr>
          <w:rFonts w:asciiTheme="majorBidi" w:hAnsiTheme="majorBidi" w:cstheme="majorBidi"/>
          <w:sz w:val="24"/>
          <w:szCs w:val="24"/>
        </w:rPr>
      </w:pPr>
    </w:p>
    <w:p w:rsidR="00C50FC9" w:rsidRDefault="00C50FC9" w:rsidP="00C50FC9">
      <w:pPr>
        <w:autoSpaceDE w:val="0"/>
        <w:autoSpaceDN w:val="0"/>
        <w:adjustRightInd w:val="0"/>
        <w:spacing w:after="0" w:line="240" w:lineRule="auto"/>
        <w:jc w:val="center"/>
        <w:rPr>
          <w:rFonts w:asciiTheme="majorBidi" w:hAnsiTheme="majorBidi" w:cstheme="majorBidi"/>
          <w:sz w:val="24"/>
          <w:szCs w:val="24"/>
        </w:rPr>
      </w:pPr>
    </w:p>
    <w:p w:rsidR="00C50FC9" w:rsidRDefault="00C50FC9" w:rsidP="00C50FC9">
      <w:pPr>
        <w:autoSpaceDE w:val="0"/>
        <w:autoSpaceDN w:val="0"/>
        <w:adjustRightInd w:val="0"/>
        <w:spacing w:after="0" w:line="240" w:lineRule="auto"/>
        <w:jc w:val="center"/>
        <w:rPr>
          <w:rFonts w:asciiTheme="majorBidi" w:hAnsiTheme="majorBidi" w:cstheme="majorBidi"/>
          <w:sz w:val="24"/>
          <w:szCs w:val="24"/>
        </w:rPr>
      </w:pPr>
    </w:p>
    <w:p w:rsidR="00C50FC9" w:rsidRPr="00B812E2" w:rsidRDefault="00C50FC9" w:rsidP="00B812E2">
      <w:pPr>
        <w:autoSpaceDE w:val="0"/>
        <w:autoSpaceDN w:val="0"/>
        <w:adjustRightInd w:val="0"/>
        <w:spacing w:after="0" w:line="240" w:lineRule="auto"/>
        <w:jc w:val="center"/>
        <w:rPr>
          <w:rFonts w:cs="Times New Roman"/>
          <w:b/>
          <w:color w:val="222222"/>
          <w:sz w:val="32"/>
          <w:szCs w:val="32"/>
          <w:shd w:val="clear" w:color="auto" w:fill="FFFFFF"/>
        </w:rPr>
      </w:pPr>
      <w:r w:rsidRPr="00B812E2">
        <w:rPr>
          <w:rFonts w:cs="Times New Roman"/>
          <w:b/>
          <w:color w:val="222222"/>
          <w:sz w:val="32"/>
          <w:szCs w:val="32"/>
          <w:shd w:val="clear" w:color="auto" w:fill="FFFFFF"/>
        </w:rPr>
        <w:t>Evaluating the potential of arbuscular mycorrhizal fungi for improving apple (</w:t>
      </w:r>
      <w:r w:rsidRPr="00B812E2">
        <w:rPr>
          <w:rFonts w:cs="Times New Roman"/>
          <w:b/>
          <w:i/>
          <w:color w:val="222222"/>
          <w:sz w:val="32"/>
          <w:szCs w:val="32"/>
          <w:shd w:val="clear" w:color="auto" w:fill="FFFFFF"/>
        </w:rPr>
        <w:t>Malus pumila</w:t>
      </w:r>
      <w:r w:rsidRPr="00B812E2">
        <w:rPr>
          <w:rFonts w:cs="Times New Roman"/>
          <w:b/>
          <w:color w:val="222222"/>
          <w:sz w:val="32"/>
          <w:szCs w:val="32"/>
          <w:shd w:val="clear" w:color="auto" w:fill="FFFFFF"/>
        </w:rPr>
        <w:t>) orchard sustainability</w:t>
      </w:r>
    </w:p>
    <w:p w:rsidR="00B812E2" w:rsidRDefault="00B812E2" w:rsidP="00B812E2">
      <w:pPr>
        <w:autoSpaceDE w:val="0"/>
        <w:autoSpaceDN w:val="0"/>
        <w:adjustRightInd w:val="0"/>
        <w:spacing w:after="0" w:line="240" w:lineRule="auto"/>
        <w:jc w:val="center"/>
        <w:rPr>
          <w:rFonts w:asciiTheme="majorBidi" w:hAnsiTheme="majorBidi" w:cstheme="majorBidi"/>
          <w:sz w:val="24"/>
          <w:szCs w:val="24"/>
        </w:rPr>
      </w:pPr>
    </w:p>
    <w:p w:rsidR="00C50FC9" w:rsidRDefault="00C50FC9" w:rsidP="00C50FC9">
      <w:pPr>
        <w:autoSpaceDE w:val="0"/>
        <w:autoSpaceDN w:val="0"/>
        <w:adjustRightInd w:val="0"/>
        <w:spacing w:after="0" w:line="240" w:lineRule="auto"/>
        <w:jc w:val="center"/>
        <w:rPr>
          <w:rFonts w:asciiTheme="majorBidi" w:hAnsiTheme="majorBidi" w:cstheme="majorBidi"/>
          <w:sz w:val="24"/>
          <w:szCs w:val="24"/>
        </w:rPr>
      </w:pPr>
    </w:p>
    <w:p w:rsidR="00C50FC9" w:rsidRDefault="00C50FC9" w:rsidP="00C50FC9">
      <w:pPr>
        <w:autoSpaceDE w:val="0"/>
        <w:autoSpaceDN w:val="0"/>
        <w:adjustRightInd w:val="0"/>
        <w:spacing w:after="0" w:line="240" w:lineRule="auto"/>
        <w:jc w:val="center"/>
        <w:rPr>
          <w:rFonts w:asciiTheme="majorBidi" w:hAnsiTheme="majorBidi" w:cstheme="majorBidi"/>
          <w:sz w:val="24"/>
          <w:szCs w:val="24"/>
        </w:rPr>
      </w:pPr>
    </w:p>
    <w:p w:rsidR="00C50FC9" w:rsidRPr="00FB352E" w:rsidRDefault="00C50FC9" w:rsidP="00C50FC9">
      <w:pPr>
        <w:autoSpaceDE w:val="0"/>
        <w:autoSpaceDN w:val="0"/>
        <w:adjustRightInd w:val="0"/>
        <w:spacing w:after="0" w:line="240" w:lineRule="auto"/>
        <w:jc w:val="center"/>
        <w:rPr>
          <w:rFonts w:asciiTheme="majorBidi" w:hAnsiTheme="majorBidi" w:cstheme="majorBidi"/>
          <w:b/>
          <w:bCs/>
          <w:sz w:val="24"/>
          <w:szCs w:val="24"/>
        </w:rPr>
      </w:pPr>
      <w:r w:rsidRPr="00FB352E">
        <w:rPr>
          <w:rFonts w:asciiTheme="majorBidi" w:hAnsiTheme="majorBidi" w:cstheme="majorBidi"/>
          <w:b/>
          <w:bCs/>
          <w:sz w:val="24"/>
          <w:szCs w:val="24"/>
        </w:rPr>
        <w:t>By:</w:t>
      </w:r>
    </w:p>
    <w:p w:rsidR="00C50FC9" w:rsidRPr="00177AB6" w:rsidRDefault="00C50FC9" w:rsidP="00C50FC9">
      <w:pPr>
        <w:autoSpaceDE w:val="0"/>
        <w:autoSpaceDN w:val="0"/>
        <w:adjustRightInd w:val="0"/>
        <w:spacing w:after="0" w:line="240" w:lineRule="auto"/>
        <w:jc w:val="center"/>
        <w:rPr>
          <w:rFonts w:asciiTheme="majorBidi" w:hAnsiTheme="majorBidi" w:cstheme="majorBidi"/>
          <w:sz w:val="24"/>
          <w:szCs w:val="24"/>
        </w:rPr>
      </w:pPr>
    </w:p>
    <w:p w:rsidR="00C50FC9" w:rsidRPr="00FB352E" w:rsidRDefault="00C50FC9" w:rsidP="00C50FC9">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 xml:space="preserve">Despina </w:t>
      </w:r>
      <w:proofErr w:type="spellStart"/>
      <w:r>
        <w:rPr>
          <w:rFonts w:asciiTheme="majorBidi" w:hAnsiTheme="majorBidi" w:cstheme="majorBidi"/>
          <w:sz w:val="28"/>
          <w:szCs w:val="28"/>
        </w:rPr>
        <w:t>Berdeni</w:t>
      </w:r>
      <w:proofErr w:type="spellEnd"/>
    </w:p>
    <w:p w:rsidR="00C50FC9" w:rsidRDefault="00C50FC9" w:rsidP="00B812E2">
      <w:pPr>
        <w:autoSpaceDE w:val="0"/>
        <w:autoSpaceDN w:val="0"/>
        <w:adjustRightInd w:val="0"/>
        <w:spacing w:after="0" w:line="240" w:lineRule="auto"/>
        <w:jc w:val="center"/>
        <w:rPr>
          <w:rFonts w:asciiTheme="majorBidi" w:hAnsiTheme="majorBidi" w:cstheme="majorBidi"/>
          <w:sz w:val="24"/>
          <w:szCs w:val="24"/>
        </w:rPr>
      </w:pPr>
    </w:p>
    <w:p w:rsidR="00C50FC9" w:rsidRDefault="00C50FC9" w:rsidP="00B812E2">
      <w:pPr>
        <w:autoSpaceDE w:val="0"/>
        <w:autoSpaceDN w:val="0"/>
        <w:adjustRightInd w:val="0"/>
        <w:spacing w:after="0" w:line="240" w:lineRule="auto"/>
        <w:jc w:val="center"/>
        <w:rPr>
          <w:rFonts w:asciiTheme="majorBidi" w:hAnsiTheme="majorBidi" w:cstheme="majorBidi"/>
          <w:sz w:val="24"/>
          <w:szCs w:val="24"/>
        </w:rPr>
      </w:pPr>
    </w:p>
    <w:p w:rsidR="00C50FC9" w:rsidRDefault="00C50FC9" w:rsidP="00B812E2">
      <w:pPr>
        <w:autoSpaceDE w:val="0"/>
        <w:autoSpaceDN w:val="0"/>
        <w:adjustRightInd w:val="0"/>
        <w:spacing w:after="0" w:line="240" w:lineRule="auto"/>
        <w:jc w:val="center"/>
        <w:rPr>
          <w:rFonts w:asciiTheme="majorBidi" w:hAnsiTheme="majorBidi" w:cstheme="majorBidi"/>
          <w:sz w:val="24"/>
          <w:szCs w:val="24"/>
        </w:rPr>
      </w:pPr>
    </w:p>
    <w:p w:rsidR="00C50FC9" w:rsidRPr="00D535FE" w:rsidRDefault="00C50FC9" w:rsidP="00B812E2">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A thesis submitted in </w:t>
      </w:r>
      <w:r>
        <w:rPr>
          <w:rFonts w:asciiTheme="majorBidi" w:hAnsiTheme="majorBidi" w:cstheme="majorBidi"/>
          <w:sz w:val="24"/>
          <w:szCs w:val="24"/>
        </w:rPr>
        <w:t>partial</w:t>
      </w:r>
      <w:r w:rsidRPr="00D535FE">
        <w:rPr>
          <w:rFonts w:asciiTheme="majorBidi" w:hAnsiTheme="majorBidi" w:cstheme="majorBidi"/>
          <w:sz w:val="24"/>
          <w:szCs w:val="24"/>
        </w:rPr>
        <w:t xml:space="preserve"> fulfilment of the requirements </w:t>
      </w:r>
      <w:r>
        <w:rPr>
          <w:rFonts w:asciiTheme="majorBidi" w:hAnsiTheme="majorBidi" w:cstheme="majorBidi"/>
          <w:sz w:val="24"/>
          <w:szCs w:val="24"/>
        </w:rPr>
        <w:t>for</w:t>
      </w:r>
      <w:r w:rsidRPr="00D535FE">
        <w:rPr>
          <w:rFonts w:asciiTheme="majorBidi" w:hAnsiTheme="majorBidi" w:cstheme="majorBidi"/>
          <w:sz w:val="24"/>
          <w:szCs w:val="24"/>
        </w:rPr>
        <w:t xml:space="preserve"> the degree of</w:t>
      </w:r>
    </w:p>
    <w:p w:rsidR="00C50FC9" w:rsidRDefault="00C50FC9" w:rsidP="00C50FC9">
      <w:pPr>
        <w:jc w:val="center"/>
        <w:rPr>
          <w:rFonts w:asciiTheme="majorBidi" w:hAnsiTheme="majorBidi" w:cstheme="majorBidi"/>
          <w:sz w:val="24"/>
          <w:szCs w:val="24"/>
        </w:rPr>
      </w:pPr>
      <w:r w:rsidRPr="00D535FE">
        <w:rPr>
          <w:rFonts w:asciiTheme="majorBidi" w:hAnsiTheme="majorBidi" w:cstheme="majorBidi"/>
          <w:sz w:val="24"/>
          <w:szCs w:val="24"/>
        </w:rPr>
        <w:t>Doctor of Philosophy</w:t>
      </w:r>
      <w:r w:rsidR="00B812E2">
        <w:rPr>
          <w:rFonts w:asciiTheme="majorBidi" w:hAnsiTheme="majorBidi" w:cstheme="majorBidi"/>
          <w:sz w:val="24"/>
          <w:szCs w:val="24"/>
        </w:rPr>
        <w:t>.</w:t>
      </w:r>
    </w:p>
    <w:p w:rsidR="00C50FC9" w:rsidRDefault="00C50FC9" w:rsidP="00C50FC9">
      <w:pPr>
        <w:jc w:val="center"/>
        <w:rPr>
          <w:rFonts w:asciiTheme="majorBidi" w:hAnsiTheme="majorBidi" w:cstheme="majorBidi"/>
          <w:sz w:val="24"/>
          <w:szCs w:val="24"/>
        </w:rPr>
      </w:pPr>
    </w:p>
    <w:p w:rsidR="00C50FC9" w:rsidRDefault="00C50FC9" w:rsidP="00C50FC9">
      <w:pPr>
        <w:jc w:val="center"/>
        <w:rPr>
          <w:rFonts w:asciiTheme="majorBidi" w:hAnsiTheme="majorBidi" w:cstheme="majorBidi"/>
          <w:sz w:val="24"/>
          <w:szCs w:val="24"/>
        </w:rPr>
      </w:pPr>
    </w:p>
    <w:p w:rsidR="00C50FC9" w:rsidRDefault="00C50FC9" w:rsidP="00C50FC9">
      <w:pPr>
        <w:jc w:val="center"/>
        <w:rPr>
          <w:rFonts w:asciiTheme="majorBidi" w:hAnsiTheme="majorBidi" w:cstheme="majorBidi"/>
          <w:sz w:val="24"/>
          <w:szCs w:val="24"/>
        </w:rPr>
      </w:pPr>
    </w:p>
    <w:p w:rsidR="00C50FC9" w:rsidRPr="00D535FE" w:rsidRDefault="00C50FC9" w:rsidP="00C50FC9">
      <w:pPr>
        <w:spacing w:after="0" w:line="240" w:lineRule="auto"/>
        <w:jc w:val="center"/>
        <w:rPr>
          <w:rFonts w:asciiTheme="majorBidi" w:hAnsiTheme="majorBidi" w:cstheme="majorBidi"/>
          <w:sz w:val="24"/>
          <w:szCs w:val="24"/>
        </w:rPr>
      </w:pPr>
      <w:r>
        <w:rPr>
          <w:rFonts w:asciiTheme="majorBidi" w:hAnsiTheme="majorBidi" w:cstheme="majorBidi"/>
          <w:sz w:val="24"/>
          <w:szCs w:val="24"/>
        </w:rPr>
        <w:t>The University of Sheffield</w:t>
      </w:r>
    </w:p>
    <w:p w:rsidR="00C50FC9" w:rsidRPr="00D535FE" w:rsidRDefault="00C50FC9" w:rsidP="00C50FC9">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Faculty of </w:t>
      </w:r>
      <w:r>
        <w:rPr>
          <w:rFonts w:asciiTheme="majorBidi" w:hAnsiTheme="majorBidi" w:cstheme="majorBidi"/>
          <w:sz w:val="24"/>
          <w:szCs w:val="24"/>
        </w:rPr>
        <w:t>Science</w:t>
      </w:r>
    </w:p>
    <w:p w:rsidR="00C50FC9" w:rsidRDefault="00C50FC9" w:rsidP="00C50FC9">
      <w:pPr>
        <w:jc w:val="center"/>
        <w:rPr>
          <w:rFonts w:asciiTheme="majorBidi" w:hAnsiTheme="majorBidi" w:cstheme="majorBidi"/>
          <w:sz w:val="24"/>
          <w:szCs w:val="24"/>
        </w:rPr>
      </w:pPr>
      <w:r>
        <w:rPr>
          <w:rFonts w:asciiTheme="majorBidi" w:hAnsiTheme="majorBidi" w:cstheme="majorBidi"/>
          <w:sz w:val="24"/>
          <w:szCs w:val="24"/>
        </w:rPr>
        <w:t>Department</w:t>
      </w:r>
      <w:r w:rsidRPr="00D535FE">
        <w:rPr>
          <w:rFonts w:asciiTheme="majorBidi" w:hAnsiTheme="majorBidi" w:cstheme="majorBidi"/>
          <w:sz w:val="24"/>
          <w:szCs w:val="24"/>
        </w:rPr>
        <w:t xml:space="preserve"> of </w:t>
      </w:r>
      <w:r>
        <w:rPr>
          <w:rFonts w:asciiTheme="majorBidi" w:hAnsiTheme="majorBidi" w:cstheme="majorBidi"/>
          <w:sz w:val="24"/>
          <w:szCs w:val="24"/>
        </w:rPr>
        <w:t>Animal &amp;</w:t>
      </w:r>
      <w:r w:rsidR="00B01D52">
        <w:rPr>
          <w:rFonts w:asciiTheme="majorBidi" w:hAnsiTheme="majorBidi" w:cstheme="majorBidi"/>
          <w:sz w:val="24"/>
          <w:szCs w:val="24"/>
        </w:rPr>
        <w:t xml:space="preserve"> </w:t>
      </w:r>
      <w:r>
        <w:rPr>
          <w:rFonts w:asciiTheme="majorBidi" w:hAnsiTheme="majorBidi" w:cstheme="majorBidi"/>
          <w:sz w:val="24"/>
          <w:szCs w:val="24"/>
        </w:rPr>
        <w:t>Plant Sciences</w:t>
      </w:r>
    </w:p>
    <w:p w:rsidR="00C50FC9" w:rsidRDefault="00C50FC9" w:rsidP="00C50FC9">
      <w:pPr>
        <w:jc w:val="center"/>
        <w:rPr>
          <w:rFonts w:asciiTheme="majorBidi" w:hAnsiTheme="majorBidi" w:cstheme="majorBidi"/>
          <w:sz w:val="24"/>
          <w:szCs w:val="24"/>
        </w:rPr>
      </w:pPr>
    </w:p>
    <w:p w:rsidR="00C50FC9" w:rsidRDefault="00C50FC9" w:rsidP="00C50FC9">
      <w:pPr>
        <w:jc w:val="center"/>
        <w:rPr>
          <w:rFonts w:asciiTheme="majorBidi" w:hAnsiTheme="majorBidi" w:cstheme="majorBidi"/>
          <w:sz w:val="24"/>
          <w:szCs w:val="24"/>
        </w:rPr>
      </w:pPr>
    </w:p>
    <w:p w:rsidR="00884BA9" w:rsidRDefault="00884BA9" w:rsidP="00C50FC9">
      <w:pPr>
        <w:jc w:val="center"/>
        <w:rPr>
          <w:rFonts w:asciiTheme="majorBidi" w:hAnsiTheme="majorBidi" w:cstheme="majorBidi"/>
          <w:sz w:val="24"/>
          <w:szCs w:val="24"/>
        </w:rPr>
      </w:pPr>
    </w:p>
    <w:p w:rsidR="00C50FC9" w:rsidRDefault="00C50FC9" w:rsidP="00C50FC9">
      <w:pPr>
        <w:jc w:val="center"/>
        <w:rPr>
          <w:rFonts w:asciiTheme="majorBidi" w:hAnsiTheme="majorBidi" w:cstheme="majorBidi"/>
          <w:sz w:val="24"/>
          <w:szCs w:val="24"/>
        </w:rPr>
      </w:pPr>
    </w:p>
    <w:p w:rsidR="00C50FC9" w:rsidRDefault="00C50FC9" w:rsidP="00C50FC9">
      <w:pPr>
        <w:jc w:val="center"/>
        <w:rPr>
          <w:rFonts w:asciiTheme="majorBidi" w:hAnsiTheme="majorBidi" w:cstheme="majorBidi"/>
          <w:sz w:val="24"/>
          <w:szCs w:val="24"/>
        </w:rPr>
      </w:pPr>
    </w:p>
    <w:p w:rsidR="00C50FC9" w:rsidRDefault="00C50FC9" w:rsidP="00C50FC9">
      <w:pPr>
        <w:jc w:val="center"/>
        <w:rPr>
          <w:rFonts w:asciiTheme="majorBidi" w:hAnsiTheme="majorBidi" w:cstheme="majorBidi"/>
          <w:sz w:val="24"/>
          <w:szCs w:val="24"/>
        </w:rPr>
      </w:pPr>
    </w:p>
    <w:p w:rsidR="00C50FC9" w:rsidRPr="00D535FE" w:rsidRDefault="00C50FC9" w:rsidP="00C50FC9">
      <w:pPr>
        <w:jc w:val="center"/>
        <w:rPr>
          <w:rFonts w:asciiTheme="majorBidi" w:hAnsiTheme="majorBidi" w:cstheme="majorBidi"/>
          <w:sz w:val="24"/>
          <w:szCs w:val="24"/>
        </w:rPr>
      </w:pPr>
      <w:r>
        <w:rPr>
          <w:rFonts w:asciiTheme="majorBidi" w:hAnsiTheme="majorBidi" w:cstheme="majorBidi"/>
          <w:sz w:val="24"/>
          <w:szCs w:val="24"/>
        </w:rPr>
        <w:t>December 2016</w:t>
      </w:r>
    </w:p>
    <w:p w:rsidR="00352A82" w:rsidRDefault="00352A82" w:rsidP="00287EC4">
      <w:pPr>
        <w:pStyle w:val="IntroHeading"/>
        <w:outlineLvl w:val="9"/>
        <w:sectPr w:rsidR="00352A82" w:rsidSect="00312289">
          <w:type w:val="oddPage"/>
          <w:pgSz w:w="11906" w:h="16838" w:code="9"/>
          <w:pgMar w:top="1134" w:right="1134" w:bottom="1134" w:left="2268" w:header="709" w:footer="709" w:gutter="0"/>
          <w:pgNumType w:start="1"/>
          <w:cols w:space="708"/>
          <w:docGrid w:linePitch="360"/>
        </w:sectPr>
      </w:pPr>
    </w:p>
    <w:p w:rsidR="00C50FC9" w:rsidRPr="00340163" w:rsidRDefault="00287EC4" w:rsidP="00287EC4">
      <w:pPr>
        <w:pStyle w:val="IntroHeading"/>
        <w:outlineLvl w:val="9"/>
      </w:pPr>
      <w:r>
        <w:lastRenderedPageBreak/>
        <w:t>Summary</w:t>
      </w:r>
    </w:p>
    <w:p w:rsidR="00B24C3A" w:rsidRDefault="00C50FC9" w:rsidP="00C50FC9">
      <w:r>
        <w:t xml:space="preserve">Developing agricultural systems which are able to balance productivity and sustainability is critical for ensuring future food security. </w:t>
      </w:r>
      <w:r w:rsidR="00287EC4">
        <w:t xml:space="preserve">Arbuscular mycorrhizal fungi (AMF) are an important component of the soil microbial community and play a vital role in a range of </w:t>
      </w:r>
      <w:r w:rsidR="001674A2">
        <w:t>essential ecosystem functions</w:t>
      </w:r>
      <w:r w:rsidR="00287EC4">
        <w:t xml:space="preserve">. </w:t>
      </w:r>
      <w:r w:rsidR="007D0F7F">
        <w:t xml:space="preserve"> </w:t>
      </w:r>
      <w:r w:rsidR="00E7263F">
        <w:t>Arbuscular mycorrhizal</w:t>
      </w:r>
      <w:r w:rsidR="001674A2">
        <w:t xml:space="preserve"> symbiosis is characterised by</w:t>
      </w:r>
      <w:r w:rsidR="00E7263F">
        <w:t xml:space="preserve"> the</w:t>
      </w:r>
      <w:r w:rsidR="001674A2">
        <w:t xml:space="preserve"> exchang</w:t>
      </w:r>
      <w:r>
        <w:t xml:space="preserve">e of carbon from host plants </w:t>
      </w:r>
      <w:r w:rsidR="00E7263F">
        <w:t xml:space="preserve">in return for </w:t>
      </w:r>
      <w:r>
        <w:t>nutrients ca</w:t>
      </w:r>
      <w:r w:rsidR="001674A2">
        <w:t xml:space="preserve">ptured in the soil by </w:t>
      </w:r>
      <w:r w:rsidR="00E7263F">
        <w:t>the fungi</w:t>
      </w:r>
      <w:r w:rsidR="001674A2">
        <w:t xml:space="preserve">, </w:t>
      </w:r>
      <w:r>
        <w:t xml:space="preserve">however </w:t>
      </w:r>
      <w:r w:rsidR="00E7263F">
        <w:t xml:space="preserve">AMF </w:t>
      </w:r>
      <w:r w:rsidR="00287EC4">
        <w:t>may also provide</w:t>
      </w:r>
      <w:r>
        <w:t xml:space="preserve"> </w:t>
      </w:r>
      <w:r w:rsidR="00287EC4">
        <w:t>important</w:t>
      </w:r>
      <w:r>
        <w:t xml:space="preserve"> </w:t>
      </w:r>
      <w:r w:rsidR="00287EC4">
        <w:t xml:space="preserve">non-nutritional </w:t>
      </w:r>
      <w:r>
        <w:t xml:space="preserve">benefits </w:t>
      </w:r>
      <w:r w:rsidR="00E7263F">
        <w:t>such as improving host plant</w:t>
      </w:r>
      <w:r w:rsidR="00287EC4">
        <w:t xml:space="preserve"> resistance to pathogens</w:t>
      </w:r>
      <w:r>
        <w:t>.</w:t>
      </w:r>
      <w:r w:rsidR="00B24C3A">
        <w:t xml:space="preserve"> AMF are known to form symbiosis with over 80% of land plants including many major </w:t>
      </w:r>
      <w:r w:rsidR="00E7263F">
        <w:t>crop plants</w:t>
      </w:r>
      <w:r w:rsidR="00B24C3A">
        <w:t xml:space="preserve"> and have therefore received recognition as a potential tool for improving sustainability of agro-ecosystems. </w:t>
      </w:r>
    </w:p>
    <w:p w:rsidR="004231AA" w:rsidRDefault="0057400B" w:rsidP="00C50FC9">
      <w:r>
        <w:t>Apple is</w:t>
      </w:r>
      <w:r w:rsidR="00C50FC9">
        <w:t xml:space="preserve"> the fourth most widely plant</w:t>
      </w:r>
      <w:r w:rsidR="00AA26A4">
        <w:t>ed</w:t>
      </w:r>
      <w:r w:rsidR="00C50FC9">
        <w:t xml:space="preserve"> fruit crop globally</w:t>
      </w:r>
      <w:r w:rsidR="00AA26A4">
        <w:t xml:space="preserve"> and is known to form symbiosis with AMF. T</w:t>
      </w:r>
      <w:r w:rsidR="001674A2">
        <w:t>he potential for AMF to improve orchard sustainability has been re</w:t>
      </w:r>
      <w:r w:rsidR="00AA26A4">
        <w:t xml:space="preserve">cognised by the </w:t>
      </w:r>
      <w:r w:rsidR="00B24C3A">
        <w:t xml:space="preserve">cider </w:t>
      </w:r>
      <w:r w:rsidR="00AA26A4">
        <w:t xml:space="preserve">apple industry and led to the </w:t>
      </w:r>
      <w:r w:rsidR="00C50FC9">
        <w:t xml:space="preserve">overarching aim of this thesis </w:t>
      </w:r>
      <w:r w:rsidR="00AA26A4">
        <w:t>which is</w:t>
      </w:r>
      <w:r w:rsidR="00C50FC9">
        <w:t xml:space="preserve"> to</w:t>
      </w:r>
      <w:r w:rsidR="001674A2">
        <w:t xml:space="preserve"> evaluate the potential benefits of AMF for </w:t>
      </w:r>
      <w:r w:rsidR="00B24C3A">
        <w:t xml:space="preserve">cider </w:t>
      </w:r>
      <w:r w:rsidR="00E7263F">
        <w:t>apple production and</w:t>
      </w:r>
      <w:r w:rsidR="001674A2">
        <w:t xml:space="preserve"> sustainable management. </w:t>
      </w:r>
    </w:p>
    <w:p w:rsidR="00C50FC9" w:rsidRDefault="00A554BA" w:rsidP="00C50FC9">
      <w:r>
        <w:t>U</w:t>
      </w:r>
      <w:r w:rsidR="004231AA">
        <w:t>sing the</w:t>
      </w:r>
      <w:r w:rsidR="00C50FC9">
        <w:t xml:space="preserve"> combination of </w:t>
      </w:r>
      <w:r w:rsidR="004231AA">
        <w:t xml:space="preserve">a </w:t>
      </w:r>
      <w:r w:rsidR="00C50FC9">
        <w:t>se</w:t>
      </w:r>
      <w:r w:rsidR="007342C0">
        <w:t>mi-</w:t>
      </w:r>
      <w:r w:rsidR="004231AA">
        <w:t>controlled growth experiment</w:t>
      </w:r>
      <w:r w:rsidR="00C50FC9">
        <w:t xml:space="preserve"> and a l</w:t>
      </w:r>
      <w:r>
        <w:t>andscape scale sampling approach, this study has examined the benefit AMF can provide to growth, health and productivity of cider apple trees. Understanding impacts of orchard management upon AMF communities has been a key aim of this work due to the increasing body of research reporting reduced abundance and functioning of AMF within intensively managed agricultural environments. T</w:t>
      </w:r>
      <w:r w:rsidR="009006BE">
        <w:t>his study</w:t>
      </w:r>
      <w:r w:rsidR="00C50FC9">
        <w:t xml:space="preserve"> </w:t>
      </w:r>
      <w:r>
        <w:t xml:space="preserve">has </w:t>
      </w:r>
      <w:r w:rsidR="00C50FC9">
        <w:t>characterise</w:t>
      </w:r>
      <w:r>
        <w:t>d</w:t>
      </w:r>
      <w:r w:rsidR="00C50FC9">
        <w:t xml:space="preserve"> AMF communities naturally found within </w:t>
      </w:r>
      <w:r>
        <w:t xml:space="preserve">three major cider apple orchard management types </w:t>
      </w:r>
      <w:r w:rsidR="00C50FC9">
        <w:t xml:space="preserve">and </w:t>
      </w:r>
      <w:r>
        <w:t xml:space="preserve">investigated </w:t>
      </w:r>
      <w:r w:rsidR="00C50FC9">
        <w:t>how AMF communities are impacted by</w:t>
      </w:r>
      <w:r>
        <w:t xml:space="preserve"> aspects of</w:t>
      </w:r>
      <w:r w:rsidR="00C50FC9">
        <w:t xml:space="preserve"> orchard management.</w:t>
      </w:r>
    </w:p>
    <w:p w:rsidR="00884BA9" w:rsidRDefault="009006BE" w:rsidP="00884BA9">
      <w:pPr>
        <w:sectPr w:rsidR="00884BA9" w:rsidSect="00352A82">
          <w:type w:val="oddPage"/>
          <w:pgSz w:w="11906" w:h="16838" w:code="9"/>
          <w:pgMar w:top="1134" w:right="1134" w:bottom="1134" w:left="2268" w:header="709" w:footer="709" w:gutter="0"/>
          <w:pgNumType w:start="1"/>
          <w:cols w:space="708"/>
          <w:docGrid w:linePitch="360"/>
        </w:sectPr>
      </w:pPr>
      <w:r>
        <w:t>Results</w:t>
      </w:r>
      <w:r w:rsidR="00C50FC9">
        <w:t xml:space="preserve"> from this thesis </w:t>
      </w:r>
      <w:r>
        <w:t>provide evidence</w:t>
      </w:r>
      <w:r w:rsidR="00C50FC9">
        <w:t xml:space="preserve"> that AMF are able to provide disease resistance benefits to apple </w:t>
      </w:r>
      <w:r w:rsidR="00E7263F">
        <w:t xml:space="preserve">and are therefore beneficial to </w:t>
      </w:r>
      <w:r w:rsidR="00C50FC9">
        <w:t xml:space="preserve">apple production. Furthermore </w:t>
      </w:r>
      <w:r>
        <w:t xml:space="preserve">data from </w:t>
      </w:r>
      <w:r w:rsidR="00C50FC9">
        <w:t xml:space="preserve">this thesis shows that irrespective of management, </w:t>
      </w:r>
      <w:r w:rsidR="00E7263F">
        <w:t xml:space="preserve">cider </w:t>
      </w:r>
      <w:r w:rsidR="00C50FC9">
        <w:t>apple orchards are able to host naturally diverse AMF communities which show similarities to</w:t>
      </w:r>
      <w:r w:rsidR="004231AA">
        <w:t xml:space="preserve"> the</w:t>
      </w:r>
      <w:r w:rsidR="00C50FC9">
        <w:t xml:space="preserve"> AMF communities of woodland. Results from this thesis have significant implications for orchard management and have highlighted several areas for potential future </w:t>
      </w:r>
      <w:r w:rsidR="00E7263F">
        <w:t>research.</w:t>
      </w:r>
      <w:r w:rsidR="00C50FC9">
        <w:t xml:space="preserve"> </w:t>
      </w:r>
    </w:p>
    <w:p w:rsidR="00C50FC9" w:rsidRDefault="00C50FC9" w:rsidP="00884BA9">
      <w:pPr>
        <w:pStyle w:val="IntroHeading"/>
        <w:outlineLvl w:val="9"/>
      </w:pPr>
      <w:r>
        <w:lastRenderedPageBreak/>
        <w:t>Acknowledgements</w:t>
      </w:r>
    </w:p>
    <w:p w:rsidR="00C50FC9" w:rsidRDefault="00C50FC9" w:rsidP="00C50FC9">
      <w:r>
        <w:t>Firstly, I would like to thank my primary supervisors Professor Duncan Cameron and Dr Karl Evans for their support and guida</w:t>
      </w:r>
      <w:r w:rsidR="00B812E2">
        <w:t xml:space="preserve">nce over the course of my PhD. </w:t>
      </w:r>
      <w:r>
        <w:t xml:space="preserve">I would also like to thank Richard Heathcote at the National Association of Cider Makers for his role as secondary supervisor and valuable advice relating to the cider industry and apple growing network. </w:t>
      </w:r>
    </w:p>
    <w:p w:rsidR="00C50FC9" w:rsidRDefault="00C50FC9" w:rsidP="00C50FC9">
      <w:r>
        <w:t>Additionally I am very g</w:t>
      </w:r>
      <w:r w:rsidR="0057400B">
        <w:t>rateful for the assistance of Professor</w:t>
      </w:r>
      <w:r>
        <w:t xml:space="preserve"> Tim </w:t>
      </w:r>
      <w:proofErr w:type="spellStart"/>
      <w:r>
        <w:t>Daniell</w:t>
      </w:r>
      <w:proofErr w:type="spellEnd"/>
      <w:r>
        <w:t xml:space="preserve"> for supervision over the course of this project and for training in molecular community fingerprinting techniq</w:t>
      </w:r>
      <w:r w:rsidR="0057400B">
        <w:t>ues at the James Hutton</w:t>
      </w:r>
      <w:r>
        <w:t xml:space="preserve"> Institute. I would also like to thank Dr Anne Co</w:t>
      </w:r>
      <w:r w:rsidR="00812E5A">
        <w:t>tton for guidance with Illumina s</w:t>
      </w:r>
      <w:r>
        <w:t>equencing and many invaluable discussions relating to my research. I must</w:t>
      </w:r>
      <w:r w:rsidR="00A57AB1">
        <w:t xml:space="preserve"> also thank</w:t>
      </w:r>
      <w:r>
        <w:t xml:space="preserve"> Professor Steve Rolfe for support with bioinformatics, Professor Jonathan </w:t>
      </w:r>
      <w:proofErr w:type="spellStart"/>
      <w:r>
        <w:t>Leake</w:t>
      </w:r>
      <w:proofErr w:type="spellEnd"/>
      <w:r>
        <w:t xml:space="preserve"> for his role as project supporter a</w:t>
      </w:r>
      <w:r w:rsidR="00812E5A">
        <w:t>nd Professor David Read for</w:t>
      </w:r>
      <w:r>
        <w:t xml:space="preserve"> helpful discussions relating to this project.</w:t>
      </w:r>
    </w:p>
    <w:p w:rsidR="00C50FC9" w:rsidRDefault="00C50FC9" w:rsidP="00C50FC9">
      <w:r>
        <w:t>I would also like to express thanks to all members of the C57 lab who have helped and encourag</w:t>
      </w:r>
      <w:r w:rsidR="00B812E2">
        <w:t>ed me over the past four years.</w:t>
      </w:r>
      <w:r>
        <w:t xml:space="preserve"> In particular I would like to thank Tom Young and Steve </w:t>
      </w:r>
      <w:proofErr w:type="spellStart"/>
      <w:r>
        <w:t>Muddimer</w:t>
      </w:r>
      <w:proofErr w:type="spellEnd"/>
      <w:r>
        <w:t xml:space="preserve"> for many hours of substrate mixing and tree planting to establish the experimental orchard in year one of this project. Thanks must als</w:t>
      </w:r>
      <w:r w:rsidR="00812E5A">
        <w:t>o go to Irene Johnson for</w:t>
      </w:r>
      <w:r>
        <w:t xml:space="preserve"> technical adv</w:t>
      </w:r>
      <w:r w:rsidR="00812E5A">
        <w:t>ice and Dr Dave Johnson for assistance</w:t>
      </w:r>
      <w:r>
        <w:t xml:space="preserve"> with CN analysis. I would also like to thank Debbie Coldwell for help with data collection, Alex MacFarlane and Rachel Thorley for expert help in the lab and Michael </w:t>
      </w:r>
      <w:proofErr w:type="spellStart"/>
      <w:r>
        <w:t>Priestman</w:t>
      </w:r>
      <w:proofErr w:type="spellEnd"/>
      <w:r>
        <w:t xml:space="preserve"> for invaluable assistance wi</w:t>
      </w:r>
      <w:r w:rsidR="00B812E2">
        <w:t>th R analysis and formatting.</w:t>
      </w:r>
    </w:p>
    <w:p w:rsidR="000D114A" w:rsidRDefault="00C50FC9" w:rsidP="00C50FC9">
      <w:pPr>
        <w:sectPr w:rsidR="000D114A" w:rsidSect="00884BA9">
          <w:type w:val="oddPage"/>
          <w:pgSz w:w="11906" w:h="16838" w:code="9"/>
          <w:pgMar w:top="1134" w:right="1134" w:bottom="1134" w:left="2268" w:header="709" w:footer="709" w:gutter="0"/>
          <w:pgNumType w:start="1"/>
          <w:cols w:space="708"/>
          <w:docGrid w:linePitch="360"/>
        </w:sectPr>
      </w:pPr>
      <w:r>
        <w:t>This project was a Natural Environment Research Council (NERC) funded CASE studentship and I gratefully acknowledge both NERC and Heineken/ National Association of Cide</w:t>
      </w:r>
      <w:r w:rsidR="000D114A">
        <w:t>r Makers for funding my studies</w:t>
      </w:r>
      <w:r w:rsidR="00F06E08">
        <w:t>.</w:t>
      </w:r>
    </w:p>
    <w:p w:rsidR="007342C0" w:rsidRDefault="007342C0" w:rsidP="007342C0">
      <w:pPr>
        <w:pStyle w:val="TOCHeading"/>
      </w:pPr>
      <w:bookmarkStart w:id="0" w:name="_Toc463208971"/>
      <w:r>
        <w:lastRenderedPageBreak/>
        <w:t>Table of Contents</w:t>
      </w:r>
    </w:p>
    <w:p w:rsidR="00E62933" w:rsidRDefault="007342C0">
      <w:pPr>
        <w:pStyle w:val="TOC1"/>
        <w:tabs>
          <w:tab w:val="right" w:leader="dot" w:pos="8494"/>
        </w:tabs>
        <w:rPr>
          <w:rFonts w:asciiTheme="minorHAnsi" w:eastAsiaTheme="minorEastAsia" w:hAnsiTheme="minorHAnsi"/>
          <w:noProof/>
          <w:lang w:eastAsia="en-GB"/>
        </w:rPr>
      </w:pPr>
      <w:r>
        <w:fldChar w:fldCharType="begin"/>
      </w:r>
      <w:r>
        <w:instrText xml:space="preserve"> TOC \o "2-3" \h \z \t "Heading 1,1,References Heading,1" </w:instrText>
      </w:r>
      <w:r>
        <w:fldChar w:fldCharType="separate"/>
      </w:r>
      <w:hyperlink w:anchor="_Toc469982227" w:history="1">
        <w:r w:rsidR="00E62933" w:rsidRPr="00AF02F8">
          <w:rPr>
            <w:rStyle w:val="Hyperlink"/>
            <w:noProof/>
          </w:rPr>
          <w:t>Chapter 1</w:t>
        </w:r>
        <w:r w:rsidR="00E62933">
          <w:rPr>
            <w:rFonts w:asciiTheme="minorHAnsi" w:eastAsiaTheme="minorEastAsia" w:hAnsiTheme="minorHAnsi"/>
            <w:noProof/>
            <w:lang w:eastAsia="en-GB"/>
          </w:rPr>
          <w:tab/>
        </w:r>
        <w:r w:rsidR="00E62933" w:rsidRPr="00AF02F8">
          <w:rPr>
            <w:rStyle w:val="Hyperlink"/>
            <w:noProof/>
          </w:rPr>
          <w:t>Introduction</w:t>
        </w:r>
        <w:r w:rsidR="00E62933">
          <w:rPr>
            <w:noProof/>
            <w:webHidden/>
          </w:rPr>
          <w:tab/>
        </w:r>
        <w:r w:rsidR="00E62933">
          <w:rPr>
            <w:noProof/>
            <w:webHidden/>
          </w:rPr>
          <w:fldChar w:fldCharType="begin"/>
        </w:r>
        <w:r w:rsidR="00E62933">
          <w:rPr>
            <w:noProof/>
            <w:webHidden/>
          </w:rPr>
          <w:instrText xml:space="preserve"> PAGEREF _Toc469982227 \h </w:instrText>
        </w:r>
        <w:r w:rsidR="00E62933">
          <w:rPr>
            <w:noProof/>
            <w:webHidden/>
          </w:rPr>
        </w:r>
        <w:r w:rsidR="00E62933">
          <w:rPr>
            <w:noProof/>
            <w:webHidden/>
          </w:rPr>
          <w:fldChar w:fldCharType="separate"/>
        </w:r>
        <w:r w:rsidR="00E0714D">
          <w:rPr>
            <w:noProof/>
            <w:webHidden/>
          </w:rPr>
          <w:t>1</w:t>
        </w:r>
        <w:r w:rsidR="00E62933">
          <w:rPr>
            <w:noProof/>
            <w:webHidden/>
          </w:rPr>
          <w:fldChar w:fldCharType="end"/>
        </w:r>
      </w:hyperlink>
    </w:p>
    <w:p w:rsidR="00E62933" w:rsidRDefault="00C44EF5">
      <w:pPr>
        <w:pStyle w:val="TOC2"/>
        <w:tabs>
          <w:tab w:val="left" w:pos="1134"/>
          <w:tab w:val="right" w:leader="dot" w:pos="8494"/>
        </w:tabs>
        <w:rPr>
          <w:rFonts w:asciiTheme="minorHAnsi" w:eastAsiaTheme="minorEastAsia" w:hAnsiTheme="minorHAnsi"/>
          <w:noProof/>
          <w:lang w:eastAsia="en-GB"/>
        </w:rPr>
      </w:pPr>
      <w:hyperlink w:anchor="_Toc469982228" w:history="1">
        <w:r w:rsidR="00E62933" w:rsidRPr="00AF02F8">
          <w:rPr>
            <w:rStyle w:val="Hyperlink"/>
            <w:noProof/>
          </w:rPr>
          <w:t>1.1</w:t>
        </w:r>
        <w:r w:rsidR="00E62933">
          <w:rPr>
            <w:rFonts w:asciiTheme="minorHAnsi" w:eastAsiaTheme="minorEastAsia" w:hAnsiTheme="minorHAnsi"/>
            <w:noProof/>
            <w:lang w:eastAsia="en-GB"/>
          </w:rPr>
          <w:tab/>
        </w:r>
        <w:r w:rsidR="00E62933" w:rsidRPr="00AF02F8">
          <w:rPr>
            <w:rStyle w:val="Hyperlink"/>
            <w:noProof/>
          </w:rPr>
          <w:t>Food security</w:t>
        </w:r>
        <w:r w:rsidR="00E62933">
          <w:rPr>
            <w:noProof/>
            <w:webHidden/>
          </w:rPr>
          <w:tab/>
        </w:r>
        <w:r w:rsidR="00E62933">
          <w:rPr>
            <w:noProof/>
            <w:webHidden/>
          </w:rPr>
          <w:fldChar w:fldCharType="begin"/>
        </w:r>
        <w:r w:rsidR="00E62933">
          <w:rPr>
            <w:noProof/>
            <w:webHidden/>
          </w:rPr>
          <w:instrText xml:space="preserve"> PAGEREF _Toc469982228 \h </w:instrText>
        </w:r>
        <w:r w:rsidR="00E62933">
          <w:rPr>
            <w:noProof/>
            <w:webHidden/>
          </w:rPr>
        </w:r>
        <w:r w:rsidR="00E62933">
          <w:rPr>
            <w:noProof/>
            <w:webHidden/>
          </w:rPr>
          <w:fldChar w:fldCharType="separate"/>
        </w:r>
        <w:r w:rsidR="00E0714D">
          <w:rPr>
            <w:noProof/>
            <w:webHidden/>
          </w:rPr>
          <w:t>1</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29" w:history="1">
        <w:r w:rsidR="00E62933" w:rsidRPr="00AF02F8">
          <w:rPr>
            <w:rStyle w:val="Hyperlink"/>
            <w:rFonts w:cs="Times New Roman"/>
            <w:noProof/>
          </w:rPr>
          <w:t>1.2</w:t>
        </w:r>
        <w:r w:rsidR="00E62933">
          <w:rPr>
            <w:rFonts w:asciiTheme="minorHAnsi" w:eastAsiaTheme="minorEastAsia" w:hAnsiTheme="minorHAnsi"/>
            <w:noProof/>
            <w:lang w:eastAsia="en-GB"/>
          </w:rPr>
          <w:tab/>
        </w:r>
        <w:r w:rsidR="00E62933" w:rsidRPr="00AF02F8">
          <w:rPr>
            <w:rStyle w:val="Hyperlink"/>
            <w:rFonts w:cs="Times New Roman"/>
            <w:noProof/>
          </w:rPr>
          <w:t>Arbuscular mycorrhizal fungi</w:t>
        </w:r>
        <w:r w:rsidR="00E62933">
          <w:rPr>
            <w:noProof/>
            <w:webHidden/>
          </w:rPr>
          <w:tab/>
        </w:r>
        <w:r w:rsidR="00E62933">
          <w:rPr>
            <w:noProof/>
            <w:webHidden/>
          </w:rPr>
          <w:fldChar w:fldCharType="begin"/>
        </w:r>
        <w:r w:rsidR="00E62933">
          <w:rPr>
            <w:noProof/>
            <w:webHidden/>
          </w:rPr>
          <w:instrText xml:space="preserve"> PAGEREF _Toc469982229 \h </w:instrText>
        </w:r>
        <w:r w:rsidR="00E62933">
          <w:rPr>
            <w:noProof/>
            <w:webHidden/>
          </w:rPr>
        </w:r>
        <w:r w:rsidR="00E62933">
          <w:rPr>
            <w:noProof/>
            <w:webHidden/>
          </w:rPr>
          <w:fldChar w:fldCharType="separate"/>
        </w:r>
        <w:r w:rsidR="00E0714D">
          <w:rPr>
            <w:noProof/>
            <w:webHidden/>
          </w:rPr>
          <w:t>2</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30" w:history="1">
        <w:r w:rsidR="00E62933" w:rsidRPr="00AF02F8">
          <w:rPr>
            <w:rStyle w:val="Hyperlink"/>
            <w:rFonts w:cs="Times New Roman"/>
            <w:noProof/>
            <w14:scene3d>
              <w14:camera w14:prst="orthographicFront"/>
              <w14:lightRig w14:rig="threePt" w14:dir="t">
                <w14:rot w14:lat="0" w14:lon="0" w14:rev="0"/>
              </w14:lightRig>
            </w14:scene3d>
          </w:rPr>
          <w:t>1.2.1</w:t>
        </w:r>
        <w:r w:rsidR="00E62933">
          <w:rPr>
            <w:rFonts w:asciiTheme="minorHAnsi" w:eastAsiaTheme="minorEastAsia" w:hAnsiTheme="minorHAnsi"/>
            <w:noProof/>
            <w:lang w:eastAsia="en-GB"/>
          </w:rPr>
          <w:tab/>
        </w:r>
        <w:r w:rsidR="00E62933" w:rsidRPr="00AF02F8">
          <w:rPr>
            <w:rStyle w:val="Hyperlink"/>
            <w:rFonts w:cs="Times New Roman"/>
            <w:noProof/>
          </w:rPr>
          <w:t>Nutrient acquisition</w:t>
        </w:r>
        <w:r w:rsidR="00E62933">
          <w:rPr>
            <w:noProof/>
            <w:webHidden/>
          </w:rPr>
          <w:tab/>
        </w:r>
        <w:r w:rsidR="00E62933">
          <w:rPr>
            <w:noProof/>
            <w:webHidden/>
          </w:rPr>
          <w:fldChar w:fldCharType="begin"/>
        </w:r>
        <w:r w:rsidR="00E62933">
          <w:rPr>
            <w:noProof/>
            <w:webHidden/>
          </w:rPr>
          <w:instrText xml:space="preserve"> PAGEREF _Toc469982230 \h </w:instrText>
        </w:r>
        <w:r w:rsidR="00E62933">
          <w:rPr>
            <w:noProof/>
            <w:webHidden/>
          </w:rPr>
        </w:r>
        <w:r w:rsidR="00E62933">
          <w:rPr>
            <w:noProof/>
            <w:webHidden/>
          </w:rPr>
          <w:fldChar w:fldCharType="separate"/>
        </w:r>
        <w:r w:rsidR="00E0714D">
          <w:rPr>
            <w:noProof/>
            <w:webHidden/>
          </w:rPr>
          <w:t>2</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31" w:history="1">
        <w:r w:rsidR="00E62933" w:rsidRPr="00AF02F8">
          <w:rPr>
            <w:rStyle w:val="Hyperlink"/>
            <w:rFonts w:cs="Times New Roman"/>
            <w:noProof/>
            <w14:scene3d>
              <w14:camera w14:prst="orthographicFront"/>
              <w14:lightRig w14:rig="threePt" w14:dir="t">
                <w14:rot w14:lat="0" w14:lon="0" w14:rev="0"/>
              </w14:lightRig>
            </w14:scene3d>
          </w:rPr>
          <w:t>1.2.2</w:t>
        </w:r>
        <w:r w:rsidR="00E62933">
          <w:rPr>
            <w:rFonts w:asciiTheme="minorHAnsi" w:eastAsiaTheme="minorEastAsia" w:hAnsiTheme="minorHAnsi"/>
            <w:noProof/>
            <w:lang w:eastAsia="en-GB"/>
          </w:rPr>
          <w:tab/>
        </w:r>
        <w:r w:rsidR="00E62933" w:rsidRPr="00AF02F8">
          <w:rPr>
            <w:rStyle w:val="Hyperlink"/>
            <w:rFonts w:cs="Times New Roman"/>
            <w:noProof/>
          </w:rPr>
          <w:t>Disease resistance</w:t>
        </w:r>
        <w:r w:rsidR="00E62933">
          <w:rPr>
            <w:noProof/>
            <w:webHidden/>
          </w:rPr>
          <w:tab/>
        </w:r>
        <w:r w:rsidR="00E62933">
          <w:rPr>
            <w:noProof/>
            <w:webHidden/>
          </w:rPr>
          <w:fldChar w:fldCharType="begin"/>
        </w:r>
        <w:r w:rsidR="00E62933">
          <w:rPr>
            <w:noProof/>
            <w:webHidden/>
          </w:rPr>
          <w:instrText xml:space="preserve"> PAGEREF _Toc469982231 \h </w:instrText>
        </w:r>
        <w:r w:rsidR="00E62933">
          <w:rPr>
            <w:noProof/>
            <w:webHidden/>
          </w:rPr>
        </w:r>
        <w:r w:rsidR="00E62933">
          <w:rPr>
            <w:noProof/>
            <w:webHidden/>
          </w:rPr>
          <w:fldChar w:fldCharType="separate"/>
        </w:r>
        <w:r w:rsidR="00E0714D">
          <w:rPr>
            <w:noProof/>
            <w:webHidden/>
          </w:rPr>
          <w:t>5</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32" w:history="1">
        <w:r w:rsidR="00E62933" w:rsidRPr="00AF02F8">
          <w:rPr>
            <w:rStyle w:val="Hyperlink"/>
            <w:rFonts w:cs="Times New Roman"/>
            <w:noProof/>
            <w14:scene3d>
              <w14:camera w14:prst="orthographicFront"/>
              <w14:lightRig w14:rig="threePt" w14:dir="t">
                <w14:rot w14:lat="0" w14:lon="0" w14:rev="0"/>
              </w14:lightRig>
            </w14:scene3d>
          </w:rPr>
          <w:t>1.2.3</w:t>
        </w:r>
        <w:r w:rsidR="00E62933">
          <w:rPr>
            <w:rFonts w:asciiTheme="minorHAnsi" w:eastAsiaTheme="minorEastAsia" w:hAnsiTheme="minorHAnsi"/>
            <w:noProof/>
            <w:lang w:eastAsia="en-GB"/>
          </w:rPr>
          <w:tab/>
        </w:r>
        <w:r w:rsidR="00E62933" w:rsidRPr="00AF02F8">
          <w:rPr>
            <w:rStyle w:val="Hyperlink"/>
            <w:rFonts w:cs="Times New Roman"/>
            <w:noProof/>
          </w:rPr>
          <w:t>Drought tolerance</w:t>
        </w:r>
        <w:r w:rsidR="00E62933">
          <w:rPr>
            <w:noProof/>
            <w:webHidden/>
          </w:rPr>
          <w:tab/>
        </w:r>
        <w:r w:rsidR="00E62933">
          <w:rPr>
            <w:noProof/>
            <w:webHidden/>
          </w:rPr>
          <w:fldChar w:fldCharType="begin"/>
        </w:r>
        <w:r w:rsidR="00E62933">
          <w:rPr>
            <w:noProof/>
            <w:webHidden/>
          </w:rPr>
          <w:instrText xml:space="preserve"> PAGEREF _Toc469982232 \h </w:instrText>
        </w:r>
        <w:r w:rsidR="00E62933">
          <w:rPr>
            <w:noProof/>
            <w:webHidden/>
          </w:rPr>
        </w:r>
        <w:r w:rsidR="00E62933">
          <w:rPr>
            <w:noProof/>
            <w:webHidden/>
          </w:rPr>
          <w:fldChar w:fldCharType="separate"/>
        </w:r>
        <w:r w:rsidR="00E0714D">
          <w:rPr>
            <w:noProof/>
            <w:webHidden/>
          </w:rPr>
          <w:t>7</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33" w:history="1">
        <w:r w:rsidR="00E62933" w:rsidRPr="00AF02F8">
          <w:rPr>
            <w:rStyle w:val="Hyperlink"/>
            <w:rFonts w:cs="Times New Roman"/>
            <w:noProof/>
            <w14:scene3d>
              <w14:camera w14:prst="orthographicFront"/>
              <w14:lightRig w14:rig="threePt" w14:dir="t">
                <w14:rot w14:lat="0" w14:lon="0" w14:rev="0"/>
              </w14:lightRig>
            </w14:scene3d>
          </w:rPr>
          <w:t>1.2.4</w:t>
        </w:r>
        <w:r w:rsidR="00E62933">
          <w:rPr>
            <w:rFonts w:asciiTheme="minorHAnsi" w:eastAsiaTheme="minorEastAsia" w:hAnsiTheme="minorHAnsi"/>
            <w:noProof/>
            <w:lang w:eastAsia="en-GB"/>
          </w:rPr>
          <w:tab/>
        </w:r>
        <w:r w:rsidR="00E62933" w:rsidRPr="00AF02F8">
          <w:rPr>
            <w:rStyle w:val="Hyperlink"/>
            <w:rFonts w:cs="Times New Roman"/>
            <w:noProof/>
          </w:rPr>
          <w:t>Salinity tolerance</w:t>
        </w:r>
        <w:r w:rsidR="00E62933">
          <w:rPr>
            <w:noProof/>
            <w:webHidden/>
          </w:rPr>
          <w:tab/>
        </w:r>
        <w:r w:rsidR="00E62933">
          <w:rPr>
            <w:noProof/>
            <w:webHidden/>
          </w:rPr>
          <w:fldChar w:fldCharType="begin"/>
        </w:r>
        <w:r w:rsidR="00E62933">
          <w:rPr>
            <w:noProof/>
            <w:webHidden/>
          </w:rPr>
          <w:instrText xml:space="preserve"> PAGEREF _Toc469982233 \h </w:instrText>
        </w:r>
        <w:r w:rsidR="00E62933">
          <w:rPr>
            <w:noProof/>
            <w:webHidden/>
          </w:rPr>
        </w:r>
        <w:r w:rsidR="00E62933">
          <w:rPr>
            <w:noProof/>
            <w:webHidden/>
          </w:rPr>
          <w:fldChar w:fldCharType="separate"/>
        </w:r>
        <w:r w:rsidR="00E0714D">
          <w:rPr>
            <w:noProof/>
            <w:webHidden/>
          </w:rPr>
          <w:t>8</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34" w:history="1">
        <w:r w:rsidR="00E62933" w:rsidRPr="00AF02F8">
          <w:rPr>
            <w:rStyle w:val="Hyperlink"/>
            <w:rFonts w:cs="Times New Roman"/>
            <w:noProof/>
            <w14:scene3d>
              <w14:camera w14:prst="orthographicFront"/>
              <w14:lightRig w14:rig="threePt" w14:dir="t">
                <w14:rot w14:lat="0" w14:lon="0" w14:rev="0"/>
              </w14:lightRig>
            </w14:scene3d>
          </w:rPr>
          <w:t>1.2.5</w:t>
        </w:r>
        <w:r w:rsidR="00E62933">
          <w:rPr>
            <w:rFonts w:asciiTheme="minorHAnsi" w:eastAsiaTheme="minorEastAsia" w:hAnsiTheme="minorHAnsi"/>
            <w:noProof/>
            <w:lang w:eastAsia="en-GB"/>
          </w:rPr>
          <w:tab/>
        </w:r>
        <w:r w:rsidR="00E62933" w:rsidRPr="00AF02F8">
          <w:rPr>
            <w:rStyle w:val="Hyperlink"/>
            <w:rFonts w:cs="Times New Roman"/>
            <w:noProof/>
          </w:rPr>
          <w:t>Toxicity tolerance</w:t>
        </w:r>
        <w:r w:rsidR="00E62933">
          <w:rPr>
            <w:noProof/>
            <w:webHidden/>
          </w:rPr>
          <w:tab/>
        </w:r>
        <w:r w:rsidR="00E62933">
          <w:rPr>
            <w:noProof/>
            <w:webHidden/>
          </w:rPr>
          <w:fldChar w:fldCharType="begin"/>
        </w:r>
        <w:r w:rsidR="00E62933">
          <w:rPr>
            <w:noProof/>
            <w:webHidden/>
          </w:rPr>
          <w:instrText xml:space="preserve"> PAGEREF _Toc469982234 \h </w:instrText>
        </w:r>
        <w:r w:rsidR="00E62933">
          <w:rPr>
            <w:noProof/>
            <w:webHidden/>
          </w:rPr>
        </w:r>
        <w:r w:rsidR="00E62933">
          <w:rPr>
            <w:noProof/>
            <w:webHidden/>
          </w:rPr>
          <w:fldChar w:fldCharType="separate"/>
        </w:r>
        <w:r w:rsidR="00E0714D">
          <w:rPr>
            <w:noProof/>
            <w:webHidden/>
          </w:rPr>
          <w:t>8</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35" w:history="1">
        <w:r w:rsidR="00E62933" w:rsidRPr="00AF02F8">
          <w:rPr>
            <w:rStyle w:val="Hyperlink"/>
            <w:rFonts w:cs="Times New Roman"/>
            <w:noProof/>
            <w14:scene3d>
              <w14:camera w14:prst="orthographicFront"/>
              <w14:lightRig w14:rig="threePt" w14:dir="t">
                <w14:rot w14:lat="0" w14:lon="0" w14:rev="0"/>
              </w14:lightRig>
            </w14:scene3d>
          </w:rPr>
          <w:t>1.2.6</w:t>
        </w:r>
        <w:r w:rsidR="00E62933">
          <w:rPr>
            <w:rFonts w:asciiTheme="minorHAnsi" w:eastAsiaTheme="minorEastAsia" w:hAnsiTheme="minorHAnsi"/>
            <w:noProof/>
            <w:lang w:eastAsia="en-GB"/>
          </w:rPr>
          <w:tab/>
        </w:r>
        <w:r w:rsidR="00E62933" w:rsidRPr="00AF02F8">
          <w:rPr>
            <w:rStyle w:val="Hyperlink"/>
            <w:rFonts w:cs="Times New Roman"/>
            <w:noProof/>
          </w:rPr>
          <w:t>Improved soil structure and properties</w:t>
        </w:r>
        <w:r w:rsidR="00E62933">
          <w:rPr>
            <w:noProof/>
            <w:webHidden/>
          </w:rPr>
          <w:tab/>
        </w:r>
        <w:r w:rsidR="00E62933">
          <w:rPr>
            <w:noProof/>
            <w:webHidden/>
          </w:rPr>
          <w:fldChar w:fldCharType="begin"/>
        </w:r>
        <w:r w:rsidR="00E62933">
          <w:rPr>
            <w:noProof/>
            <w:webHidden/>
          </w:rPr>
          <w:instrText xml:space="preserve"> PAGEREF _Toc469982235 \h </w:instrText>
        </w:r>
        <w:r w:rsidR="00E62933">
          <w:rPr>
            <w:noProof/>
            <w:webHidden/>
          </w:rPr>
        </w:r>
        <w:r w:rsidR="00E62933">
          <w:rPr>
            <w:noProof/>
            <w:webHidden/>
          </w:rPr>
          <w:fldChar w:fldCharType="separate"/>
        </w:r>
        <w:r w:rsidR="00E0714D">
          <w:rPr>
            <w:noProof/>
            <w:webHidden/>
          </w:rPr>
          <w:t>9</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36" w:history="1">
        <w:r w:rsidR="00E62933" w:rsidRPr="00AF02F8">
          <w:rPr>
            <w:rStyle w:val="Hyperlink"/>
            <w:rFonts w:cs="Times New Roman"/>
            <w:noProof/>
          </w:rPr>
          <w:t>1.3</w:t>
        </w:r>
        <w:r w:rsidR="00E62933">
          <w:rPr>
            <w:rFonts w:asciiTheme="minorHAnsi" w:eastAsiaTheme="minorEastAsia" w:hAnsiTheme="minorHAnsi"/>
            <w:noProof/>
            <w:lang w:eastAsia="en-GB"/>
          </w:rPr>
          <w:tab/>
        </w:r>
        <w:r w:rsidR="00E62933" w:rsidRPr="00AF02F8">
          <w:rPr>
            <w:rStyle w:val="Hyperlink"/>
            <w:rFonts w:cs="Times New Roman"/>
            <w:noProof/>
          </w:rPr>
          <w:t>Impact of intensive agricultural upon arbuscular mycorrhizal fungi</w:t>
        </w:r>
        <w:r w:rsidR="00E62933">
          <w:rPr>
            <w:noProof/>
            <w:webHidden/>
          </w:rPr>
          <w:tab/>
        </w:r>
        <w:r w:rsidR="00E62933">
          <w:rPr>
            <w:noProof/>
            <w:webHidden/>
          </w:rPr>
          <w:fldChar w:fldCharType="begin"/>
        </w:r>
        <w:r w:rsidR="00E62933">
          <w:rPr>
            <w:noProof/>
            <w:webHidden/>
          </w:rPr>
          <w:instrText xml:space="preserve"> PAGEREF _Toc469982236 \h </w:instrText>
        </w:r>
        <w:r w:rsidR="00E62933">
          <w:rPr>
            <w:noProof/>
            <w:webHidden/>
          </w:rPr>
        </w:r>
        <w:r w:rsidR="00E62933">
          <w:rPr>
            <w:noProof/>
            <w:webHidden/>
          </w:rPr>
          <w:fldChar w:fldCharType="separate"/>
        </w:r>
        <w:r w:rsidR="00E0714D">
          <w:rPr>
            <w:noProof/>
            <w:webHidden/>
          </w:rPr>
          <w:t>9</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37" w:history="1">
        <w:r w:rsidR="00E62933" w:rsidRPr="00AF02F8">
          <w:rPr>
            <w:rStyle w:val="Hyperlink"/>
            <w:rFonts w:cs="Times New Roman"/>
            <w:noProof/>
            <w14:scene3d>
              <w14:camera w14:prst="orthographicFront"/>
              <w14:lightRig w14:rig="threePt" w14:dir="t">
                <w14:rot w14:lat="0" w14:lon="0" w14:rev="0"/>
              </w14:lightRig>
            </w14:scene3d>
          </w:rPr>
          <w:t>1.3.1</w:t>
        </w:r>
        <w:r w:rsidR="00E62933">
          <w:rPr>
            <w:rFonts w:asciiTheme="minorHAnsi" w:eastAsiaTheme="minorEastAsia" w:hAnsiTheme="minorHAnsi"/>
            <w:noProof/>
            <w:lang w:eastAsia="en-GB"/>
          </w:rPr>
          <w:tab/>
        </w:r>
        <w:r w:rsidR="00E62933" w:rsidRPr="00AF02F8">
          <w:rPr>
            <w:rStyle w:val="Hyperlink"/>
            <w:rFonts w:cs="Times New Roman"/>
            <w:noProof/>
          </w:rPr>
          <w:t>Chemical application</w:t>
        </w:r>
        <w:r w:rsidR="00E62933">
          <w:rPr>
            <w:noProof/>
            <w:webHidden/>
          </w:rPr>
          <w:tab/>
        </w:r>
        <w:r w:rsidR="00E62933">
          <w:rPr>
            <w:noProof/>
            <w:webHidden/>
          </w:rPr>
          <w:fldChar w:fldCharType="begin"/>
        </w:r>
        <w:r w:rsidR="00E62933">
          <w:rPr>
            <w:noProof/>
            <w:webHidden/>
          </w:rPr>
          <w:instrText xml:space="preserve"> PAGEREF _Toc469982237 \h </w:instrText>
        </w:r>
        <w:r w:rsidR="00E62933">
          <w:rPr>
            <w:noProof/>
            <w:webHidden/>
          </w:rPr>
        </w:r>
        <w:r w:rsidR="00E62933">
          <w:rPr>
            <w:noProof/>
            <w:webHidden/>
          </w:rPr>
          <w:fldChar w:fldCharType="separate"/>
        </w:r>
        <w:r w:rsidR="00E0714D">
          <w:rPr>
            <w:noProof/>
            <w:webHidden/>
          </w:rPr>
          <w:t>10</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38" w:history="1">
        <w:r w:rsidR="00E62933" w:rsidRPr="00AF02F8">
          <w:rPr>
            <w:rStyle w:val="Hyperlink"/>
            <w:rFonts w:cs="Times New Roman"/>
            <w:noProof/>
            <w14:scene3d>
              <w14:camera w14:prst="orthographicFront"/>
              <w14:lightRig w14:rig="threePt" w14:dir="t">
                <w14:rot w14:lat="0" w14:lon="0" w14:rev="0"/>
              </w14:lightRig>
            </w14:scene3d>
          </w:rPr>
          <w:t>1.3.2</w:t>
        </w:r>
        <w:r w:rsidR="00E62933">
          <w:rPr>
            <w:rFonts w:asciiTheme="minorHAnsi" w:eastAsiaTheme="minorEastAsia" w:hAnsiTheme="minorHAnsi"/>
            <w:noProof/>
            <w:lang w:eastAsia="en-GB"/>
          </w:rPr>
          <w:tab/>
        </w:r>
        <w:r w:rsidR="00E62933" w:rsidRPr="00AF02F8">
          <w:rPr>
            <w:rStyle w:val="Hyperlink"/>
            <w:rFonts w:cs="Times New Roman"/>
            <w:noProof/>
          </w:rPr>
          <w:t>Tillage</w:t>
        </w:r>
        <w:r w:rsidR="00E62933">
          <w:rPr>
            <w:noProof/>
            <w:webHidden/>
          </w:rPr>
          <w:tab/>
        </w:r>
        <w:r w:rsidR="00E62933">
          <w:rPr>
            <w:noProof/>
            <w:webHidden/>
          </w:rPr>
          <w:fldChar w:fldCharType="begin"/>
        </w:r>
        <w:r w:rsidR="00E62933">
          <w:rPr>
            <w:noProof/>
            <w:webHidden/>
          </w:rPr>
          <w:instrText xml:space="preserve"> PAGEREF _Toc469982238 \h </w:instrText>
        </w:r>
        <w:r w:rsidR="00E62933">
          <w:rPr>
            <w:noProof/>
            <w:webHidden/>
          </w:rPr>
        </w:r>
        <w:r w:rsidR="00E62933">
          <w:rPr>
            <w:noProof/>
            <w:webHidden/>
          </w:rPr>
          <w:fldChar w:fldCharType="separate"/>
        </w:r>
        <w:r w:rsidR="00E0714D">
          <w:rPr>
            <w:noProof/>
            <w:webHidden/>
          </w:rPr>
          <w:t>11</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39" w:history="1">
        <w:r w:rsidR="00E62933" w:rsidRPr="00AF02F8">
          <w:rPr>
            <w:rStyle w:val="Hyperlink"/>
            <w:rFonts w:cs="Times New Roman"/>
            <w:noProof/>
            <w14:scene3d>
              <w14:camera w14:prst="orthographicFront"/>
              <w14:lightRig w14:rig="threePt" w14:dir="t">
                <w14:rot w14:lat="0" w14:lon="0" w14:rev="0"/>
              </w14:lightRig>
            </w14:scene3d>
          </w:rPr>
          <w:t>1.3.3</w:t>
        </w:r>
        <w:r w:rsidR="00E62933">
          <w:rPr>
            <w:rFonts w:asciiTheme="minorHAnsi" w:eastAsiaTheme="minorEastAsia" w:hAnsiTheme="minorHAnsi"/>
            <w:noProof/>
            <w:lang w:eastAsia="en-GB"/>
          </w:rPr>
          <w:tab/>
        </w:r>
        <w:r w:rsidR="00E62933" w:rsidRPr="00AF02F8">
          <w:rPr>
            <w:rStyle w:val="Hyperlink"/>
            <w:rFonts w:cs="Times New Roman"/>
            <w:noProof/>
          </w:rPr>
          <w:t>Crop regimes and crop selection</w:t>
        </w:r>
        <w:r w:rsidR="00E62933">
          <w:rPr>
            <w:noProof/>
            <w:webHidden/>
          </w:rPr>
          <w:tab/>
        </w:r>
        <w:r w:rsidR="00E62933">
          <w:rPr>
            <w:noProof/>
            <w:webHidden/>
          </w:rPr>
          <w:fldChar w:fldCharType="begin"/>
        </w:r>
        <w:r w:rsidR="00E62933">
          <w:rPr>
            <w:noProof/>
            <w:webHidden/>
          </w:rPr>
          <w:instrText xml:space="preserve"> PAGEREF _Toc469982239 \h </w:instrText>
        </w:r>
        <w:r w:rsidR="00E62933">
          <w:rPr>
            <w:noProof/>
            <w:webHidden/>
          </w:rPr>
        </w:r>
        <w:r w:rsidR="00E62933">
          <w:rPr>
            <w:noProof/>
            <w:webHidden/>
          </w:rPr>
          <w:fldChar w:fldCharType="separate"/>
        </w:r>
        <w:r w:rsidR="00E0714D">
          <w:rPr>
            <w:noProof/>
            <w:webHidden/>
          </w:rPr>
          <w:t>12</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40" w:history="1">
        <w:r w:rsidR="00E62933" w:rsidRPr="00AF02F8">
          <w:rPr>
            <w:rStyle w:val="Hyperlink"/>
            <w:rFonts w:cs="Times New Roman"/>
            <w:noProof/>
          </w:rPr>
          <w:t>1.4</w:t>
        </w:r>
        <w:r w:rsidR="00E62933">
          <w:rPr>
            <w:rFonts w:asciiTheme="minorHAnsi" w:eastAsiaTheme="minorEastAsia" w:hAnsiTheme="minorHAnsi"/>
            <w:noProof/>
            <w:lang w:eastAsia="en-GB"/>
          </w:rPr>
          <w:tab/>
        </w:r>
        <w:r w:rsidR="00E62933" w:rsidRPr="00AF02F8">
          <w:rPr>
            <w:rStyle w:val="Hyperlink"/>
            <w:rFonts w:cs="Times New Roman"/>
            <w:noProof/>
          </w:rPr>
          <w:t>Overview of cider apples, the UK cider industry and orchards sustainability</w:t>
        </w:r>
        <w:r w:rsidR="00E62933">
          <w:rPr>
            <w:noProof/>
            <w:webHidden/>
          </w:rPr>
          <w:tab/>
        </w:r>
        <w:r w:rsidR="00E62933">
          <w:rPr>
            <w:noProof/>
            <w:webHidden/>
          </w:rPr>
          <w:fldChar w:fldCharType="begin"/>
        </w:r>
        <w:r w:rsidR="00E62933">
          <w:rPr>
            <w:noProof/>
            <w:webHidden/>
          </w:rPr>
          <w:instrText xml:space="preserve"> PAGEREF _Toc469982240 \h </w:instrText>
        </w:r>
        <w:r w:rsidR="00E62933">
          <w:rPr>
            <w:noProof/>
            <w:webHidden/>
          </w:rPr>
        </w:r>
        <w:r w:rsidR="00E62933">
          <w:rPr>
            <w:noProof/>
            <w:webHidden/>
          </w:rPr>
          <w:fldChar w:fldCharType="separate"/>
        </w:r>
        <w:r w:rsidR="00E0714D">
          <w:rPr>
            <w:noProof/>
            <w:webHidden/>
          </w:rPr>
          <w:t>12</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41" w:history="1">
        <w:r w:rsidR="00E62933" w:rsidRPr="00AF02F8">
          <w:rPr>
            <w:rStyle w:val="Hyperlink"/>
            <w:rFonts w:cs="Times New Roman"/>
            <w:noProof/>
            <w14:scene3d>
              <w14:camera w14:prst="orthographicFront"/>
              <w14:lightRig w14:rig="threePt" w14:dir="t">
                <w14:rot w14:lat="0" w14:lon="0" w14:rev="0"/>
              </w14:lightRig>
            </w14:scene3d>
          </w:rPr>
          <w:t>1.4.1</w:t>
        </w:r>
        <w:r w:rsidR="00E62933">
          <w:rPr>
            <w:rFonts w:asciiTheme="minorHAnsi" w:eastAsiaTheme="minorEastAsia" w:hAnsiTheme="minorHAnsi"/>
            <w:noProof/>
            <w:lang w:eastAsia="en-GB"/>
          </w:rPr>
          <w:tab/>
        </w:r>
        <w:r w:rsidR="00E62933" w:rsidRPr="00AF02F8">
          <w:rPr>
            <w:rStyle w:val="Hyperlink"/>
            <w:rFonts w:cs="Times New Roman"/>
            <w:noProof/>
          </w:rPr>
          <w:t xml:space="preserve">The domestic apple </w:t>
        </w:r>
        <w:r w:rsidR="00E62933" w:rsidRPr="00AF02F8">
          <w:rPr>
            <w:rStyle w:val="Hyperlink"/>
            <w:rFonts w:cs="Times New Roman"/>
            <w:i/>
            <w:noProof/>
          </w:rPr>
          <w:t>Malus pumila</w:t>
        </w:r>
        <w:r w:rsidR="00E62933">
          <w:rPr>
            <w:noProof/>
            <w:webHidden/>
          </w:rPr>
          <w:tab/>
        </w:r>
        <w:r w:rsidR="00E62933">
          <w:rPr>
            <w:noProof/>
            <w:webHidden/>
          </w:rPr>
          <w:fldChar w:fldCharType="begin"/>
        </w:r>
        <w:r w:rsidR="00E62933">
          <w:rPr>
            <w:noProof/>
            <w:webHidden/>
          </w:rPr>
          <w:instrText xml:space="preserve"> PAGEREF _Toc469982241 \h </w:instrText>
        </w:r>
        <w:r w:rsidR="00E62933">
          <w:rPr>
            <w:noProof/>
            <w:webHidden/>
          </w:rPr>
        </w:r>
        <w:r w:rsidR="00E62933">
          <w:rPr>
            <w:noProof/>
            <w:webHidden/>
          </w:rPr>
          <w:fldChar w:fldCharType="separate"/>
        </w:r>
        <w:r w:rsidR="00E0714D">
          <w:rPr>
            <w:noProof/>
            <w:webHidden/>
          </w:rPr>
          <w:t>12</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42" w:history="1">
        <w:r w:rsidR="00E62933" w:rsidRPr="00AF02F8">
          <w:rPr>
            <w:rStyle w:val="Hyperlink"/>
            <w:rFonts w:cs="Times New Roman"/>
            <w:noProof/>
            <w14:scene3d>
              <w14:camera w14:prst="orthographicFront"/>
              <w14:lightRig w14:rig="threePt" w14:dir="t">
                <w14:rot w14:lat="0" w14:lon="0" w14:rev="0"/>
              </w14:lightRig>
            </w14:scene3d>
          </w:rPr>
          <w:t>1.4.2</w:t>
        </w:r>
        <w:r w:rsidR="00E62933">
          <w:rPr>
            <w:rFonts w:asciiTheme="minorHAnsi" w:eastAsiaTheme="minorEastAsia" w:hAnsiTheme="minorHAnsi"/>
            <w:noProof/>
            <w:lang w:eastAsia="en-GB"/>
          </w:rPr>
          <w:tab/>
        </w:r>
        <w:r w:rsidR="00E62933" w:rsidRPr="00AF02F8">
          <w:rPr>
            <w:rStyle w:val="Hyperlink"/>
            <w:rFonts w:cs="Times New Roman"/>
            <w:noProof/>
          </w:rPr>
          <w:t>The UK cider industry</w:t>
        </w:r>
        <w:r w:rsidR="00E62933">
          <w:rPr>
            <w:noProof/>
            <w:webHidden/>
          </w:rPr>
          <w:tab/>
        </w:r>
        <w:r w:rsidR="00E62933">
          <w:rPr>
            <w:noProof/>
            <w:webHidden/>
          </w:rPr>
          <w:fldChar w:fldCharType="begin"/>
        </w:r>
        <w:r w:rsidR="00E62933">
          <w:rPr>
            <w:noProof/>
            <w:webHidden/>
          </w:rPr>
          <w:instrText xml:space="preserve"> PAGEREF _Toc469982242 \h </w:instrText>
        </w:r>
        <w:r w:rsidR="00E62933">
          <w:rPr>
            <w:noProof/>
            <w:webHidden/>
          </w:rPr>
        </w:r>
        <w:r w:rsidR="00E62933">
          <w:rPr>
            <w:noProof/>
            <w:webHidden/>
          </w:rPr>
          <w:fldChar w:fldCharType="separate"/>
        </w:r>
        <w:r w:rsidR="00E0714D">
          <w:rPr>
            <w:noProof/>
            <w:webHidden/>
          </w:rPr>
          <w:t>13</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43" w:history="1">
        <w:r w:rsidR="00E62933" w:rsidRPr="00AF02F8">
          <w:rPr>
            <w:rStyle w:val="Hyperlink"/>
            <w:noProof/>
            <w14:scene3d>
              <w14:camera w14:prst="orthographicFront"/>
              <w14:lightRig w14:rig="threePt" w14:dir="t">
                <w14:rot w14:lat="0" w14:lon="0" w14:rev="0"/>
              </w14:lightRig>
            </w14:scene3d>
          </w:rPr>
          <w:t>1.4.3</w:t>
        </w:r>
        <w:r w:rsidR="00E62933">
          <w:rPr>
            <w:rFonts w:asciiTheme="minorHAnsi" w:eastAsiaTheme="minorEastAsia" w:hAnsiTheme="minorHAnsi"/>
            <w:noProof/>
            <w:lang w:eastAsia="en-GB"/>
          </w:rPr>
          <w:tab/>
        </w:r>
        <w:r w:rsidR="00E62933" w:rsidRPr="00AF02F8">
          <w:rPr>
            <w:rStyle w:val="Hyperlink"/>
            <w:rFonts w:cs="Times New Roman"/>
            <w:noProof/>
          </w:rPr>
          <w:t>Arbuscular mycorrhizal</w:t>
        </w:r>
        <w:r w:rsidR="00E62933" w:rsidRPr="00AF02F8">
          <w:rPr>
            <w:rStyle w:val="Hyperlink"/>
            <w:noProof/>
          </w:rPr>
          <w:t xml:space="preserve"> symbiosis and the domestic apple</w:t>
        </w:r>
        <w:r w:rsidR="00E62933">
          <w:rPr>
            <w:noProof/>
            <w:webHidden/>
          </w:rPr>
          <w:tab/>
        </w:r>
        <w:r w:rsidR="00E62933">
          <w:rPr>
            <w:noProof/>
            <w:webHidden/>
          </w:rPr>
          <w:fldChar w:fldCharType="begin"/>
        </w:r>
        <w:r w:rsidR="00E62933">
          <w:rPr>
            <w:noProof/>
            <w:webHidden/>
          </w:rPr>
          <w:instrText xml:space="preserve"> PAGEREF _Toc469982243 \h </w:instrText>
        </w:r>
        <w:r w:rsidR="00E62933">
          <w:rPr>
            <w:noProof/>
            <w:webHidden/>
          </w:rPr>
        </w:r>
        <w:r w:rsidR="00E62933">
          <w:rPr>
            <w:noProof/>
            <w:webHidden/>
          </w:rPr>
          <w:fldChar w:fldCharType="separate"/>
        </w:r>
        <w:r w:rsidR="00E0714D">
          <w:rPr>
            <w:noProof/>
            <w:webHidden/>
          </w:rPr>
          <w:t>16</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44" w:history="1">
        <w:r w:rsidR="00E62933" w:rsidRPr="00AF02F8">
          <w:rPr>
            <w:rStyle w:val="Hyperlink"/>
            <w:rFonts w:cs="Times New Roman"/>
            <w:noProof/>
            <w14:scene3d>
              <w14:camera w14:prst="orthographicFront"/>
              <w14:lightRig w14:rig="threePt" w14:dir="t">
                <w14:rot w14:lat="0" w14:lon="0" w14:rev="0"/>
              </w14:lightRig>
            </w14:scene3d>
          </w:rPr>
          <w:t>1.4.4</w:t>
        </w:r>
        <w:r w:rsidR="00E62933">
          <w:rPr>
            <w:rFonts w:asciiTheme="minorHAnsi" w:eastAsiaTheme="minorEastAsia" w:hAnsiTheme="minorHAnsi"/>
            <w:noProof/>
            <w:lang w:eastAsia="en-GB"/>
          </w:rPr>
          <w:tab/>
        </w:r>
        <w:r w:rsidR="00E62933" w:rsidRPr="00AF02F8">
          <w:rPr>
            <w:rStyle w:val="Hyperlink"/>
            <w:rFonts w:cs="Times New Roman"/>
            <w:noProof/>
          </w:rPr>
          <w:t>Arbuscular mycorrhizal fungi within UK apple orchards</w:t>
        </w:r>
        <w:r w:rsidR="00E62933">
          <w:rPr>
            <w:noProof/>
            <w:webHidden/>
          </w:rPr>
          <w:tab/>
        </w:r>
        <w:r w:rsidR="00E62933">
          <w:rPr>
            <w:noProof/>
            <w:webHidden/>
          </w:rPr>
          <w:fldChar w:fldCharType="begin"/>
        </w:r>
        <w:r w:rsidR="00E62933">
          <w:rPr>
            <w:noProof/>
            <w:webHidden/>
          </w:rPr>
          <w:instrText xml:space="preserve"> PAGEREF _Toc469982244 \h </w:instrText>
        </w:r>
        <w:r w:rsidR="00E62933">
          <w:rPr>
            <w:noProof/>
            <w:webHidden/>
          </w:rPr>
        </w:r>
        <w:r w:rsidR="00E62933">
          <w:rPr>
            <w:noProof/>
            <w:webHidden/>
          </w:rPr>
          <w:fldChar w:fldCharType="separate"/>
        </w:r>
        <w:r w:rsidR="00E0714D">
          <w:rPr>
            <w:noProof/>
            <w:webHidden/>
          </w:rPr>
          <w:t>18</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45" w:history="1">
        <w:r w:rsidR="00E62933" w:rsidRPr="00AF02F8">
          <w:rPr>
            <w:rStyle w:val="Hyperlink"/>
            <w:rFonts w:cs="Times New Roman"/>
            <w:noProof/>
          </w:rPr>
          <w:t>1.5</w:t>
        </w:r>
        <w:r w:rsidR="00E62933">
          <w:rPr>
            <w:rFonts w:asciiTheme="minorHAnsi" w:eastAsiaTheme="minorEastAsia" w:hAnsiTheme="minorHAnsi"/>
            <w:noProof/>
            <w:lang w:eastAsia="en-GB"/>
          </w:rPr>
          <w:tab/>
        </w:r>
        <w:r w:rsidR="00E62933" w:rsidRPr="00AF02F8">
          <w:rPr>
            <w:rStyle w:val="Hyperlink"/>
            <w:rFonts w:cs="Times New Roman"/>
            <w:noProof/>
          </w:rPr>
          <w:t>Aims of thesis and structure</w:t>
        </w:r>
        <w:r w:rsidR="00E62933">
          <w:rPr>
            <w:noProof/>
            <w:webHidden/>
          </w:rPr>
          <w:tab/>
        </w:r>
        <w:r w:rsidR="00E62933">
          <w:rPr>
            <w:noProof/>
            <w:webHidden/>
          </w:rPr>
          <w:fldChar w:fldCharType="begin"/>
        </w:r>
        <w:r w:rsidR="00E62933">
          <w:rPr>
            <w:noProof/>
            <w:webHidden/>
          </w:rPr>
          <w:instrText xml:space="preserve"> PAGEREF _Toc469982245 \h </w:instrText>
        </w:r>
        <w:r w:rsidR="00E62933">
          <w:rPr>
            <w:noProof/>
            <w:webHidden/>
          </w:rPr>
        </w:r>
        <w:r w:rsidR="00E62933">
          <w:rPr>
            <w:noProof/>
            <w:webHidden/>
          </w:rPr>
          <w:fldChar w:fldCharType="separate"/>
        </w:r>
        <w:r w:rsidR="00E0714D">
          <w:rPr>
            <w:noProof/>
            <w:webHidden/>
          </w:rPr>
          <w:t>24</w:t>
        </w:r>
        <w:r w:rsidR="00E62933">
          <w:rPr>
            <w:noProof/>
            <w:webHidden/>
          </w:rPr>
          <w:fldChar w:fldCharType="end"/>
        </w:r>
      </w:hyperlink>
    </w:p>
    <w:p w:rsidR="00E62933" w:rsidRDefault="00D22275">
      <w:pPr>
        <w:pStyle w:val="TOC1"/>
        <w:tabs>
          <w:tab w:val="right" w:leader="dot" w:pos="8494"/>
        </w:tabs>
        <w:rPr>
          <w:rFonts w:asciiTheme="minorHAnsi" w:eastAsiaTheme="minorEastAsia" w:hAnsiTheme="minorHAnsi"/>
          <w:noProof/>
          <w:lang w:eastAsia="en-GB"/>
        </w:rPr>
      </w:pPr>
      <w:hyperlink w:anchor="_Toc469982246" w:history="1">
        <w:r w:rsidR="00E62933" w:rsidRPr="00AF02F8">
          <w:rPr>
            <w:rStyle w:val="Hyperlink"/>
            <w:noProof/>
          </w:rPr>
          <w:t>Chapter 2</w:t>
        </w:r>
        <w:r w:rsidR="00E62933">
          <w:rPr>
            <w:rFonts w:asciiTheme="minorHAnsi" w:eastAsiaTheme="minorEastAsia" w:hAnsiTheme="minorHAnsi"/>
            <w:noProof/>
            <w:lang w:eastAsia="en-GB"/>
          </w:rPr>
          <w:tab/>
        </w:r>
        <w:r w:rsidR="00E62933" w:rsidRPr="00AF02F8">
          <w:rPr>
            <w:rStyle w:val="Hyperlink"/>
            <w:noProof/>
          </w:rPr>
          <w:t>Quantifying benefits of AMF inoculation for growth, health and productivity of cider apple trees</w:t>
        </w:r>
        <w:r w:rsidR="00E62933">
          <w:rPr>
            <w:noProof/>
            <w:webHidden/>
          </w:rPr>
          <w:tab/>
        </w:r>
        <w:r w:rsidR="00E62933">
          <w:rPr>
            <w:noProof/>
            <w:webHidden/>
          </w:rPr>
          <w:fldChar w:fldCharType="begin"/>
        </w:r>
        <w:r w:rsidR="00E62933">
          <w:rPr>
            <w:noProof/>
            <w:webHidden/>
          </w:rPr>
          <w:instrText xml:space="preserve"> PAGEREF _Toc469982246 \h </w:instrText>
        </w:r>
        <w:r w:rsidR="00E62933">
          <w:rPr>
            <w:noProof/>
            <w:webHidden/>
          </w:rPr>
        </w:r>
        <w:r w:rsidR="00E62933">
          <w:rPr>
            <w:noProof/>
            <w:webHidden/>
          </w:rPr>
          <w:fldChar w:fldCharType="separate"/>
        </w:r>
        <w:r w:rsidR="00E0714D">
          <w:rPr>
            <w:noProof/>
            <w:webHidden/>
          </w:rPr>
          <w:t>25</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47" w:history="1">
        <w:r w:rsidR="00E62933" w:rsidRPr="00AF02F8">
          <w:rPr>
            <w:rStyle w:val="Hyperlink"/>
            <w:noProof/>
          </w:rPr>
          <w:t>2.1</w:t>
        </w:r>
        <w:r w:rsidR="00E62933">
          <w:rPr>
            <w:rFonts w:asciiTheme="minorHAnsi" w:eastAsiaTheme="minorEastAsia" w:hAnsiTheme="minorHAnsi"/>
            <w:noProof/>
            <w:lang w:eastAsia="en-GB"/>
          </w:rPr>
          <w:tab/>
        </w:r>
        <w:r w:rsidR="00E62933" w:rsidRPr="00AF02F8">
          <w:rPr>
            <w:rStyle w:val="Hyperlink"/>
            <w:noProof/>
          </w:rPr>
          <w:t>Summary</w:t>
        </w:r>
        <w:r w:rsidR="00E62933">
          <w:rPr>
            <w:noProof/>
            <w:webHidden/>
          </w:rPr>
          <w:tab/>
        </w:r>
        <w:r w:rsidR="00E62933">
          <w:rPr>
            <w:noProof/>
            <w:webHidden/>
          </w:rPr>
          <w:fldChar w:fldCharType="begin"/>
        </w:r>
        <w:r w:rsidR="00E62933">
          <w:rPr>
            <w:noProof/>
            <w:webHidden/>
          </w:rPr>
          <w:instrText xml:space="preserve"> PAGEREF _Toc469982247 \h </w:instrText>
        </w:r>
        <w:r w:rsidR="00E62933">
          <w:rPr>
            <w:noProof/>
            <w:webHidden/>
          </w:rPr>
        </w:r>
        <w:r w:rsidR="00E62933">
          <w:rPr>
            <w:noProof/>
            <w:webHidden/>
          </w:rPr>
          <w:fldChar w:fldCharType="separate"/>
        </w:r>
        <w:r w:rsidR="00E0714D">
          <w:rPr>
            <w:noProof/>
            <w:webHidden/>
          </w:rPr>
          <w:t>25</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48" w:history="1">
        <w:r w:rsidR="00E62933" w:rsidRPr="00AF02F8">
          <w:rPr>
            <w:rStyle w:val="Hyperlink"/>
            <w:noProof/>
          </w:rPr>
          <w:t>2.2</w:t>
        </w:r>
        <w:r w:rsidR="00E62933">
          <w:rPr>
            <w:rFonts w:asciiTheme="minorHAnsi" w:eastAsiaTheme="minorEastAsia" w:hAnsiTheme="minorHAnsi"/>
            <w:noProof/>
            <w:lang w:eastAsia="en-GB"/>
          </w:rPr>
          <w:tab/>
        </w:r>
        <w:r w:rsidR="00E62933" w:rsidRPr="00AF02F8">
          <w:rPr>
            <w:rStyle w:val="Hyperlink"/>
            <w:noProof/>
          </w:rPr>
          <w:t>Introduction</w:t>
        </w:r>
        <w:r w:rsidR="00E62933">
          <w:rPr>
            <w:noProof/>
            <w:webHidden/>
          </w:rPr>
          <w:tab/>
        </w:r>
        <w:r w:rsidR="00E62933">
          <w:rPr>
            <w:noProof/>
            <w:webHidden/>
          </w:rPr>
          <w:fldChar w:fldCharType="begin"/>
        </w:r>
        <w:r w:rsidR="00E62933">
          <w:rPr>
            <w:noProof/>
            <w:webHidden/>
          </w:rPr>
          <w:instrText xml:space="preserve"> PAGEREF _Toc469982248 \h </w:instrText>
        </w:r>
        <w:r w:rsidR="00E62933">
          <w:rPr>
            <w:noProof/>
            <w:webHidden/>
          </w:rPr>
        </w:r>
        <w:r w:rsidR="00E62933">
          <w:rPr>
            <w:noProof/>
            <w:webHidden/>
          </w:rPr>
          <w:fldChar w:fldCharType="separate"/>
        </w:r>
        <w:r w:rsidR="00E0714D">
          <w:rPr>
            <w:noProof/>
            <w:webHidden/>
          </w:rPr>
          <w:t>26</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49" w:history="1">
        <w:r w:rsidR="00E62933" w:rsidRPr="00AF02F8">
          <w:rPr>
            <w:rStyle w:val="Hyperlink"/>
            <w:noProof/>
          </w:rPr>
          <w:t>2.3</w:t>
        </w:r>
        <w:r w:rsidR="00E62933">
          <w:rPr>
            <w:rFonts w:asciiTheme="minorHAnsi" w:eastAsiaTheme="minorEastAsia" w:hAnsiTheme="minorHAnsi"/>
            <w:noProof/>
            <w:lang w:eastAsia="en-GB"/>
          </w:rPr>
          <w:tab/>
        </w:r>
        <w:r w:rsidR="00E62933" w:rsidRPr="00AF02F8">
          <w:rPr>
            <w:rStyle w:val="Hyperlink"/>
            <w:noProof/>
          </w:rPr>
          <w:t>Materials and Methods</w:t>
        </w:r>
        <w:r w:rsidR="00E62933">
          <w:rPr>
            <w:noProof/>
            <w:webHidden/>
          </w:rPr>
          <w:tab/>
        </w:r>
        <w:r w:rsidR="00E62933">
          <w:rPr>
            <w:noProof/>
            <w:webHidden/>
          </w:rPr>
          <w:fldChar w:fldCharType="begin"/>
        </w:r>
        <w:r w:rsidR="00E62933">
          <w:rPr>
            <w:noProof/>
            <w:webHidden/>
          </w:rPr>
          <w:instrText xml:space="preserve"> PAGEREF _Toc469982249 \h </w:instrText>
        </w:r>
        <w:r w:rsidR="00E62933">
          <w:rPr>
            <w:noProof/>
            <w:webHidden/>
          </w:rPr>
        </w:r>
        <w:r w:rsidR="00E62933">
          <w:rPr>
            <w:noProof/>
            <w:webHidden/>
          </w:rPr>
          <w:fldChar w:fldCharType="separate"/>
        </w:r>
        <w:r w:rsidR="00E0714D">
          <w:rPr>
            <w:noProof/>
            <w:webHidden/>
          </w:rPr>
          <w:t>28</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50" w:history="1">
        <w:r w:rsidR="00E62933" w:rsidRPr="00AF02F8">
          <w:rPr>
            <w:rStyle w:val="Hyperlink"/>
            <w:noProof/>
            <w14:scene3d>
              <w14:camera w14:prst="orthographicFront"/>
              <w14:lightRig w14:rig="threePt" w14:dir="t">
                <w14:rot w14:lat="0" w14:lon="0" w14:rev="0"/>
              </w14:lightRig>
            </w14:scene3d>
          </w:rPr>
          <w:t>2.3.1</w:t>
        </w:r>
        <w:r w:rsidR="00E62933">
          <w:rPr>
            <w:rFonts w:asciiTheme="minorHAnsi" w:eastAsiaTheme="minorEastAsia" w:hAnsiTheme="minorHAnsi"/>
            <w:noProof/>
            <w:lang w:eastAsia="en-GB"/>
          </w:rPr>
          <w:tab/>
        </w:r>
        <w:r w:rsidR="00E62933" w:rsidRPr="00AF02F8">
          <w:rPr>
            <w:rStyle w:val="Hyperlink"/>
            <w:noProof/>
          </w:rPr>
          <w:t>Experimental design</w:t>
        </w:r>
        <w:r w:rsidR="00E62933">
          <w:rPr>
            <w:noProof/>
            <w:webHidden/>
          </w:rPr>
          <w:tab/>
        </w:r>
        <w:r w:rsidR="00E62933">
          <w:rPr>
            <w:noProof/>
            <w:webHidden/>
          </w:rPr>
          <w:fldChar w:fldCharType="begin"/>
        </w:r>
        <w:r w:rsidR="00E62933">
          <w:rPr>
            <w:noProof/>
            <w:webHidden/>
          </w:rPr>
          <w:instrText xml:space="preserve"> PAGEREF _Toc469982250 \h </w:instrText>
        </w:r>
        <w:r w:rsidR="00E62933">
          <w:rPr>
            <w:noProof/>
            <w:webHidden/>
          </w:rPr>
        </w:r>
        <w:r w:rsidR="00E62933">
          <w:rPr>
            <w:noProof/>
            <w:webHidden/>
          </w:rPr>
          <w:fldChar w:fldCharType="separate"/>
        </w:r>
        <w:r w:rsidR="00E0714D">
          <w:rPr>
            <w:noProof/>
            <w:webHidden/>
          </w:rPr>
          <w:t>28</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51" w:history="1">
        <w:r w:rsidR="00E62933" w:rsidRPr="00AF02F8">
          <w:rPr>
            <w:rStyle w:val="Hyperlink"/>
            <w:noProof/>
            <w14:scene3d>
              <w14:camera w14:prst="orthographicFront"/>
              <w14:lightRig w14:rig="threePt" w14:dir="t">
                <w14:rot w14:lat="0" w14:lon="0" w14:rev="0"/>
              </w14:lightRig>
            </w14:scene3d>
          </w:rPr>
          <w:t>2.3.2</w:t>
        </w:r>
        <w:r w:rsidR="00E62933">
          <w:rPr>
            <w:rFonts w:asciiTheme="minorHAnsi" w:eastAsiaTheme="minorEastAsia" w:hAnsiTheme="minorHAnsi"/>
            <w:noProof/>
            <w:lang w:eastAsia="en-GB"/>
          </w:rPr>
          <w:tab/>
        </w:r>
        <w:r w:rsidR="00E62933" w:rsidRPr="00AF02F8">
          <w:rPr>
            <w:rStyle w:val="Hyperlink"/>
            <w:noProof/>
          </w:rPr>
          <w:t>Statistical analyses</w:t>
        </w:r>
        <w:r w:rsidR="00E62933">
          <w:rPr>
            <w:noProof/>
            <w:webHidden/>
          </w:rPr>
          <w:tab/>
        </w:r>
        <w:r w:rsidR="00E62933">
          <w:rPr>
            <w:noProof/>
            <w:webHidden/>
          </w:rPr>
          <w:fldChar w:fldCharType="begin"/>
        </w:r>
        <w:r w:rsidR="00E62933">
          <w:rPr>
            <w:noProof/>
            <w:webHidden/>
          </w:rPr>
          <w:instrText xml:space="preserve"> PAGEREF _Toc469982251 \h </w:instrText>
        </w:r>
        <w:r w:rsidR="00E62933">
          <w:rPr>
            <w:noProof/>
            <w:webHidden/>
          </w:rPr>
        </w:r>
        <w:r w:rsidR="00E62933">
          <w:rPr>
            <w:noProof/>
            <w:webHidden/>
          </w:rPr>
          <w:fldChar w:fldCharType="separate"/>
        </w:r>
        <w:r w:rsidR="00E0714D">
          <w:rPr>
            <w:noProof/>
            <w:webHidden/>
          </w:rPr>
          <w:t>32</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52" w:history="1">
        <w:r w:rsidR="00E62933" w:rsidRPr="00AF02F8">
          <w:rPr>
            <w:rStyle w:val="Hyperlink"/>
            <w:noProof/>
          </w:rPr>
          <w:t>2.4</w:t>
        </w:r>
        <w:r w:rsidR="00E62933">
          <w:rPr>
            <w:rFonts w:asciiTheme="minorHAnsi" w:eastAsiaTheme="minorEastAsia" w:hAnsiTheme="minorHAnsi"/>
            <w:noProof/>
            <w:lang w:eastAsia="en-GB"/>
          </w:rPr>
          <w:tab/>
        </w:r>
        <w:r w:rsidR="00E62933" w:rsidRPr="00AF02F8">
          <w:rPr>
            <w:rStyle w:val="Hyperlink"/>
            <w:noProof/>
          </w:rPr>
          <w:t>Results</w:t>
        </w:r>
        <w:r w:rsidR="00E62933">
          <w:rPr>
            <w:noProof/>
            <w:webHidden/>
          </w:rPr>
          <w:tab/>
        </w:r>
        <w:r w:rsidR="00E62933">
          <w:rPr>
            <w:noProof/>
            <w:webHidden/>
          </w:rPr>
          <w:fldChar w:fldCharType="begin"/>
        </w:r>
        <w:r w:rsidR="00E62933">
          <w:rPr>
            <w:noProof/>
            <w:webHidden/>
          </w:rPr>
          <w:instrText xml:space="preserve"> PAGEREF _Toc469982252 \h </w:instrText>
        </w:r>
        <w:r w:rsidR="00E62933">
          <w:rPr>
            <w:noProof/>
            <w:webHidden/>
          </w:rPr>
        </w:r>
        <w:r w:rsidR="00E62933">
          <w:rPr>
            <w:noProof/>
            <w:webHidden/>
          </w:rPr>
          <w:fldChar w:fldCharType="separate"/>
        </w:r>
        <w:r w:rsidR="00E0714D">
          <w:rPr>
            <w:noProof/>
            <w:webHidden/>
          </w:rPr>
          <w:t>33</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53" w:history="1">
        <w:r w:rsidR="00E62933" w:rsidRPr="00AF02F8">
          <w:rPr>
            <w:rStyle w:val="Hyperlink"/>
            <w:noProof/>
            <w14:scene3d>
              <w14:camera w14:prst="orthographicFront"/>
              <w14:lightRig w14:rig="threePt" w14:dir="t">
                <w14:rot w14:lat="0" w14:lon="0" w14:rev="0"/>
              </w14:lightRig>
            </w14:scene3d>
          </w:rPr>
          <w:t>2.4.1</w:t>
        </w:r>
        <w:r w:rsidR="00E62933">
          <w:rPr>
            <w:rFonts w:asciiTheme="minorHAnsi" w:eastAsiaTheme="minorEastAsia" w:hAnsiTheme="minorHAnsi"/>
            <w:noProof/>
            <w:lang w:eastAsia="en-GB"/>
          </w:rPr>
          <w:tab/>
        </w:r>
        <w:r w:rsidR="00E62933" w:rsidRPr="00AF02F8">
          <w:rPr>
            <w:rStyle w:val="Hyperlink"/>
            <w:noProof/>
          </w:rPr>
          <w:t>Mycorrhizal colonisation</w:t>
        </w:r>
        <w:r w:rsidR="00E62933">
          <w:rPr>
            <w:noProof/>
            <w:webHidden/>
          </w:rPr>
          <w:tab/>
        </w:r>
        <w:r w:rsidR="00E62933">
          <w:rPr>
            <w:noProof/>
            <w:webHidden/>
          </w:rPr>
          <w:fldChar w:fldCharType="begin"/>
        </w:r>
        <w:r w:rsidR="00E62933">
          <w:rPr>
            <w:noProof/>
            <w:webHidden/>
          </w:rPr>
          <w:instrText xml:space="preserve"> PAGEREF _Toc469982253 \h </w:instrText>
        </w:r>
        <w:r w:rsidR="00E62933">
          <w:rPr>
            <w:noProof/>
            <w:webHidden/>
          </w:rPr>
        </w:r>
        <w:r w:rsidR="00E62933">
          <w:rPr>
            <w:noProof/>
            <w:webHidden/>
          </w:rPr>
          <w:fldChar w:fldCharType="separate"/>
        </w:r>
        <w:r w:rsidR="00E0714D">
          <w:rPr>
            <w:noProof/>
            <w:webHidden/>
          </w:rPr>
          <w:t>33</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54" w:history="1">
        <w:r w:rsidR="00E62933" w:rsidRPr="00AF02F8">
          <w:rPr>
            <w:rStyle w:val="Hyperlink"/>
            <w:noProof/>
            <w14:scene3d>
              <w14:camera w14:prst="orthographicFront"/>
              <w14:lightRig w14:rig="threePt" w14:dir="t">
                <w14:rot w14:lat="0" w14:lon="0" w14:rev="0"/>
              </w14:lightRig>
            </w14:scene3d>
          </w:rPr>
          <w:t>2.4.2</w:t>
        </w:r>
        <w:r w:rsidR="00E62933">
          <w:rPr>
            <w:rFonts w:asciiTheme="minorHAnsi" w:eastAsiaTheme="minorEastAsia" w:hAnsiTheme="minorHAnsi"/>
            <w:noProof/>
            <w:lang w:eastAsia="en-GB"/>
          </w:rPr>
          <w:tab/>
        </w:r>
        <w:r w:rsidR="00E62933" w:rsidRPr="00AF02F8">
          <w:rPr>
            <w:rStyle w:val="Hyperlink"/>
            <w:noProof/>
          </w:rPr>
          <w:t>Tree nutrient status</w:t>
        </w:r>
        <w:r w:rsidR="00E62933">
          <w:rPr>
            <w:noProof/>
            <w:webHidden/>
          </w:rPr>
          <w:tab/>
        </w:r>
        <w:r w:rsidR="00E62933">
          <w:rPr>
            <w:noProof/>
            <w:webHidden/>
          </w:rPr>
          <w:fldChar w:fldCharType="begin"/>
        </w:r>
        <w:r w:rsidR="00E62933">
          <w:rPr>
            <w:noProof/>
            <w:webHidden/>
          </w:rPr>
          <w:instrText xml:space="preserve"> PAGEREF _Toc469982254 \h </w:instrText>
        </w:r>
        <w:r w:rsidR="00E62933">
          <w:rPr>
            <w:noProof/>
            <w:webHidden/>
          </w:rPr>
        </w:r>
        <w:r w:rsidR="00E62933">
          <w:rPr>
            <w:noProof/>
            <w:webHidden/>
          </w:rPr>
          <w:fldChar w:fldCharType="separate"/>
        </w:r>
        <w:r w:rsidR="00E0714D">
          <w:rPr>
            <w:noProof/>
            <w:webHidden/>
          </w:rPr>
          <w:t>33</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55" w:history="1">
        <w:r w:rsidR="00E62933" w:rsidRPr="00AF02F8">
          <w:rPr>
            <w:rStyle w:val="Hyperlink"/>
            <w:noProof/>
            <w14:scene3d>
              <w14:camera w14:prst="orthographicFront"/>
              <w14:lightRig w14:rig="threePt" w14:dir="t">
                <w14:rot w14:lat="0" w14:lon="0" w14:rev="0"/>
              </w14:lightRig>
            </w14:scene3d>
          </w:rPr>
          <w:t>2.4.3</w:t>
        </w:r>
        <w:r w:rsidR="00E62933">
          <w:rPr>
            <w:rFonts w:asciiTheme="minorHAnsi" w:eastAsiaTheme="minorEastAsia" w:hAnsiTheme="minorHAnsi"/>
            <w:noProof/>
            <w:lang w:eastAsia="en-GB"/>
          </w:rPr>
          <w:tab/>
        </w:r>
        <w:r w:rsidR="00E62933" w:rsidRPr="00AF02F8">
          <w:rPr>
            <w:rStyle w:val="Hyperlink"/>
            <w:noProof/>
          </w:rPr>
          <w:t>Tree growth</w:t>
        </w:r>
        <w:r w:rsidR="00E62933">
          <w:rPr>
            <w:noProof/>
            <w:webHidden/>
          </w:rPr>
          <w:tab/>
        </w:r>
        <w:r w:rsidR="00E62933">
          <w:rPr>
            <w:noProof/>
            <w:webHidden/>
          </w:rPr>
          <w:fldChar w:fldCharType="begin"/>
        </w:r>
        <w:r w:rsidR="00E62933">
          <w:rPr>
            <w:noProof/>
            <w:webHidden/>
          </w:rPr>
          <w:instrText xml:space="preserve"> PAGEREF _Toc469982255 \h </w:instrText>
        </w:r>
        <w:r w:rsidR="00E62933">
          <w:rPr>
            <w:noProof/>
            <w:webHidden/>
          </w:rPr>
        </w:r>
        <w:r w:rsidR="00E62933">
          <w:rPr>
            <w:noProof/>
            <w:webHidden/>
          </w:rPr>
          <w:fldChar w:fldCharType="separate"/>
        </w:r>
        <w:r w:rsidR="00E0714D">
          <w:rPr>
            <w:noProof/>
            <w:webHidden/>
          </w:rPr>
          <w:t>34</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56" w:history="1">
        <w:r w:rsidR="00E62933" w:rsidRPr="00AF02F8">
          <w:rPr>
            <w:rStyle w:val="Hyperlink"/>
            <w:noProof/>
            <w14:scene3d>
              <w14:camera w14:prst="orthographicFront"/>
              <w14:lightRig w14:rig="threePt" w14:dir="t">
                <w14:rot w14:lat="0" w14:lon="0" w14:rev="0"/>
              </w14:lightRig>
            </w14:scene3d>
          </w:rPr>
          <w:t>2.4.4</w:t>
        </w:r>
        <w:r w:rsidR="00E62933">
          <w:rPr>
            <w:rFonts w:asciiTheme="minorHAnsi" w:eastAsiaTheme="minorEastAsia" w:hAnsiTheme="minorHAnsi"/>
            <w:noProof/>
            <w:lang w:eastAsia="en-GB"/>
          </w:rPr>
          <w:tab/>
        </w:r>
        <w:r w:rsidR="00E62933" w:rsidRPr="00AF02F8">
          <w:rPr>
            <w:rStyle w:val="Hyperlink"/>
            <w:noProof/>
          </w:rPr>
          <w:t>Tree productivity</w:t>
        </w:r>
        <w:r w:rsidR="00E62933">
          <w:rPr>
            <w:noProof/>
            <w:webHidden/>
          </w:rPr>
          <w:tab/>
        </w:r>
        <w:r w:rsidR="00E62933">
          <w:rPr>
            <w:noProof/>
            <w:webHidden/>
          </w:rPr>
          <w:fldChar w:fldCharType="begin"/>
        </w:r>
        <w:r w:rsidR="00E62933">
          <w:rPr>
            <w:noProof/>
            <w:webHidden/>
          </w:rPr>
          <w:instrText xml:space="preserve"> PAGEREF _Toc469982256 \h </w:instrText>
        </w:r>
        <w:r w:rsidR="00E62933">
          <w:rPr>
            <w:noProof/>
            <w:webHidden/>
          </w:rPr>
        </w:r>
        <w:r w:rsidR="00E62933">
          <w:rPr>
            <w:noProof/>
            <w:webHidden/>
          </w:rPr>
          <w:fldChar w:fldCharType="separate"/>
        </w:r>
        <w:r w:rsidR="00E0714D">
          <w:rPr>
            <w:noProof/>
            <w:webHidden/>
          </w:rPr>
          <w:t>35</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57" w:history="1">
        <w:r w:rsidR="00E62933" w:rsidRPr="00AF02F8">
          <w:rPr>
            <w:rStyle w:val="Hyperlink"/>
            <w:noProof/>
            <w14:scene3d>
              <w14:camera w14:prst="orthographicFront"/>
              <w14:lightRig w14:rig="threePt" w14:dir="t">
                <w14:rot w14:lat="0" w14:lon="0" w14:rev="0"/>
              </w14:lightRig>
            </w14:scene3d>
          </w:rPr>
          <w:t>2.4.5</w:t>
        </w:r>
        <w:r w:rsidR="00E62933">
          <w:rPr>
            <w:rFonts w:asciiTheme="minorHAnsi" w:eastAsiaTheme="minorEastAsia" w:hAnsiTheme="minorHAnsi"/>
            <w:noProof/>
            <w:lang w:eastAsia="en-GB"/>
          </w:rPr>
          <w:tab/>
        </w:r>
        <w:r w:rsidR="00E62933" w:rsidRPr="00AF02F8">
          <w:rPr>
            <w:rStyle w:val="Hyperlink"/>
            <w:noProof/>
          </w:rPr>
          <w:t>Disease resistance</w:t>
        </w:r>
        <w:r w:rsidR="00E62933">
          <w:rPr>
            <w:noProof/>
            <w:webHidden/>
          </w:rPr>
          <w:tab/>
        </w:r>
        <w:r w:rsidR="00E62933">
          <w:rPr>
            <w:noProof/>
            <w:webHidden/>
          </w:rPr>
          <w:fldChar w:fldCharType="begin"/>
        </w:r>
        <w:r w:rsidR="00E62933">
          <w:rPr>
            <w:noProof/>
            <w:webHidden/>
          </w:rPr>
          <w:instrText xml:space="preserve"> PAGEREF _Toc469982257 \h </w:instrText>
        </w:r>
        <w:r w:rsidR="00E62933">
          <w:rPr>
            <w:noProof/>
            <w:webHidden/>
          </w:rPr>
        </w:r>
        <w:r w:rsidR="00E62933">
          <w:rPr>
            <w:noProof/>
            <w:webHidden/>
          </w:rPr>
          <w:fldChar w:fldCharType="separate"/>
        </w:r>
        <w:r w:rsidR="00E0714D">
          <w:rPr>
            <w:noProof/>
            <w:webHidden/>
          </w:rPr>
          <w:t>35</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58" w:history="1">
        <w:r w:rsidR="00E62933" w:rsidRPr="00AF02F8">
          <w:rPr>
            <w:rStyle w:val="Hyperlink"/>
            <w:noProof/>
          </w:rPr>
          <w:t>2.5</w:t>
        </w:r>
        <w:r w:rsidR="00E62933">
          <w:rPr>
            <w:rFonts w:asciiTheme="minorHAnsi" w:eastAsiaTheme="minorEastAsia" w:hAnsiTheme="minorHAnsi"/>
            <w:noProof/>
            <w:lang w:eastAsia="en-GB"/>
          </w:rPr>
          <w:tab/>
        </w:r>
        <w:r w:rsidR="00E62933" w:rsidRPr="00AF02F8">
          <w:rPr>
            <w:rStyle w:val="Hyperlink"/>
            <w:noProof/>
          </w:rPr>
          <w:t>Discussion</w:t>
        </w:r>
        <w:r w:rsidR="00E62933">
          <w:rPr>
            <w:noProof/>
            <w:webHidden/>
          </w:rPr>
          <w:tab/>
        </w:r>
        <w:r w:rsidR="00E62933">
          <w:rPr>
            <w:noProof/>
            <w:webHidden/>
          </w:rPr>
          <w:fldChar w:fldCharType="begin"/>
        </w:r>
        <w:r w:rsidR="00E62933">
          <w:rPr>
            <w:noProof/>
            <w:webHidden/>
          </w:rPr>
          <w:instrText xml:space="preserve"> PAGEREF _Toc469982258 \h </w:instrText>
        </w:r>
        <w:r w:rsidR="00E62933">
          <w:rPr>
            <w:noProof/>
            <w:webHidden/>
          </w:rPr>
        </w:r>
        <w:r w:rsidR="00E62933">
          <w:rPr>
            <w:noProof/>
            <w:webHidden/>
          </w:rPr>
          <w:fldChar w:fldCharType="separate"/>
        </w:r>
        <w:r w:rsidR="00E0714D">
          <w:rPr>
            <w:noProof/>
            <w:webHidden/>
          </w:rPr>
          <w:t>43</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59" w:history="1">
        <w:r w:rsidR="00E62933" w:rsidRPr="00AF02F8">
          <w:rPr>
            <w:rStyle w:val="Hyperlink"/>
            <w:noProof/>
            <w14:scene3d>
              <w14:camera w14:prst="orthographicFront"/>
              <w14:lightRig w14:rig="threePt" w14:dir="t">
                <w14:rot w14:lat="0" w14:lon="0" w14:rev="0"/>
              </w14:lightRig>
            </w14:scene3d>
          </w:rPr>
          <w:t>2.5.1</w:t>
        </w:r>
        <w:r w:rsidR="00E62933">
          <w:rPr>
            <w:rFonts w:asciiTheme="minorHAnsi" w:eastAsiaTheme="minorEastAsia" w:hAnsiTheme="minorHAnsi"/>
            <w:noProof/>
            <w:lang w:eastAsia="en-GB"/>
          </w:rPr>
          <w:tab/>
        </w:r>
        <w:r w:rsidR="00E62933" w:rsidRPr="00AF02F8">
          <w:rPr>
            <w:rStyle w:val="Hyperlink"/>
            <w:noProof/>
          </w:rPr>
          <w:t>Mycorrhizal effects upon apple canker resistance</w:t>
        </w:r>
        <w:r w:rsidR="00E62933">
          <w:rPr>
            <w:noProof/>
            <w:webHidden/>
          </w:rPr>
          <w:tab/>
        </w:r>
        <w:r w:rsidR="00E62933">
          <w:rPr>
            <w:noProof/>
            <w:webHidden/>
          </w:rPr>
          <w:fldChar w:fldCharType="begin"/>
        </w:r>
        <w:r w:rsidR="00E62933">
          <w:rPr>
            <w:noProof/>
            <w:webHidden/>
          </w:rPr>
          <w:instrText xml:space="preserve"> PAGEREF _Toc469982259 \h </w:instrText>
        </w:r>
        <w:r w:rsidR="00E62933">
          <w:rPr>
            <w:noProof/>
            <w:webHidden/>
          </w:rPr>
        </w:r>
        <w:r w:rsidR="00E62933">
          <w:rPr>
            <w:noProof/>
            <w:webHidden/>
          </w:rPr>
          <w:fldChar w:fldCharType="separate"/>
        </w:r>
        <w:r w:rsidR="00E0714D">
          <w:rPr>
            <w:noProof/>
            <w:webHidden/>
          </w:rPr>
          <w:t>43</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60" w:history="1">
        <w:r w:rsidR="00E62933" w:rsidRPr="00AF02F8">
          <w:rPr>
            <w:rStyle w:val="Hyperlink"/>
            <w:noProof/>
            <w14:scene3d>
              <w14:camera w14:prst="orthographicFront"/>
              <w14:lightRig w14:rig="threePt" w14:dir="t">
                <w14:rot w14:lat="0" w14:lon="0" w14:rev="0"/>
              </w14:lightRig>
            </w14:scene3d>
          </w:rPr>
          <w:t>2.5.2</w:t>
        </w:r>
        <w:r w:rsidR="00E62933">
          <w:rPr>
            <w:rFonts w:asciiTheme="minorHAnsi" w:eastAsiaTheme="minorEastAsia" w:hAnsiTheme="minorHAnsi"/>
            <w:noProof/>
            <w:lang w:eastAsia="en-GB"/>
          </w:rPr>
          <w:tab/>
        </w:r>
        <w:r w:rsidR="00E62933" w:rsidRPr="00AF02F8">
          <w:rPr>
            <w:rStyle w:val="Hyperlink"/>
            <w:noProof/>
          </w:rPr>
          <w:t>Nutrient treatment effects</w:t>
        </w:r>
        <w:r w:rsidR="00E62933">
          <w:rPr>
            <w:noProof/>
            <w:webHidden/>
          </w:rPr>
          <w:tab/>
        </w:r>
        <w:r w:rsidR="00E62933">
          <w:rPr>
            <w:noProof/>
            <w:webHidden/>
          </w:rPr>
          <w:fldChar w:fldCharType="begin"/>
        </w:r>
        <w:r w:rsidR="00E62933">
          <w:rPr>
            <w:noProof/>
            <w:webHidden/>
          </w:rPr>
          <w:instrText xml:space="preserve"> PAGEREF _Toc469982260 \h </w:instrText>
        </w:r>
        <w:r w:rsidR="00E62933">
          <w:rPr>
            <w:noProof/>
            <w:webHidden/>
          </w:rPr>
        </w:r>
        <w:r w:rsidR="00E62933">
          <w:rPr>
            <w:noProof/>
            <w:webHidden/>
          </w:rPr>
          <w:fldChar w:fldCharType="separate"/>
        </w:r>
        <w:r w:rsidR="00E0714D">
          <w:rPr>
            <w:noProof/>
            <w:webHidden/>
          </w:rPr>
          <w:t>44</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61" w:history="1">
        <w:r w:rsidR="00E62933" w:rsidRPr="00AF02F8">
          <w:rPr>
            <w:rStyle w:val="Hyperlink"/>
            <w:noProof/>
            <w14:scene3d>
              <w14:camera w14:prst="orthographicFront"/>
              <w14:lightRig w14:rig="threePt" w14:dir="t">
                <w14:rot w14:lat="0" w14:lon="0" w14:rev="0"/>
              </w14:lightRig>
            </w14:scene3d>
          </w:rPr>
          <w:t>2.5.3</w:t>
        </w:r>
        <w:r w:rsidR="00E62933">
          <w:rPr>
            <w:rFonts w:asciiTheme="minorHAnsi" w:eastAsiaTheme="minorEastAsia" w:hAnsiTheme="minorHAnsi"/>
            <w:noProof/>
            <w:lang w:eastAsia="en-GB"/>
          </w:rPr>
          <w:tab/>
        </w:r>
        <w:r w:rsidR="00E62933" w:rsidRPr="00AF02F8">
          <w:rPr>
            <w:rStyle w:val="Hyperlink"/>
            <w:noProof/>
          </w:rPr>
          <w:t>Mycorrhizal effects on tree nutrient status, growth and productivity</w:t>
        </w:r>
        <w:r w:rsidR="00E62933">
          <w:rPr>
            <w:noProof/>
            <w:webHidden/>
          </w:rPr>
          <w:tab/>
        </w:r>
        <w:r w:rsidR="00E62933">
          <w:rPr>
            <w:noProof/>
            <w:webHidden/>
          </w:rPr>
          <w:fldChar w:fldCharType="begin"/>
        </w:r>
        <w:r w:rsidR="00E62933">
          <w:rPr>
            <w:noProof/>
            <w:webHidden/>
          </w:rPr>
          <w:instrText xml:space="preserve"> PAGEREF _Toc469982261 \h </w:instrText>
        </w:r>
        <w:r w:rsidR="00E62933">
          <w:rPr>
            <w:noProof/>
            <w:webHidden/>
          </w:rPr>
        </w:r>
        <w:r w:rsidR="00E62933">
          <w:rPr>
            <w:noProof/>
            <w:webHidden/>
          </w:rPr>
          <w:fldChar w:fldCharType="separate"/>
        </w:r>
        <w:r w:rsidR="00E0714D">
          <w:rPr>
            <w:noProof/>
            <w:webHidden/>
          </w:rPr>
          <w:t>45</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62" w:history="1">
        <w:r w:rsidR="00E62933" w:rsidRPr="00AF02F8">
          <w:rPr>
            <w:rStyle w:val="Hyperlink"/>
            <w:noProof/>
            <w14:scene3d>
              <w14:camera w14:prst="orthographicFront"/>
              <w14:lightRig w14:rig="threePt" w14:dir="t">
                <w14:rot w14:lat="0" w14:lon="0" w14:rev="0"/>
              </w14:lightRig>
            </w14:scene3d>
          </w:rPr>
          <w:t>2.5.4</w:t>
        </w:r>
        <w:r w:rsidR="00E62933">
          <w:rPr>
            <w:rFonts w:asciiTheme="minorHAnsi" w:eastAsiaTheme="minorEastAsia" w:hAnsiTheme="minorHAnsi"/>
            <w:noProof/>
            <w:lang w:eastAsia="en-GB"/>
          </w:rPr>
          <w:tab/>
        </w:r>
        <w:r w:rsidR="00E62933" w:rsidRPr="00AF02F8">
          <w:rPr>
            <w:rStyle w:val="Hyperlink"/>
            <w:noProof/>
          </w:rPr>
          <w:t>Rootstock and scion effects</w:t>
        </w:r>
        <w:r w:rsidR="00E62933">
          <w:rPr>
            <w:noProof/>
            <w:webHidden/>
          </w:rPr>
          <w:tab/>
        </w:r>
        <w:r w:rsidR="00E62933">
          <w:rPr>
            <w:noProof/>
            <w:webHidden/>
          </w:rPr>
          <w:fldChar w:fldCharType="begin"/>
        </w:r>
        <w:r w:rsidR="00E62933">
          <w:rPr>
            <w:noProof/>
            <w:webHidden/>
          </w:rPr>
          <w:instrText xml:space="preserve"> PAGEREF _Toc469982262 \h </w:instrText>
        </w:r>
        <w:r w:rsidR="00E62933">
          <w:rPr>
            <w:noProof/>
            <w:webHidden/>
          </w:rPr>
        </w:r>
        <w:r w:rsidR="00E62933">
          <w:rPr>
            <w:noProof/>
            <w:webHidden/>
          </w:rPr>
          <w:fldChar w:fldCharType="separate"/>
        </w:r>
        <w:r w:rsidR="00E0714D">
          <w:rPr>
            <w:noProof/>
            <w:webHidden/>
          </w:rPr>
          <w:t>47</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63" w:history="1">
        <w:r w:rsidR="00E62933" w:rsidRPr="00AF02F8">
          <w:rPr>
            <w:rStyle w:val="Hyperlink"/>
            <w:rFonts w:cs="Times New Roman"/>
            <w:noProof/>
          </w:rPr>
          <w:t>2.6</w:t>
        </w:r>
        <w:r w:rsidR="00E62933">
          <w:rPr>
            <w:rFonts w:asciiTheme="minorHAnsi" w:eastAsiaTheme="minorEastAsia" w:hAnsiTheme="minorHAnsi"/>
            <w:noProof/>
            <w:lang w:eastAsia="en-GB"/>
          </w:rPr>
          <w:tab/>
        </w:r>
        <w:r w:rsidR="00E62933" w:rsidRPr="00AF02F8">
          <w:rPr>
            <w:rStyle w:val="Hyperlink"/>
            <w:noProof/>
          </w:rPr>
          <w:t>Conclusion</w:t>
        </w:r>
        <w:r w:rsidR="00E62933">
          <w:rPr>
            <w:noProof/>
            <w:webHidden/>
          </w:rPr>
          <w:tab/>
        </w:r>
        <w:r w:rsidR="00E62933">
          <w:rPr>
            <w:noProof/>
            <w:webHidden/>
          </w:rPr>
          <w:fldChar w:fldCharType="begin"/>
        </w:r>
        <w:r w:rsidR="00E62933">
          <w:rPr>
            <w:noProof/>
            <w:webHidden/>
          </w:rPr>
          <w:instrText xml:space="preserve"> PAGEREF _Toc469982263 \h </w:instrText>
        </w:r>
        <w:r w:rsidR="00E62933">
          <w:rPr>
            <w:noProof/>
            <w:webHidden/>
          </w:rPr>
        </w:r>
        <w:r w:rsidR="00E62933">
          <w:rPr>
            <w:noProof/>
            <w:webHidden/>
          </w:rPr>
          <w:fldChar w:fldCharType="separate"/>
        </w:r>
        <w:r w:rsidR="00E0714D">
          <w:rPr>
            <w:noProof/>
            <w:webHidden/>
          </w:rPr>
          <w:t>47</w:t>
        </w:r>
        <w:r w:rsidR="00E62933">
          <w:rPr>
            <w:noProof/>
            <w:webHidden/>
          </w:rPr>
          <w:fldChar w:fldCharType="end"/>
        </w:r>
      </w:hyperlink>
    </w:p>
    <w:p w:rsidR="00E62933" w:rsidRDefault="00D22275">
      <w:pPr>
        <w:pStyle w:val="TOC1"/>
        <w:tabs>
          <w:tab w:val="right" w:leader="dot" w:pos="8494"/>
        </w:tabs>
        <w:rPr>
          <w:rFonts w:asciiTheme="minorHAnsi" w:eastAsiaTheme="minorEastAsia" w:hAnsiTheme="minorHAnsi"/>
          <w:noProof/>
          <w:lang w:eastAsia="en-GB"/>
        </w:rPr>
      </w:pPr>
      <w:hyperlink w:anchor="_Toc469982264" w:history="1">
        <w:r w:rsidR="00E62933" w:rsidRPr="00AF02F8">
          <w:rPr>
            <w:rStyle w:val="Hyperlink"/>
            <w:noProof/>
          </w:rPr>
          <w:t>Chapter 3</w:t>
        </w:r>
        <w:r w:rsidR="00E62933">
          <w:rPr>
            <w:rFonts w:asciiTheme="minorHAnsi" w:eastAsiaTheme="minorEastAsia" w:hAnsiTheme="minorHAnsi"/>
            <w:noProof/>
            <w:lang w:eastAsia="en-GB"/>
          </w:rPr>
          <w:tab/>
        </w:r>
        <w:r w:rsidR="00E62933" w:rsidRPr="00AF02F8">
          <w:rPr>
            <w:rStyle w:val="Hyperlink"/>
            <w:noProof/>
          </w:rPr>
          <w:t>The effects of orchard management on AMF communities and comparison with intensive arable farming and semi-natural woodlands</w:t>
        </w:r>
        <w:r w:rsidR="00E62933">
          <w:rPr>
            <w:noProof/>
            <w:webHidden/>
          </w:rPr>
          <w:tab/>
        </w:r>
        <w:r w:rsidR="00E62933">
          <w:rPr>
            <w:noProof/>
            <w:webHidden/>
          </w:rPr>
          <w:fldChar w:fldCharType="begin"/>
        </w:r>
        <w:r w:rsidR="00E62933">
          <w:rPr>
            <w:noProof/>
            <w:webHidden/>
          </w:rPr>
          <w:instrText xml:space="preserve"> PAGEREF _Toc469982264 \h </w:instrText>
        </w:r>
        <w:r w:rsidR="00E62933">
          <w:rPr>
            <w:noProof/>
            <w:webHidden/>
          </w:rPr>
        </w:r>
        <w:r w:rsidR="00E62933">
          <w:rPr>
            <w:noProof/>
            <w:webHidden/>
          </w:rPr>
          <w:fldChar w:fldCharType="separate"/>
        </w:r>
        <w:r w:rsidR="00E0714D">
          <w:rPr>
            <w:noProof/>
            <w:webHidden/>
          </w:rPr>
          <w:t>49</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65" w:history="1">
        <w:r w:rsidR="00E62933" w:rsidRPr="00AF02F8">
          <w:rPr>
            <w:rStyle w:val="Hyperlink"/>
            <w:noProof/>
          </w:rPr>
          <w:t>3.1</w:t>
        </w:r>
        <w:r w:rsidR="00E62933">
          <w:rPr>
            <w:rFonts w:asciiTheme="minorHAnsi" w:eastAsiaTheme="minorEastAsia" w:hAnsiTheme="minorHAnsi"/>
            <w:noProof/>
            <w:lang w:eastAsia="en-GB"/>
          </w:rPr>
          <w:tab/>
        </w:r>
        <w:r w:rsidR="00E62933" w:rsidRPr="00AF02F8">
          <w:rPr>
            <w:rStyle w:val="Hyperlink"/>
            <w:noProof/>
          </w:rPr>
          <w:t>Summary</w:t>
        </w:r>
        <w:r w:rsidR="00E62933">
          <w:rPr>
            <w:noProof/>
            <w:webHidden/>
          </w:rPr>
          <w:tab/>
        </w:r>
        <w:r w:rsidR="00E62933">
          <w:rPr>
            <w:noProof/>
            <w:webHidden/>
          </w:rPr>
          <w:fldChar w:fldCharType="begin"/>
        </w:r>
        <w:r w:rsidR="00E62933">
          <w:rPr>
            <w:noProof/>
            <w:webHidden/>
          </w:rPr>
          <w:instrText xml:space="preserve"> PAGEREF _Toc469982265 \h </w:instrText>
        </w:r>
        <w:r w:rsidR="00E62933">
          <w:rPr>
            <w:noProof/>
            <w:webHidden/>
          </w:rPr>
        </w:r>
        <w:r w:rsidR="00E62933">
          <w:rPr>
            <w:noProof/>
            <w:webHidden/>
          </w:rPr>
          <w:fldChar w:fldCharType="separate"/>
        </w:r>
        <w:r w:rsidR="00E0714D">
          <w:rPr>
            <w:noProof/>
            <w:webHidden/>
          </w:rPr>
          <w:t>49</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66" w:history="1">
        <w:r w:rsidR="00E62933" w:rsidRPr="00AF02F8">
          <w:rPr>
            <w:rStyle w:val="Hyperlink"/>
            <w:noProof/>
          </w:rPr>
          <w:t>3.2</w:t>
        </w:r>
        <w:r w:rsidR="00E62933">
          <w:rPr>
            <w:rFonts w:asciiTheme="minorHAnsi" w:eastAsiaTheme="minorEastAsia" w:hAnsiTheme="minorHAnsi"/>
            <w:noProof/>
            <w:lang w:eastAsia="en-GB"/>
          </w:rPr>
          <w:tab/>
        </w:r>
        <w:r w:rsidR="00E62933" w:rsidRPr="00AF02F8">
          <w:rPr>
            <w:rStyle w:val="Hyperlink"/>
            <w:noProof/>
          </w:rPr>
          <w:t>Introduction</w:t>
        </w:r>
        <w:r w:rsidR="00E62933">
          <w:rPr>
            <w:noProof/>
            <w:webHidden/>
          </w:rPr>
          <w:tab/>
        </w:r>
        <w:r w:rsidR="00E62933">
          <w:rPr>
            <w:noProof/>
            <w:webHidden/>
          </w:rPr>
          <w:fldChar w:fldCharType="begin"/>
        </w:r>
        <w:r w:rsidR="00E62933">
          <w:rPr>
            <w:noProof/>
            <w:webHidden/>
          </w:rPr>
          <w:instrText xml:space="preserve"> PAGEREF _Toc469982266 \h </w:instrText>
        </w:r>
        <w:r w:rsidR="00E62933">
          <w:rPr>
            <w:noProof/>
            <w:webHidden/>
          </w:rPr>
        </w:r>
        <w:r w:rsidR="00E62933">
          <w:rPr>
            <w:noProof/>
            <w:webHidden/>
          </w:rPr>
          <w:fldChar w:fldCharType="separate"/>
        </w:r>
        <w:r w:rsidR="00E0714D">
          <w:rPr>
            <w:noProof/>
            <w:webHidden/>
          </w:rPr>
          <w:t>50</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67" w:history="1">
        <w:r w:rsidR="00E62933" w:rsidRPr="00AF02F8">
          <w:rPr>
            <w:rStyle w:val="Hyperlink"/>
            <w:noProof/>
            <w14:scene3d>
              <w14:camera w14:prst="orthographicFront"/>
              <w14:lightRig w14:rig="threePt" w14:dir="t">
                <w14:rot w14:lat="0" w14:lon="0" w14:rev="0"/>
              </w14:lightRig>
            </w14:scene3d>
          </w:rPr>
          <w:t>3.2.1</w:t>
        </w:r>
        <w:r w:rsidR="00E62933">
          <w:rPr>
            <w:rFonts w:asciiTheme="minorHAnsi" w:eastAsiaTheme="minorEastAsia" w:hAnsiTheme="minorHAnsi"/>
            <w:noProof/>
            <w:lang w:eastAsia="en-GB"/>
          </w:rPr>
          <w:tab/>
        </w:r>
        <w:r w:rsidR="00E62933" w:rsidRPr="00AF02F8">
          <w:rPr>
            <w:rStyle w:val="Hyperlink"/>
            <w:noProof/>
          </w:rPr>
          <w:t>Aims</w:t>
        </w:r>
        <w:r w:rsidR="00E62933">
          <w:rPr>
            <w:noProof/>
            <w:webHidden/>
          </w:rPr>
          <w:tab/>
        </w:r>
        <w:r w:rsidR="00E62933">
          <w:rPr>
            <w:noProof/>
            <w:webHidden/>
          </w:rPr>
          <w:fldChar w:fldCharType="begin"/>
        </w:r>
        <w:r w:rsidR="00E62933">
          <w:rPr>
            <w:noProof/>
            <w:webHidden/>
          </w:rPr>
          <w:instrText xml:space="preserve"> PAGEREF _Toc469982267 \h </w:instrText>
        </w:r>
        <w:r w:rsidR="00E62933">
          <w:rPr>
            <w:noProof/>
            <w:webHidden/>
          </w:rPr>
        </w:r>
        <w:r w:rsidR="00E62933">
          <w:rPr>
            <w:noProof/>
            <w:webHidden/>
          </w:rPr>
          <w:fldChar w:fldCharType="separate"/>
        </w:r>
        <w:r w:rsidR="00E0714D">
          <w:rPr>
            <w:noProof/>
            <w:webHidden/>
          </w:rPr>
          <w:t>52</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68" w:history="1">
        <w:r w:rsidR="00E62933" w:rsidRPr="00AF02F8">
          <w:rPr>
            <w:rStyle w:val="Hyperlink"/>
            <w:noProof/>
          </w:rPr>
          <w:t>3.3</w:t>
        </w:r>
        <w:r w:rsidR="00E62933">
          <w:rPr>
            <w:rFonts w:asciiTheme="minorHAnsi" w:eastAsiaTheme="minorEastAsia" w:hAnsiTheme="minorHAnsi"/>
            <w:noProof/>
            <w:lang w:eastAsia="en-GB"/>
          </w:rPr>
          <w:tab/>
        </w:r>
        <w:r w:rsidR="00E62933" w:rsidRPr="00AF02F8">
          <w:rPr>
            <w:rStyle w:val="Hyperlink"/>
            <w:noProof/>
          </w:rPr>
          <w:t>Methods</w:t>
        </w:r>
        <w:r w:rsidR="00E62933">
          <w:rPr>
            <w:noProof/>
            <w:webHidden/>
          </w:rPr>
          <w:tab/>
        </w:r>
        <w:r w:rsidR="00E62933">
          <w:rPr>
            <w:noProof/>
            <w:webHidden/>
          </w:rPr>
          <w:fldChar w:fldCharType="begin"/>
        </w:r>
        <w:r w:rsidR="00E62933">
          <w:rPr>
            <w:noProof/>
            <w:webHidden/>
          </w:rPr>
          <w:instrText xml:space="preserve"> PAGEREF _Toc469982268 \h </w:instrText>
        </w:r>
        <w:r w:rsidR="00E62933">
          <w:rPr>
            <w:noProof/>
            <w:webHidden/>
          </w:rPr>
        </w:r>
        <w:r w:rsidR="00E62933">
          <w:rPr>
            <w:noProof/>
            <w:webHidden/>
          </w:rPr>
          <w:fldChar w:fldCharType="separate"/>
        </w:r>
        <w:r w:rsidR="00E0714D">
          <w:rPr>
            <w:noProof/>
            <w:webHidden/>
          </w:rPr>
          <w:t>52</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69" w:history="1">
        <w:r w:rsidR="00E62933" w:rsidRPr="00AF02F8">
          <w:rPr>
            <w:rStyle w:val="Hyperlink"/>
            <w:noProof/>
            <w14:scene3d>
              <w14:camera w14:prst="orthographicFront"/>
              <w14:lightRig w14:rig="threePt" w14:dir="t">
                <w14:rot w14:lat="0" w14:lon="0" w14:rev="0"/>
              </w14:lightRig>
            </w14:scene3d>
          </w:rPr>
          <w:t>3.3.1</w:t>
        </w:r>
        <w:r w:rsidR="00E62933">
          <w:rPr>
            <w:rFonts w:asciiTheme="minorHAnsi" w:eastAsiaTheme="minorEastAsia" w:hAnsiTheme="minorHAnsi"/>
            <w:noProof/>
            <w:lang w:eastAsia="en-GB"/>
          </w:rPr>
          <w:tab/>
        </w:r>
        <w:r w:rsidR="00E62933" w:rsidRPr="00AF02F8">
          <w:rPr>
            <w:rStyle w:val="Hyperlink"/>
            <w:noProof/>
          </w:rPr>
          <w:t>Study site selection</w:t>
        </w:r>
        <w:r w:rsidR="00E62933">
          <w:rPr>
            <w:noProof/>
            <w:webHidden/>
          </w:rPr>
          <w:tab/>
        </w:r>
        <w:r w:rsidR="00E62933">
          <w:rPr>
            <w:noProof/>
            <w:webHidden/>
          </w:rPr>
          <w:fldChar w:fldCharType="begin"/>
        </w:r>
        <w:r w:rsidR="00E62933">
          <w:rPr>
            <w:noProof/>
            <w:webHidden/>
          </w:rPr>
          <w:instrText xml:space="preserve"> PAGEREF _Toc469982269 \h </w:instrText>
        </w:r>
        <w:r w:rsidR="00E62933">
          <w:rPr>
            <w:noProof/>
            <w:webHidden/>
          </w:rPr>
        </w:r>
        <w:r w:rsidR="00E62933">
          <w:rPr>
            <w:noProof/>
            <w:webHidden/>
          </w:rPr>
          <w:fldChar w:fldCharType="separate"/>
        </w:r>
        <w:r w:rsidR="00E0714D">
          <w:rPr>
            <w:noProof/>
            <w:webHidden/>
          </w:rPr>
          <w:t>52</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70" w:history="1">
        <w:r w:rsidR="00E62933" w:rsidRPr="00AF02F8">
          <w:rPr>
            <w:rStyle w:val="Hyperlink"/>
            <w:noProof/>
            <w14:scene3d>
              <w14:camera w14:prst="orthographicFront"/>
              <w14:lightRig w14:rig="threePt" w14:dir="t">
                <w14:rot w14:lat="0" w14:lon="0" w14:rev="0"/>
              </w14:lightRig>
            </w14:scene3d>
          </w:rPr>
          <w:t>3.3.2</w:t>
        </w:r>
        <w:r w:rsidR="00E62933">
          <w:rPr>
            <w:rFonts w:asciiTheme="minorHAnsi" w:eastAsiaTheme="minorEastAsia" w:hAnsiTheme="minorHAnsi"/>
            <w:noProof/>
            <w:lang w:eastAsia="en-GB"/>
          </w:rPr>
          <w:tab/>
        </w:r>
        <w:r w:rsidR="00E62933" w:rsidRPr="00AF02F8">
          <w:rPr>
            <w:rStyle w:val="Hyperlink"/>
            <w:noProof/>
          </w:rPr>
          <w:t>Study site vegetation survey and environmental data collection</w:t>
        </w:r>
        <w:r w:rsidR="00E62933">
          <w:rPr>
            <w:noProof/>
            <w:webHidden/>
          </w:rPr>
          <w:tab/>
        </w:r>
        <w:r w:rsidR="00E62933">
          <w:rPr>
            <w:noProof/>
            <w:webHidden/>
          </w:rPr>
          <w:fldChar w:fldCharType="begin"/>
        </w:r>
        <w:r w:rsidR="00E62933">
          <w:rPr>
            <w:noProof/>
            <w:webHidden/>
          </w:rPr>
          <w:instrText xml:space="preserve"> PAGEREF _Toc469982270 \h </w:instrText>
        </w:r>
        <w:r w:rsidR="00E62933">
          <w:rPr>
            <w:noProof/>
            <w:webHidden/>
          </w:rPr>
        </w:r>
        <w:r w:rsidR="00E62933">
          <w:rPr>
            <w:noProof/>
            <w:webHidden/>
          </w:rPr>
          <w:fldChar w:fldCharType="separate"/>
        </w:r>
        <w:r w:rsidR="00E0714D">
          <w:rPr>
            <w:noProof/>
            <w:webHidden/>
          </w:rPr>
          <w:t>54</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71" w:history="1">
        <w:r w:rsidR="00E62933" w:rsidRPr="00AF02F8">
          <w:rPr>
            <w:rStyle w:val="Hyperlink"/>
            <w:noProof/>
            <w14:scene3d>
              <w14:camera w14:prst="orthographicFront"/>
              <w14:lightRig w14:rig="threePt" w14:dir="t">
                <w14:rot w14:lat="0" w14:lon="0" w14:rev="0"/>
              </w14:lightRig>
            </w14:scene3d>
          </w:rPr>
          <w:t>3.3.3</w:t>
        </w:r>
        <w:r w:rsidR="00E62933">
          <w:rPr>
            <w:rFonts w:asciiTheme="minorHAnsi" w:eastAsiaTheme="minorEastAsia" w:hAnsiTheme="minorHAnsi"/>
            <w:noProof/>
            <w:lang w:eastAsia="en-GB"/>
          </w:rPr>
          <w:tab/>
        </w:r>
        <w:r w:rsidR="00E62933" w:rsidRPr="00AF02F8">
          <w:rPr>
            <w:rStyle w:val="Hyperlink"/>
            <w:noProof/>
          </w:rPr>
          <w:t>Soil sampling and growth of AMF bait plants</w:t>
        </w:r>
        <w:r w:rsidR="00E62933">
          <w:rPr>
            <w:noProof/>
            <w:webHidden/>
          </w:rPr>
          <w:tab/>
        </w:r>
        <w:r w:rsidR="00E62933">
          <w:rPr>
            <w:noProof/>
            <w:webHidden/>
          </w:rPr>
          <w:fldChar w:fldCharType="begin"/>
        </w:r>
        <w:r w:rsidR="00E62933">
          <w:rPr>
            <w:noProof/>
            <w:webHidden/>
          </w:rPr>
          <w:instrText xml:space="preserve"> PAGEREF _Toc469982271 \h </w:instrText>
        </w:r>
        <w:r w:rsidR="00E62933">
          <w:rPr>
            <w:noProof/>
            <w:webHidden/>
          </w:rPr>
        </w:r>
        <w:r w:rsidR="00E62933">
          <w:rPr>
            <w:noProof/>
            <w:webHidden/>
          </w:rPr>
          <w:fldChar w:fldCharType="separate"/>
        </w:r>
        <w:r w:rsidR="00E0714D">
          <w:rPr>
            <w:noProof/>
            <w:webHidden/>
          </w:rPr>
          <w:t>55</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72" w:history="1">
        <w:r w:rsidR="00E62933" w:rsidRPr="00AF02F8">
          <w:rPr>
            <w:rStyle w:val="Hyperlink"/>
            <w:noProof/>
            <w14:scene3d>
              <w14:camera w14:prst="orthographicFront"/>
              <w14:lightRig w14:rig="threePt" w14:dir="t">
                <w14:rot w14:lat="0" w14:lon="0" w14:rev="0"/>
              </w14:lightRig>
            </w14:scene3d>
          </w:rPr>
          <w:t>3.3.4</w:t>
        </w:r>
        <w:r w:rsidR="00E62933">
          <w:rPr>
            <w:rFonts w:asciiTheme="minorHAnsi" w:eastAsiaTheme="minorEastAsia" w:hAnsiTheme="minorHAnsi"/>
            <w:noProof/>
            <w:lang w:eastAsia="en-GB"/>
          </w:rPr>
          <w:tab/>
        </w:r>
        <w:r w:rsidR="00E62933" w:rsidRPr="00AF02F8">
          <w:rPr>
            <w:rStyle w:val="Hyperlink"/>
            <w:noProof/>
          </w:rPr>
          <w:t>DNA extraction</w:t>
        </w:r>
        <w:r w:rsidR="00E62933">
          <w:rPr>
            <w:noProof/>
            <w:webHidden/>
          </w:rPr>
          <w:tab/>
        </w:r>
        <w:r w:rsidR="00E62933">
          <w:rPr>
            <w:noProof/>
            <w:webHidden/>
          </w:rPr>
          <w:fldChar w:fldCharType="begin"/>
        </w:r>
        <w:r w:rsidR="00E62933">
          <w:rPr>
            <w:noProof/>
            <w:webHidden/>
          </w:rPr>
          <w:instrText xml:space="preserve"> PAGEREF _Toc469982272 \h </w:instrText>
        </w:r>
        <w:r w:rsidR="00E62933">
          <w:rPr>
            <w:noProof/>
            <w:webHidden/>
          </w:rPr>
        </w:r>
        <w:r w:rsidR="00E62933">
          <w:rPr>
            <w:noProof/>
            <w:webHidden/>
          </w:rPr>
          <w:fldChar w:fldCharType="separate"/>
        </w:r>
        <w:r w:rsidR="00E0714D">
          <w:rPr>
            <w:noProof/>
            <w:webHidden/>
          </w:rPr>
          <w:t>55</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73" w:history="1">
        <w:r w:rsidR="00E62933" w:rsidRPr="00AF02F8">
          <w:rPr>
            <w:rStyle w:val="Hyperlink"/>
            <w:noProof/>
            <w14:scene3d>
              <w14:camera w14:prst="orthographicFront"/>
              <w14:lightRig w14:rig="threePt" w14:dir="t">
                <w14:rot w14:lat="0" w14:lon="0" w14:rev="0"/>
              </w14:lightRig>
            </w14:scene3d>
          </w:rPr>
          <w:t>3.3.5</w:t>
        </w:r>
        <w:r w:rsidR="00E62933">
          <w:rPr>
            <w:rFonts w:asciiTheme="minorHAnsi" w:eastAsiaTheme="minorEastAsia" w:hAnsiTheme="minorHAnsi"/>
            <w:noProof/>
            <w:lang w:eastAsia="en-GB"/>
          </w:rPr>
          <w:tab/>
        </w:r>
        <w:r w:rsidR="00E62933" w:rsidRPr="00AF02F8">
          <w:rPr>
            <w:rStyle w:val="Hyperlink"/>
            <w:noProof/>
          </w:rPr>
          <w:t>TRFLP analysis</w:t>
        </w:r>
        <w:r w:rsidR="00E62933">
          <w:rPr>
            <w:noProof/>
            <w:webHidden/>
          </w:rPr>
          <w:tab/>
        </w:r>
        <w:r w:rsidR="00E62933">
          <w:rPr>
            <w:noProof/>
            <w:webHidden/>
          </w:rPr>
          <w:fldChar w:fldCharType="begin"/>
        </w:r>
        <w:r w:rsidR="00E62933">
          <w:rPr>
            <w:noProof/>
            <w:webHidden/>
          </w:rPr>
          <w:instrText xml:space="preserve"> PAGEREF _Toc469982273 \h </w:instrText>
        </w:r>
        <w:r w:rsidR="00E62933">
          <w:rPr>
            <w:noProof/>
            <w:webHidden/>
          </w:rPr>
        </w:r>
        <w:r w:rsidR="00E62933">
          <w:rPr>
            <w:noProof/>
            <w:webHidden/>
          </w:rPr>
          <w:fldChar w:fldCharType="separate"/>
        </w:r>
        <w:r w:rsidR="00E0714D">
          <w:rPr>
            <w:noProof/>
            <w:webHidden/>
          </w:rPr>
          <w:t>55</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74" w:history="1">
        <w:r w:rsidR="00E62933" w:rsidRPr="00AF02F8">
          <w:rPr>
            <w:rStyle w:val="Hyperlink"/>
            <w:noProof/>
            <w14:scene3d>
              <w14:camera w14:prst="orthographicFront"/>
              <w14:lightRig w14:rig="threePt" w14:dir="t">
                <w14:rot w14:lat="0" w14:lon="0" w14:rev="0"/>
              </w14:lightRig>
            </w14:scene3d>
          </w:rPr>
          <w:t>3.3.6</w:t>
        </w:r>
        <w:r w:rsidR="00E62933">
          <w:rPr>
            <w:rFonts w:asciiTheme="minorHAnsi" w:eastAsiaTheme="minorEastAsia" w:hAnsiTheme="minorHAnsi"/>
            <w:noProof/>
            <w:lang w:eastAsia="en-GB"/>
          </w:rPr>
          <w:tab/>
        </w:r>
        <w:r w:rsidR="00E62933" w:rsidRPr="00AF02F8">
          <w:rPr>
            <w:rStyle w:val="Hyperlink"/>
            <w:noProof/>
          </w:rPr>
          <w:t>TRFLP data analysis</w:t>
        </w:r>
        <w:r w:rsidR="00E62933">
          <w:rPr>
            <w:noProof/>
            <w:webHidden/>
          </w:rPr>
          <w:tab/>
        </w:r>
        <w:r w:rsidR="00E62933">
          <w:rPr>
            <w:noProof/>
            <w:webHidden/>
          </w:rPr>
          <w:fldChar w:fldCharType="begin"/>
        </w:r>
        <w:r w:rsidR="00E62933">
          <w:rPr>
            <w:noProof/>
            <w:webHidden/>
          </w:rPr>
          <w:instrText xml:space="preserve"> PAGEREF _Toc469982274 \h </w:instrText>
        </w:r>
        <w:r w:rsidR="00E62933">
          <w:rPr>
            <w:noProof/>
            <w:webHidden/>
          </w:rPr>
        </w:r>
        <w:r w:rsidR="00E62933">
          <w:rPr>
            <w:noProof/>
            <w:webHidden/>
          </w:rPr>
          <w:fldChar w:fldCharType="separate"/>
        </w:r>
        <w:r w:rsidR="00E0714D">
          <w:rPr>
            <w:noProof/>
            <w:webHidden/>
          </w:rPr>
          <w:t>56</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75" w:history="1">
        <w:r w:rsidR="00E62933" w:rsidRPr="00AF02F8">
          <w:rPr>
            <w:rStyle w:val="Hyperlink"/>
            <w:noProof/>
            <w14:scene3d>
              <w14:camera w14:prst="orthographicFront"/>
              <w14:lightRig w14:rig="threePt" w14:dir="t">
                <w14:rot w14:lat="0" w14:lon="0" w14:rev="0"/>
              </w14:lightRig>
            </w14:scene3d>
          </w:rPr>
          <w:t>3.3.7</w:t>
        </w:r>
        <w:r w:rsidR="00E62933">
          <w:rPr>
            <w:rFonts w:asciiTheme="minorHAnsi" w:eastAsiaTheme="minorEastAsia" w:hAnsiTheme="minorHAnsi"/>
            <w:noProof/>
            <w:lang w:eastAsia="en-GB"/>
          </w:rPr>
          <w:tab/>
        </w:r>
        <w:r w:rsidR="00E62933" w:rsidRPr="00AF02F8">
          <w:rPr>
            <w:rStyle w:val="Hyperlink"/>
            <w:noProof/>
          </w:rPr>
          <w:t>Illumina Sequencing</w:t>
        </w:r>
        <w:r w:rsidR="00E62933">
          <w:rPr>
            <w:noProof/>
            <w:webHidden/>
          </w:rPr>
          <w:tab/>
        </w:r>
        <w:r w:rsidR="00E62933">
          <w:rPr>
            <w:noProof/>
            <w:webHidden/>
          </w:rPr>
          <w:fldChar w:fldCharType="begin"/>
        </w:r>
        <w:r w:rsidR="00E62933">
          <w:rPr>
            <w:noProof/>
            <w:webHidden/>
          </w:rPr>
          <w:instrText xml:space="preserve"> PAGEREF _Toc469982275 \h </w:instrText>
        </w:r>
        <w:r w:rsidR="00E62933">
          <w:rPr>
            <w:noProof/>
            <w:webHidden/>
          </w:rPr>
        </w:r>
        <w:r w:rsidR="00E62933">
          <w:rPr>
            <w:noProof/>
            <w:webHidden/>
          </w:rPr>
          <w:fldChar w:fldCharType="separate"/>
        </w:r>
        <w:r w:rsidR="00E0714D">
          <w:rPr>
            <w:noProof/>
            <w:webHidden/>
          </w:rPr>
          <w:t>58</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76" w:history="1">
        <w:r w:rsidR="00E62933" w:rsidRPr="00AF02F8">
          <w:rPr>
            <w:rStyle w:val="Hyperlink"/>
            <w:noProof/>
          </w:rPr>
          <w:t>3.4</w:t>
        </w:r>
        <w:r w:rsidR="00E62933">
          <w:rPr>
            <w:rFonts w:asciiTheme="minorHAnsi" w:eastAsiaTheme="minorEastAsia" w:hAnsiTheme="minorHAnsi"/>
            <w:noProof/>
            <w:lang w:eastAsia="en-GB"/>
          </w:rPr>
          <w:tab/>
        </w:r>
        <w:r w:rsidR="00E62933" w:rsidRPr="00AF02F8">
          <w:rPr>
            <w:rStyle w:val="Hyperlink"/>
            <w:noProof/>
          </w:rPr>
          <w:t>Results</w:t>
        </w:r>
        <w:r w:rsidR="00E62933">
          <w:rPr>
            <w:noProof/>
            <w:webHidden/>
          </w:rPr>
          <w:tab/>
        </w:r>
        <w:r w:rsidR="00E62933">
          <w:rPr>
            <w:noProof/>
            <w:webHidden/>
          </w:rPr>
          <w:fldChar w:fldCharType="begin"/>
        </w:r>
        <w:r w:rsidR="00E62933">
          <w:rPr>
            <w:noProof/>
            <w:webHidden/>
          </w:rPr>
          <w:instrText xml:space="preserve"> PAGEREF _Toc469982276 \h </w:instrText>
        </w:r>
        <w:r w:rsidR="00E62933">
          <w:rPr>
            <w:noProof/>
            <w:webHidden/>
          </w:rPr>
        </w:r>
        <w:r w:rsidR="00E62933">
          <w:rPr>
            <w:noProof/>
            <w:webHidden/>
          </w:rPr>
          <w:fldChar w:fldCharType="separate"/>
        </w:r>
        <w:r w:rsidR="00E0714D">
          <w:rPr>
            <w:noProof/>
            <w:webHidden/>
          </w:rPr>
          <w:t>73</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77" w:history="1">
        <w:r w:rsidR="00E62933" w:rsidRPr="00AF02F8">
          <w:rPr>
            <w:rStyle w:val="Hyperlink"/>
            <w:noProof/>
            <w14:scene3d>
              <w14:camera w14:prst="orthographicFront"/>
              <w14:lightRig w14:rig="threePt" w14:dir="t">
                <w14:rot w14:lat="0" w14:lon="0" w14:rev="0"/>
              </w14:lightRig>
            </w14:scene3d>
          </w:rPr>
          <w:t>3.4.1</w:t>
        </w:r>
        <w:r w:rsidR="00E62933">
          <w:rPr>
            <w:rFonts w:asciiTheme="minorHAnsi" w:eastAsiaTheme="minorEastAsia" w:hAnsiTheme="minorHAnsi"/>
            <w:noProof/>
            <w:lang w:eastAsia="en-GB"/>
          </w:rPr>
          <w:tab/>
        </w:r>
        <w:r w:rsidR="00E62933" w:rsidRPr="00AF02F8">
          <w:rPr>
            <w:rStyle w:val="Hyperlink"/>
            <w:noProof/>
          </w:rPr>
          <w:t>Comparison between AMF communities of three orchard types, woodland and arable fields using TRFLP</w:t>
        </w:r>
        <w:r w:rsidR="00E62933">
          <w:rPr>
            <w:noProof/>
            <w:webHidden/>
          </w:rPr>
          <w:tab/>
        </w:r>
        <w:r w:rsidR="00E62933">
          <w:rPr>
            <w:noProof/>
            <w:webHidden/>
          </w:rPr>
          <w:fldChar w:fldCharType="begin"/>
        </w:r>
        <w:r w:rsidR="00E62933">
          <w:rPr>
            <w:noProof/>
            <w:webHidden/>
          </w:rPr>
          <w:instrText xml:space="preserve"> PAGEREF _Toc469982277 \h </w:instrText>
        </w:r>
        <w:r w:rsidR="00E62933">
          <w:rPr>
            <w:noProof/>
            <w:webHidden/>
          </w:rPr>
        </w:r>
        <w:r w:rsidR="00E62933">
          <w:rPr>
            <w:noProof/>
            <w:webHidden/>
          </w:rPr>
          <w:fldChar w:fldCharType="separate"/>
        </w:r>
        <w:r w:rsidR="00E0714D">
          <w:rPr>
            <w:noProof/>
            <w:webHidden/>
          </w:rPr>
          <w:t>73</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78" w:history="1">
        <w:r w:rsidR="00E62933" w:rsidRPr="00AF02F8">
          <w:rPr>
            <w:rStyle w:val="Hyperlink"/>
            <w:noProof/>
            <w14:scene3d>
              <w14:camera w14:prst="orthographicFront"/>
              <w14:lightRig w14:rig="threePt" w14:dir="t">
                <w14:rot w14:lat="0" w14:lon="0" w14:rev="0"/>
              </w14:lightRig>
            </w14:scene3d>
          </w:rPr>
          <w:t>3.4.2</w:t>
        </w:r>
        <w:r w:rsidR="00E62933">
          <w:rPr>
            <w:rFonts w:asciiTheme="minorHAnsi" w:eastAsiaTheme="minorEastAsia" w:hAnsiTheme="minorHAnsi"/>
            <w:noProof/>
            <w:lang w:eastAsia="en-GB"/>
          </w:rPr>
          <w:tab/>
        </w:r>
        <w:r w:rsidR="00E62933" w:rsidRPr="00AF02F8">
          <w:rPr>
            <w:rStyle w:val="Hyperlink"/>
            <w:noProof/>
          </w:rPr>
          <w:t>Characterisation and comparison of AMF communities found within three orchard management types, woodland and arable using Illumina Sequencing</w:t>
        </w:r>
        <w:r w:rsidR="00E62933">
          <w:rPr>
            <w:noProof/>
            <w:webHidden/>
          </w:rPr>
          <w:tab/>
        </w:r>
        <w:r w:rsidR="00E62933">
          <w:rPr>
            <w:noProof/>
            <w:webHidden/>
          </w:rPr>
          <w:fldChar w:fldCharType="begin"/>
        </w:r>
        <w:r w:rsidR="00E62933">
          <w:rPr>
            <w:noProof/>
            <w:webHidden/>
          </w:rPr>
          <w:instrText xml:space="preserve"> PAGEREF _Toc469982278 \h </w:instrText>
        </w:r>
        <w:r w:rsidR="00E62933">
          <w:rPr>
            <w:noProof/>
            <w:webHidden/>
          </w:rPr>
        </w:r>
        <w:r w:rsidR="00E62933">
          <w:rPr>
            <w:noProof/>
            <w:webHidden/>
          </w:rPr>
          <w:fldChar w:fldCharType="separate"/>
        </w:r>
        <w:r w:rsidR="00E0714D">
          <w:rPr>
            <w:noProof/>
            <w:webHidden/>
          </w:rPr>
          <w:t>82</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79" w:history="1">
        <w:r w:rsidR="00E62933" w:rsidRPr="00AF02F8">
          <w:rPr>
            <w:rStyle w:val="Hyperlink"/>
            <w:noProof/>
            <w14:scene3d>
              <w14:camera w14:prst="orthographicFront"/>
              <w14:lightRig w14:rig="threePt" w14:dir="t">
                <w14:rot w14:lat="0" w14:lon="0" w14:rev="0"/>
              </w14:lightRig>
            </w14:scene3d>
          </w:rPr>
          <w:t>3.4.3</w:t>
        </w:r>
        <w:r w:rsidR="00E62933">
          <w:rPr>
            <w:rFonts w:asciiTheme="minorHAnsi" w:eastAsiaTheme="minorEastAsia" w:hAnsiTheme="minorHAnsi"/>
            <w:noProof/>
            <w:lang w:eastAsia="en-GB"/>
          </w:rPr>
          <w:tab/>
        </w:r>
        <w:r w:rsidR="00E62933" w:rsidRPr="00AF02F8">
          <w:rPr>
            <w:rStyle w:val="Hyperlink"/>
            <w:noProof/>
          </w:rPr>
          <w:t>Comparison of TRFLP and Illumina Sequencing for AMF richness and community structure</w:t>
        </w:r>
        <w:r w:rsidR="00E62933">
          <w:rPr>
            <w:noProof/>
            <w:webHidden/>
          </w:rPr>
          <w:tab/>
        </w:r>
        <w:r w:rsidR="00E62933">
          <w:rPr>
            <w:noProof/>
            <w:webHidden/>
          </w:rPr>
          <w:fldChar w:fldCharType="begin"/>
        </w:r>
        <w:r w:rsidR="00E62933">
          <w:rPr>
            <w:noProof/>
            <w:webHidden/>
          </w:rPr>
          <w:instrText xml:space="preserve"> PAGEREF _Toc469982279 \h </w:instrText>
        </w:r>
        <w:r w:rsidR="00E62933">
          <w:rPr>
            <w:noProof/>
            <w:webHidden/>
          </w:rPr>
        </w:r>
        <w:r w:rsidR="00E62933">
          <w:rPr>
            <w:noProof/>
            <w:webHidden/>
          </w:rPr>
          <w:fldChar w:fldCharType="separate"/>
        </w:r>
        <w:r w:rsidR="00E0714D">
          <w:rPr>
            <w:noProof/>
            <w:webHidden/>
          </w:rPr>
          <w:t>92</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80" w:history="1">
        <w:r w:rsidR="00E62933" w:rsidRPr="00AF02F8">
          <w:rPr>
            <w:rStyle w:val="Hyperlink"/>
            <w:noProof/>
          </w:rPr>
          <w:t>3.5</w:t>
        </w:r>
        <w:r w:rsidR="00E62933">
          <w:rPr>
            <w:rFonts w:asciiTheme="minorHAnsi" w:eastAsiaTheme="minorEastAsia" w:hAnsiTheme="minorHAnsi"/>
            <w:noProof/>
            <w:lang w:eastAsia="en-GB"/>
          </w:rPr>
          <w:tab/>
        </w:r>
        <w:r w:rsidR="00E62933" w:rsidRPr="00AF02F8">
          <w:rPr>
            <w:rStyle w:val="Hyperlink"/>
            <w:noProof/>
          </w:rPr>
          <w:t>Discussion</w:t>
        </w:r>
        <w:r w:rsidR="00E62933">
          <w:rPr>
            <w:noProof/>
            <w:webHidden/>
          </w:rPr>
          <w:tab/>
        </w:r>
        <w:r w:rsidR="00E62933">
          <w:rPr>
            <w:noProof/>
            <w:webHidden/>
          </w:rPr>
          <w:fldChar w:fldCharType="begin"/>
        </w:r>
        <w:r w:rsidR="00E62933">
          <w:rPr>
            <w:noProof/>
            <w:webHidden/>
          </w:rPr>
          <w:instrText xml:space="preserve"> PAGEREF _Toc469982280 \h </w:instrText>
        </w:r>
        <w:r w:rsidR="00E62933">
          <w:rPr>
            <w:noProof/>
            <w:webHidden/>
          </w:rPr>
        </w:r>
        <w:r w:rsidR="00E62933">
          <w:rPr>
            <w:noProof/>
            <w:webHidden/>
          </w:rPr>
          <w:fldChar w:fldCharType="separate"/>
        </w:r>
        <w:r w:rsidR="00E0714D">
          <w:rPr>
            <w:noProof/>
            <w:webHidden/>
          </w:rPr>
          <w:t>97</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81" w:history="1">
        <w:r w:rsidR="00E62933" w:rsidRPr="00AF02F8">
          <w:rPr>
            <w:rStyle w:val="Hyperlink"/>
            <w:noProof/>
            <w14:scene3d>
              <w14:camera w14:prst="orthographicFront"/>
              <w14:lightRig w14:rig="threePt" w14:dir="t">
                <w14:rot w14:lat="0" w14:lon="0" w14:rev="0"/>
              </w14:lightRig>
            </w14:scene3d>
          </w:rPr>
          <w:t>3.5.1</w:t>
        </w:r>
        <w:r w:rsidR="00E62933">
          <w:rPr>
            <w:rFonts w:asciiTheme="minorHAnsi" w:eastAsiaTheme="minorEastAsia" w:hAnsiTheme="minorHAnsi"/>
            <w:noProof/>
            <w:lang w:eastAsia="en-GB"/>
          </w:rPr>
          <w:tab/>
        </w:r>
        <w:r w:rsidR="00E62933" w:rsidRPr="00AF02F8">
          <w:rPr>
            <w:rStyle w:val="Hyperlink"/>
            <w:noProof/>
          </w:rPr>
          <w:t>Characterisation and comparison of AMF communities within three apple orchard management types</w:t>
        </w:r>
        <w:r w:rsidR="00E62933">
          <w:rPr>
            <w:noProof/>
            <w:webHidden/>
          </w:rPr>
          <w:tab/>
        </w:r>
        <w:r w:rsidR="00E62933">
          <w:rPr>
            <w:noProof/>
            <w:webHidden/>
          </w:rPr>
          <w:fldChar w:fldCharType="begin"/>
        </w:r>
        <w:r w:rsidR="00E62933">
          <w:rPr>
            <w:noProof/>
            <w:webHidden/>
          </w:rPr>
          <w:instrText xml:space="preserve"> PAGEREF _Toc469982281 \h </w:instrText>
        </w:r>
        <w:r w:rsidR="00E62933">
          <w:rPr>
            <w:noProof/>
            <w:webHidden/>
          </w:rPr>
        </w:r>
        <w:r w:rsidR="00E62933">
          <w:rPr>
            <w:noProof/>
            <w:webHidden/>
          </w:rPr>
          <w:fldChar w:fldCharType="separate"/>
        </w:r>
        <w:r w:rsidR="00E0714D">
          <w:rPr>
            <w:noProof/>
            <w:webHidden/>
          </w:rPr>
          <w:t>97</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82" w:history="1">
        <w:r w:rsidR="00E62933" w:rsidRPr="00AF02F8">
          <w:rPr>
            <w:rStyle w:val="Hyperlink"/>
            <w:noProof/>
            <w14:scene3d>
              <w14:camera w14:prst="orthographicFront"/>
              <w14:lightRig w14:rig="threePt" w14:dir="t">
                <w14:rot w14:lat="0" w14:lon="0" w14:rev="0"/>
              </w14:lightRig>
            </w14:scene3d>
          </w:rPr>
          <w:t>3.5.2</w:t>
        </w:r>
        <w:r w:rsidR="00E62933">
          <w:rPr>
            <w:rFonts w:asciiTheme="minorHAnsi" w:eastAsiaTheme="minorEastAsia" w:hAnsiTheme="minorHAnsi"/>
            <w:noProof/>
            <w:lang w:eastAsia="en-GB"/>
          </w:rPr>
          <w:tab/>
        </w:r>
        <w:r w:rsidR="00E62933" w:rsidRPr="00AF02F8">
          <w:rPr>
            <w:rStyle w:val="Hyperlink"/>
            <w:noProof/>
          </w:rPr>
          <w:t>AMF communities of orchard and woodland soils</w:t>
        </w:r>
        <w:r w:rsidR="00E62933">
          <w:rPr>
            <w:noProof/>
            <w:webHidden/>
          </w:rPr>
          <w:tab/>
        </w:r>
        <w:r w:rsidR="00E62933">
          <w:rPr>
            <w:noProof/>
            <w:webHidden/>
          </w:rPr>
          <w:fldChar w:fldCharType="begin"/>
        </w:r>
        <w:r w:rsidR="00E62933">
          <w:rPr>
            <w:noProof/>
            <w:webHidden/>
          </w:rPr>
          <w:instrText xml:space="preserve"> PAGEREF _Toc469982282 \h </w:instrText>
        </w:r>
        <w:r w:rsidR="00E62933">
          <w:rPr>
            <w:noProof/>
            <w:webHidden/>
          </w:rPr>
        </w:r>
        <w:r w:rsidR="00E62933">
          <w:rPr>
            <w:noProof/>
            <w:webHidden/>
          </w:rPr>
          <w:fldChar w:fldCharType="separate"/>
        </w:r>
        <w:r w:rsidR="00E0714D">
          <w:rPr>
            <w:noProof/>
            <w:webHidden/>
          </w:rPr>
          <w:t>99</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83" w:history="1">
        <w:r w:rsidR="00E62933" w:rsidRPr="00AF02F8">
          <w:rPr>
            <w:rStyle w:val="Hyperlink"/>
            <w:noProof/>
            <w14:scene3d>
              <w14:camera w14:prst="orthographicFront"/>
              <w14:lightRig w14:rig="threePt" w14:dir="t">
                <w14:rot w14:lat="0" w14:lon="0" w14:rev="0"/>
              </w14:lightRig>
            </w14:scene3d>
          </w:rPr>
          <w:t>3.5.3</w:t>
        </w:r>
        <w:r w:rsidR="00E62933">
          <w:rPr>
            <w:rFonts w:asciiTheme="minorHAnsi" w:eastAsiaTheme="minorEastAsia" w:hAnsiTheme="minorHAnsi"/>
            <w:noProof/>
            <w:lang w:eastAsia="en-GB"/>
          </w:rPr>
          <w:tab/>
        </w:r>
        <w:r w:rsidR="00E62933" w:rsidRPr="00AF02F8">
          <w:rPr>
            <w:rStyle w:val="Hyperlink"/>
            <w:noProof/>
          </w:rPr>
          <w:t>Contrast between arable AMF communities compared to those of orchard and woodland soils</w:t>
        </w:r>
        <w:r w:rsidR="00E62933">
          <w:rPr>
            <w:noProof/>
            <w:webHidden/>
          </w:rPr>
          <w:tab/>
        </w:r>
        <w:r w:rsidR="00E62933">
          <w:rPr>
            <w:noProof/>
            <w:webHidden/>
          </w:rPr>
          <w:fldChar w:fldCharType="begin"/>
        </w:r>
        <w:r w:rsidR="00E62933">
          <w:rPr>
            <w:noProof/>
            <w:webHidden/>
          </w:rPr>
          <w:instrText xml:space="preserve"> PAGEREF _Toc469982283 \h </w:instrText>
        </w:r>
        <w:r w:rsidR="00E62933">
          <w:rPr>
            <w:noProof/>
            <w:webHidden/>
          </w:rPr>
        </w:r>
        <w:r w:rsidR="00E62933">
          <w:rPr>
            <w:noProof/>
            <w:webHidden/>
          </w:rPr>
          <w:fldChar w:fldCharType="separate"/>
        </w:r>
        <w:r w:rsidR="00E0714D">
          <w:rPr>
            <w:noProof/>
            <w:webHidden/>
          </w:rPr>
          <w:t>100</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84" w:history="1">
        <w:r w:rsidR="00E62933" w:rsidRPr="00AF02F8">
          <w:rPr>
            <w:rStyle w:val="Hyperlink"/>
            <w:noProof/>
            <w14:scene3d>
              <w14:camera w14:prst="orthographicFront"/>
              <w14:lightRig w14:rig="threePt" w14:dir="t">
                <w14:rot w14:lat="0" w14:lon="0" w14:rev="0"/>
              </w14:lightRig>
            </w14:scene3d>
          </w:rPr>
          <w:t>3.5.4</w:t>
        </w:r>
        <w:r w:rsidR="00E62933">
          <w:rPr>
            <w:rFonts w:asciiTheme="minorHAnsi" w:eastAsiaTheme="minorEastAsia" w:hAnsiTheme="minorHAnsi"/>
            <w:noProof/>
            <w:lang w:eastAsia="en-GB"/>
          </w:rPr>
          <w:tab/>
        </w:r>
        <w:r w:rsidR="00E62933" w:rsidRPr="00AF02F8">
          <w:rPr>
            <w:rStyle w:val="Hyperlink"/>
            <w:noProof/>
          </w:rPr>
          <w:t>Effect of leek bait plant system on characterising soil AMF communities</w:t>
        </w:r>
        <w:r w:rsidR="00E62933">
          <w:rPr>
            <w:noProof/>
            <w:webHidden/>
          </w:rPr>
          <w:tab/>
        </w:r>
        <w:r w:rsidR="00E62933">
          <w:rPr>
            <w:noProof/>
            <w:webHidden/>
          </w:rPr>
          <w:fldChar w:fldCharType="begin"/>
        </w:r>
        <w:r w:rsidR="00E62933">
          <w:rPr>
            <w:noProof/>
            <w:webHidden/>
          </w:rPr>
          <w:instrText xml:space="preserve"> PAGEREF _Toc469982284 \h </w:instrText>
        </w:r>
        <w:r w:rsidR="00E62933">
          <w:rPr>
            <w:noProof/>
            <w:webHidden/>
          </w:rPr>
        </w:r>
        <w:r w:rsidR="00E62933">
          <w:rPr>
            <w:noProof/>
            <w:webHidden/>
          </w:rPr>
          <w:fldChar w:fldCharType="separate"/>
        </w:r>
        <w:r w:rsidR="00E0714D">
          <w:rPr>
            <w:noProof/>
            <w:webHidden/>
          </w:rPr>
          <w:t>101</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85" w:history="1">
        <w:r w:rsidR="00E62933" w:rsidRPr="00AF02F8">
          <w:rPr>
            <w:rStyle w:val="Hyperlink"/>
            <w:noProof/>
          </w:rPr>
          <w:t>3.6</w:t>
        </w:r>
        <w:r w:rsidR="00E62933">
          <w:rPr>
            <w:rFonts w:asciiTheme="minorHAnsi" w:eastAsiaTheme="minorEastAsia" w:hAnsiTheme="minorHAnsi"/>
            <w:noProof/>
            <w:lang w:eastAsia="en-GB"/>
          </w:rPr>
          <w:tab/>
        </w:r>
        <w:r w:rsidR="00E62933" w:rsidRPr="00AF02F8">
          <w:rPr>
            <w:rStyle w:val="Hyperlink"/>
            <w:noProof/>
          </w:rPr>
          <w:t>Conclusion</w:t>
        </w:r>
        <w:r w:rsidR="00E62933">
          <w:rPr>
            <w:noProof/>
            <w:webHidden/>
          </w:rPr>
          <w:tab/>
        </w:r>
        <w:r w:rsidR="00E62933">
          <w:rPr>
            <w:noProof/>
            <w:webHidden/>
          </w:rPr>
          <w:fldChar w:fldCharType="begin"/>
        </w:r>
        <w:r w:rsidR="00E62933">
          <w:rPr>
            <w:noProof/>
            <w:webHidden/>
          </w:rPr>
          <w:instrText xml:space="preserve"> PAGEREF _Toc469982285 \h </w:instrText>
        </w:r>
        <w:r w:rsidR="00E62933">
          <w:rPr>
            <w:noProof/>
            <w:webHidden/>
          </w:rPr>
        </w:r>
        <w:r w:rsidR="00E62933">
          <w:rPr>
            <w:noProof/>
            <w:webHidden/>
          </w:rPr>
          <w:fldChar w:fldCharType="separate"/>
        </w:r>
        <w:r w:rsidR="00E0714D">
          <w:rPr>
            <w:noProof/>
            <w:webHidden/>
          </w:rPr>
          <w:t>102</w:t>
        </w:r>
        <w:r w:rsidR="00E62933">
          <w:rPr>
            <w:noProof/>
            <w:webHidden/>
          </w:rPr>
          <w:fldChar w:fldCharType="end"/>
        </w:r>
      </w:hyperlink>
    </w:p>
    <w:p w:rsidR="00E62933" w:rsidRDefault="00D22275">
      <w:pPr>
        <w:pStyle w:val="TOC1"/>
        <w:tabs>
          <w:tab w:val="right" w:leader="dot" w:pos="8494"/>
        </w:tabs>
        <w:rPr>
          <w:rFonts w:asciiTheme="minorHAnsi" w:eastAsiaTheme="minorEastAsia" w:hAnsiTheme="minorHAnsi"/>
          <w:noProof/>
          <w:lang w:eastAsia="en-GB"/>
        </w:rPr>
      </w:pPr>
      <w:hyperlink w:anchor="_Toc469982286" w:history="1">
        <w:r w:rsidR="00E62933" w:rsidRPr="00AF02F8">
          <w:rPr>
            <w:rStyle w:val="Hyperlink"/>
            <w:noProof/>
          </w:rPr>
          <w:t>Chapter 4</w:t>
        </w:r>
        <w:r w:rsidR="00E62933">
          <w:rPr>
            <w:rFonts w:asciiTheme="minorHAnsi" w:eastAsiaTheme="minorEastAsia" w:hAnsiTheme="minorHAnsi"/>
            <w:noProof/>
            <w:lang w:eastAsia="en-GB"/>
          </w:rPr>
          <w:tab/>
        </w:r>
        <w:r w:rsidR="00E62933" w:rsidRPr="00AF02F8">
          <w:rPr>
            <w:rStyle w:val="Hyperlink"/>
            <w:noProof/>
          </w:rPr>
          <w:t>Investigating the effects of orchard management upon AMF communities colonising apple tree roots and the relationship between AMF richness, taxa abundance and apple yield.</w:t>
        </w:r>
        <w:r w:rsidR="00E62933">
          <w:rPr>
            <w:noProof/>
            <w:webHidden/>
          </w:rPr>
          <w:tab/>
        </w:r>
        <w:r w:rsidR="00E62933">
          <w:rPr>
            <w:noProof/>
            <w:webHidden/>
          </w:rPr>
          <w:fldChar w:fldCharType="begin"/>
        </w:r>
        <w:r w:rsidR="00E62933">
          <w:rPr>
            <w:noProof/>
            <w:webHidden/>
          </w:rPr>
          <w:instrText xml:space="preserve"> PAGEREF _Toc469982286 \h </w:instrText>
        </w:r>
        <w:r w:rsidR="00E62933">
          <w:rPr>
            <w:noProof/>
            <w:webHidden/>
          </w:rPr>
        </w:r>
        <w:r w:rsidR="00E62933">
          <w:rPr>
            <w:noProof/>
            <w:webHidden/>
          </w:rPr>
          <w:fldChar w:fldCharType="separate"/>
        </w:r>
        <w:r w:rsidR="00E0714D">
          <w:rPr>
            <w:noProof/>
            <w:webHidden/>
          </w:rPr>
          <w:t>103</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87" w:history="1">
        <w:r w:rsidR="00E62933" w:rsidRPr="00AF02F8">
          <w:rPr>
            <w:rStyle w:val="Hyperlink"/>
            <w:rFonts w:cs="Times New Roman"/>
            <w:noProof/>
          </w:rPr>
          <w:t>4.1</w:t>
        </w:r>
        <w:r w:rsidR="00E62933">
          <w:rPr>
            <w:rFonts w:asciiTheme="minorHAnsi" w:eastAsiaTheme="minorEastAsia" w:hAnsiTheme="minorHAnsi"/>
            <w:noProof/>
            <w:lang w:eastAsia="en-GB"/>
          </w:rPr>
          <w:tab/>
        </w:r>
        <w:r w:rsidR="00E62933" w:rsidRPr="00AF02F8">
          <w:rPr>
            <w:rStyle w:val="Hyperlink"/>
            <w:rFonts w:cs="Times New Roman"/>
            <w:noProof/>
          </w:rPr>
          <w:t>Summary</w:t>
        </w:r>
        <w:r w:rsidR="00E62933">
          <w:rPr>
            <w:noProof/>
            <w:webHidden/>
          </w:rPr>
          <w:tab/>
        </w:r>
        <w:r w:rsidR="00E62933">
          <w:rPr>
            <w:noProof/>
            <w:webHidden/>
          </w:rPr>
          <w:fldChar w:fldCharType="begin"/>
        </w:r>
        <w:r w:rsidR="00E62933">
          <w:rPr>
            <w:noProof/>
            <w:webHidden/>
          </w:rPr>
          <w:instrText xml:space="preserve"> PAGEREF _Toc469982287 \h </w:instrText>
        </w:r>
        <w:r w:rsidR="00E62933">
          <w:rPr>
            <w:noProof/>
            <w:webHidden/>
          </w:rPr>
        </w:r>
        <w:r w:rsidR="00E62933">
          <w:rPr>
            <w:noProof/>
            <w:webHidden/>
          </w:rPr>
          <w:fldChar w:fldCharType="separate"/>
        </w:r>
        <w:r w:rsidR="00E0714D">
          <w:rPr>
            <w:noProof/>
            <w:webHidden/>
          </w:rPr>
          <w:t>103</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88" w:history="1">
        <w:r w:rsidR="00E62933" w:rsidRPr="00AF02F8">
          <w:rPr>
            <w:rStyle w:val="Hyperlink"/>
            <w:noProof/>
          </w:rPr>
          <w:t>4.2</w:t>
        </w:r>
        <w:r w:rsidR="00E62933">
          <w:rPr>
            <w:rFonts w:asciiTheme="minorHAnsi" w:eastAsiaTheme="minorEastAsia" w:hAnsiTheme="minorHAnsi"/>
            <w:noProof/>
            <w:lang w:eastAsia="en-GB"/>
          </w:rPr>
          <w:tab/>
        </w:r>
        <w:r w:rsidR="00E62933" w:rsidRPr="00AF02F8">
          <w:rPr>
            <w:rStyle w:val="Hyperlink"/>
            <w:noProof/>
          </w:rPr>
          <w:t>Introduction</w:t>
        </w:r>
        <w:r w:rsidR="00E62933">
          <w:rPr>
            <w:noProof/>
            <w:webHidden/>
          </w:rPr>
          <w:tab/>
        </w:r>
        <w:r w:rsidR="00E62933">
          <w:rPr>
            <w:noProof/>
            <w:webHidden/>
          </w:rPr>
          <w:fldChar w:fldCharType="begin"/>
        </w:r>
        <w:r w:rsidR="00E62933">
          <w:rPr>
            <w:noProof/>
            <w:webHidden/>
          </w:rPr>
          <w:instrText xml:space="preserve"> PAGEREF _Toc469982288 \h </w:instrText>
        </w:r>
        <w:r w:rsidR="00E62933">
          <w:rPr>
            <w:noProof/>
            <w:webHidden/>
          </w:rPr>
        </w:r>
        <w:r w:rsidR="00E62933">
          <w:rPr>
            <w:noProof/>
            <w:webHidden/>
          </w:rPr>
          <w:fldChar w:fldCharType="separate"/>
        </w:r>
        <w:r w:rsidR="00E0714D">
          <w:rPr>
            <w:noProof/>
            <w:webHidden/>
          </w:rPr>
          <w:t>105</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89" w:history="1">
        <w:r w:rsidR="00E62933" w:rsidRPr="00AF02F8">
          <w:rPr>
            <w:rStyle w:val="Hyperlink"/>
            <w:noProof/>
          </w:rPr>
          <w:t>4.3</w:t>
        </w:r>
        <w:r w:rsidR="00E62933">
          <w:rPr>
            <w:rFonts w:asciiTheme="minorHAnsi" w:eastAsiaTheme="minorEastAsia" w:hAnsiTheme="minorHAnsi"/>
            <w:noProof/>
            <w:lang w:eastAsia="en-GB"/>
          </w:rPr>
          <w:tab/>
        </w:r>
        <w:r w:rsidR="00E62933" w:rsidRPr="00AF02F8">
          <w:rPr>
            <w:rStyle w:val="Hyperlink"/>
            <w:noProof/>
          </w:rPr>
          <w:t>Methods</w:t>
        </w:r>
        <w:r w:rsidR="00E62933">
          <w:rPr>
            <w:noProof/>
            <w:webHidden/>
          </w:rPr>
          <w:tab/>
        </w:r>
        <w:r w:rsidR="00E62933">
          <w:rPr>
            <w:noProof/>
            <w:webHidden/>
          </w:rPr>
          <w:fldChar w:fldCharType="begin"/>
        </w:r>
        <w:r w:rsidR="00E62933">
          <w:rPr>
            <w:noProof/>
            <w:webHidden/>
          </w:rPr>
          <w:instrText xml:space="preserve"> PAGEREF _Toc469982289 \h </w:instrText>
        </w:r>
        <w:r w:rsidR="00E62933">
          <w:rPr>
            <w:noProof/>
            <w:webHidden/>
          </w:rPr>
        </w:r>
        <w:r w:rsidR="00E62933">
          <w:rPr>
            <w:noProof/>
            <w:webHidden/>
          </w:rPr>
          <w:fldChar w:fldCharType="separate"/>
        </w:r>
        <w:r w:rsidR="00E0714D">
          <w:rPr>
            <w:noProof/>
            <w:webHidden/>
          </w:rPr>
          <w:t>107</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90" w:history="1">
        <w:r w:rsidR="00E62933" w:rsidRPr="00AF02F8">
          <w:rPr>
            <w:rStyle w:val="Hyperlink"/>
            <w:noProof/>
            <w14:scene3d>
              <w14:camera w14:prst="orthographicFront"/>
              <w14:lightRig w14:rig="threePt" w14:dir="t">
                <w14:rot w14:lat="0" w14:lon="0" w14:rev="0"/>
              </w14:lightRig>
            </w14:scene3d>
          </w:rPr>
          <w:t>4.3.1</w:t>
        </w:r>
        <w:r w:rsidR="00E62933">
          <w:rPr>
            <w:rFonts w:asciiTheme="minorHAnsi" w:eastAsiaTheme="minorEastAsia" w:hAnsiTheme="minorHAnsi"/>
            <w:noProof/>
            <w:lang w:eastAsia="en-GB"/>
          </w:rPr>
          <w:tab/>
        </w:r>
        <w:r w:rsidR="00E62933" w:rsidRPr="00AF02F8">
          <w:rPr>
            <w:rStyle w:val="Hyperlink"/>
            <w:noProof/>
          </w:rPr>
          <w:t>Orchard study site selection</w:t>
        </w:r>
        <w:r w:rsidR="00E62933">
          <w:rPr>
            <w:noProof/>
            <w:webHidden/>
          </w:rPr>
          <w:tab/>
        </w:r>
        <w:r w:rsidR="00E62933">
          <w:rPr>
            <w:noProof/>
            <w:webHidden/>
          </w:rPr>
          <w:fldChar w:fldCharType="begin"/>
        </w:r>
        <w:r w:rsidR="00E62933">
          <w:rPr>
            <w:noProof/>
            <w:webHidden/>
          </w:rPr>
          <w:instrText xml:space="preserve"> PAGEREF _Toc469982290 \h </w:instrText>
        </w:r>
        <w:r w:rsidR="00E62933">
          <w:rPr>
            <w:noProof/>
            <w:webHidden/>
          </w:rPr>
        </w:r>
        <w:r w:rsidR="00E62933">
          <w:rPr>
            <w:noProof/>
            <w:webHidden/>
          </w:rPr>
          <w:fldChar w:fldCharType="separate"/>
        </w:r>
        <w:r w:rsidR="00E0714D">
          <w:rPr>
            <w:noProof/>
            <w:webHidden/>
          </w:rPr>
          <w:t>107</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91" w:history="1">
        <w:r w:rsidR="00E62933" w:rsidRPr="00AF02F8">
          <w:rPr>
            <w:rStyle w:val="Hyperlink"/>
            <w:noProof/>
            <w14:scene3d>
              <w14:camera w14:prst="orthographicFront"/>
              <w14:lightRig w14:rig="threePt" w14:dir="t">
                <w14:rot w14:lat="0" w14:lon="0" w14:rev="0"/>
              </w14:lightRig>
            </w14:scene3d>
          </w:rPr>
          <w:t>4.3.2</w:t>
        </w:r>
        <w:r w:rsidR="00E62933">
          <w:rPr>
            <w:rFonts w:asciiTheme="minorHAnsi" w:eastAsiaTheme="minorEastAsia" w:hAnsiTheme="minorHAnsi"/>
            <w:noProof/>
            <w:lang w:eastAsia="en-GB"/>
          </w:rPr>
          <w:tab/>
        </w:r>
        <w:r w:rsidR="00E62933" w:rsidRPr="00AF02F8">
          <w:rPr>
            <w:rStyle w:val="Hyperlink"/>
            <w:noProof/>
          </w:rPr>
          <w:t>Orchard data collection</w:t>
        </w:r>
        <w:r w:rsidR="00E62933">
          <w:rPr>
            <w:noProof/>
            <w:webHidden/>
          </w:rPr>
          <w:tab/>
        </w:r>
        <w:r w:rsidR="00E62933">
          <w:rPr>
            <w:noProof/>
            <w:webHidden/>
          </w:rPr>
          <w:fldChar w:fldCharType="begin"/>
        </w:r>
        <w:r w:rsidR="00E62933">
          <w:rPr>
            <w:noProof/>
            <w:webHidden/>
          </w:rPr>
          <w:instrText xml:space="preserve"> PAGEREF _Toc469982291 \h </w:instrText>
        </w:r>
        <w:r w:rsidR="00E62933">
          <w:rPr>
            <w:noProof/>
            <w:webHidden/>
          </w:rPr>
        </w:r>
        <w:r w:rsidR="00E62933">
          <w:rPr>
            <w:noProof/>
            <w:webHidden/>
          </w:rPr>
          <w:fldChar w:fldCharType="separate"/>
        </w:r>
        <w:r w:rsidR="00E0714D">
          <w:rPr>
            <w:noProof/>
            <w:webHidden/>
          </w:rPr>
          <w:t>108</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92" w:history="1">
        <w:r w:rsidR="00E62933" w:rsidRPr="00AF02F8">
          <w:rPr>
            <w:rStyle w:val="Hyperlink"/>
            <w:noProof/>
            <w14:scene3d>
              <w14:camera w14:prst="orthographicFront"/>
              <w14:lightRig w14:rig="threePt" w14:dir="t">
                <w14:rot w14:lat="0" w14:lon="0" w14:rev="0"/>
              </w14:lightRig>
            </w14:scene3d>
          </w:rPr>
          <w:t>4.3.3</w:t>
        </w:r>
        <w:r w:rsidR="00E62933">
          <w:rPr>
            <w:rFonts w:asciiTheme="minorHAnsi" w:eastAsiaTheme="minorEastAsia" w:hAnsiTheme="minorHAnsi"/>
            <w:noProof/>
            <w:lang w:eastAsia="en-GB"/>
          </w:rPr>
          <w:tab/>
        </w:r>
        <w:r w:rsidR="00E62933" w:rsidRPr="00AF02F8">
          <w:rPr>
            <w:rStyle w:val="Hyperlink"/>
            <w:noProof/>
          </w:rPr>
          <w:t>Apple yield data collection.</w:t>
        </w:r>
        <w:r w:rsidR="00E62933">
          <w:rPr>
            <w:noProof/>
            <w:webHidden/>
          </w:rPr>
          <w:tab/>
        </w:r>
        <w:r w:rsidR="00E62933">
          <w:rPr>
            <w:noProof/>
            <w:webHidden/>
          </w:rPr>
          <w:fldChar w:fldCharType="begin"/>
        </w:r>
        <w:r w:rsidR="00E62933">
          <w:rPr>
            <w:noProof/>
            <w:webHidden/>
          </w:rPr>
          <w:instrText xml:space="preserve"> PAGEREF _Toc469982292 \h </w:instrText>
        </w:r>
        <w:r w:rsidR="00E62933">
          <w:rPr>
            <w:noProof/>
            <w:webHidden/>
          </w:rPr>
        </w:r>
        <w:r w:rsidR="00E62933">
          <w:rPr>
            <w:noProof/>
            <w:webHidden/>
          </w:rPr>
          <w:fldChar w:fldCharType="separate"/>
        </w:r>
        <w:r w:rsidR="00E0714D">
          <w:rPr>
            <w:noProof/>
            <w:webHidden/>
          </w:rPr>
          <w:t>108</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93" w:history="1">
        <w:r w:rsidR="00E62933" w:rsidRPr="00AF02F8">
          <w:rPr>
            <w:rStyle w:val="Hyperlink"/>
            <w:noProof/>
            <w14:scene3d>
              <w14:camera w14:prst="orthographicFront"/>
              <w14:lightRig w14:rig="threePt" w14:dir="t">
                <w14:rot w14:lat="0" w14:lon="0" w14:rev="0"/>
              </w14:lightRig>
            </w14:scene3d>
          </w:rPr>
          <w:t>4.3.4</w:t>
        </w:r>
        <w:r w:rsidR="00E62933">
          <w:rPr>
            <w:rFonts w:asciiTheme="minorHAnsi" w:eastAsiaTheme="minorEastAsia" w:hAnsiTheme="minorHAnsi"/>
            <w:noProof/>
            <w:lang w:eastAsia="en-GB"/>
          </w:rPr>
          <w:tab/>
        </w:r>
        <w:r w:rsidR="00E62933" w:rsidRPr="00AF02F8">
          <w:rPr>
            <w:rStyle w:val="Hyperlink"/>
            <w:noProof/>
          </w:rPr>
          <w:t>Apple tree root sampling</w:t>
        </w:r>
        <w:r w:rsidR="00E62933">
          <w:rPr>
            <w:noProof/>
            <w:webHidden/>
          </w:rPr>
          <w:tab/>
        </w:r>
        <w:r w:rsidR="00E62933">
          <w:rPr>
            <w:noProof/>
            <w:webHidden/>
          </w:rPr>
          <w:fldChar w:fldCharType="begin"/>
        </w:r>
        <w:r w:rsidR="00E62933">
          <w:rPr>
            <w:noProof/>
            <w:webHidden/>
          </w:rPr>
          <w:instrText xml:space="preserve"> PAGEREF _Toc469982293 \h </w:instrText>
        </w:r>
        <w:r w:rsidR="00E62933">
          <w:rPr>
            <w:noProof/>
            <w:webHidden/>
          </w:rPr>
        </w:r>
        <w:r w:rsidR="00E62933">
          <w:rPr>
            <w:noProof/>
            <w:webHidden/>
          </w:rPr>
          <w:fldChar w:fldCharType="separate"/>
        </w:r>
        <w:r w:rsidR="00E0714D">
          <w:rPr>
            <w:noProof/>
            <w:webHidden/>
          </w:rPr>
          <w:t>109</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94" w:history="1">
        <w:r w:rsidR="00E62933" w:rsidRPr="00AF02F8">
          <w:rPr>
            <w:rStyle w:val="Hyperlink"/>
            <w:noProof/>
            <w14:scene3d>
              <w14:camera w14:prst="orthographicFront"/>
              <w14:lightRig w14:rig="threePt" w14:dir="t">
                <w14:rot w14:lat="0" w14:lon="0" w14:rev="0"/>
              </w14:lightRig>
            </w14:scene3d>
          </w:rPr>
          <w:t>4.3.5</w:t>
        </w:r>
        <w:r w:rsidR="00E62933">
          <w:rPr>
            <w:rFonts w:asciiTheme="minorHAnsi" w:eastAsiaTheme="minorEastAsia" w:hAnsiTheme="minorHAnsi"/>
            <w:noProof/>
            <w:lang w:eastAsia="en-GB"/>
          </w:rPr>
          <w:tab/>
        </w:r>
        <w:r w:rsidR="00E62933" w:rsidRPr="00AF02F8">
          <w:rPr>
            <w:rStyle w:val="Hyperlink"/>
            <w:noProof/>
          </w:rPr>
          <w:t>DNA extraction and TRFLP analysis</w:t>
        </w:r>
        <w:r w:rsidR="00E62933">
          <w:rPr>
            <w:noProof/>
            <w:webHidden/>
          </w:rPr>
          <w:tab/>
        </w:r>
        <w:r w:rsidR="00E62933">
          <w:rPr>
            <w:noProof/>
            <w:webHidden/>
          </w:rPr>
          <w:fldChar w:fldCharType="begin"/>
        </w:r>
        <w:r w:rsidR="00E62933">
          <w:rPr>
            <w:noProof/>
            <w:webHidden/>
          </w:rPr>
          <w:instrText xml:space="preserve"> PAGEREF _Toc469982294 \h </w:instrText>
        </w:r>
        <w:r w:rsidR="00E62933">
          <w:rPr>
            <w:noProof/>
            <w:webHidden/>
          </w:rPr>
        </w:r>
        <w:r w:rsidR="00E62933">
          <w:rPr>
            <w:noProof/>
            <w:webHidden/>
          </w:rPr>
          <w:fldChar w:fldCharType="separate"/>
        </w:r>
        <w:r w:rsidR="00E0714D">
          <w:rPr>
            <w:noProof/>
            <w:webHidden/>
          </w:rPr>
          <w:t>109</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95" w:history="1">
        <w:r w:rsidR="00E62933" w:rsidRPr="00AF02F8">
          <w:rPr>
            <w:rStyle w:val="Hyperlink"/>
            <w:noProof/>
            <w14:scene3d>
              <w14:camera w14:prst="orthographicFront"/>
              <w14:lightRig w14:rig="threePt" w14:dir="t">
                <w14:rot w14:lat="0" w14:lon="0" w14:rev="0"/>
              </w14:lightRig>
            </w14:scene3d>
          </w:rPr>
          <w:t>4.3.6</w:t>
        </w:r>
        <w:r w:rsidR="00E62933">
          <w:rPr>
            <w:rFonts w:asciiTheme="minorHAnsi" w:eastAsiaTheme="minorEastAsia" w:hAnsiTheme="minorHAnsi"/>
            <w:noProof/>
            <w:lang w:eastAsia="en-GB"/>
          </w:rPr>
          <w:tab/>
        </w:r>
        <w:r w:rsidR="00E62933" w:rsidRPr="00AF02F8">
          <w:rPr>
            <w:rStyle w:val="Hyperlink"/>
            <w:noProof/>
          </w:rPr>
          <w:t>Data analysis</w:t>
        </w:r>
        <w:r w:rsidR="00E62933">
          <w:rPr>
            <w:noProof/>
            <w:webHidden/>
          </w:rPr>
          <w:tab/>
        </w:r>
        <w:r w:rsidR="00E62933">
          <w:rPr>
            <w:noProof/>
            <w:webHidden/>
          </w:rPr>
          <w:fldChar w:fldCharType="begin"/>
        </w:r>
        <w:r w:rsidR="00E62933">
          <w:rPr>
            <w:noProof/>
            <w:webHidden/>
          </w:rPr>
          <w:instrText xml:space="preserve"> PAGEREF _Toc469982295 \h </w:instrText>
        </w:r>
        <w:r w:rsidR="00E62933">
          <w:rPr>
            <w:noProof/>
            <w:webHidden/>
          </w:rPr>
        </w:r>
        <w:r w:rsidR="00E62933">
          <w:rPr>
            <w:noProof/>
            <w:webHidden/>
          </w:rPr>
          <w:fldChar w:fldCharType="separate"/>
        </w:r>
        <w:r w:rsidR="00E0714D">
          <w:rPr>
            <w:noProof/>
            <w:webHidden/>
          </w:rPr>
          <w:t>109</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296" w:history="1">
        <w:r w:rsidR="00E62933" w:rsidRPr="00AF02F8">
          <w:rPr>
            <w:rStyle w:val="Hyperlink"/>
            <w:noProof/>
          </w:rPr>
          <w:t>4.4</w:t>
        </w:r>
        <w:r w:rsidR="00E62933">
          <w:rPr>
            <w:rFonts w:asciiTheme="minorHAnsi" w:eastAsiaTheme="minorEastAsia" w:hAnsiTheme="minorHAnsi"/>
            <w:noProof/>
            <w:lang w:eastAsia="en-GB"/>
          </w:rPr>
          <w:tab/>
        </w:r>
        <w:r w:rsidR="00E62933" w:rsidRPr="00AF02F8">
          <w:rPr>
            <w:rStyle w:val="Hyperlink"/>
            <w:noProof/>
          </w:rPr>
          <w:t>Results</w:t>
        </w:r>
        <w:r w:rsidR="00E62933">
          <w:rPr>
            <w:noProof/>
            <w:webHidden/>
          </w:rPr>
          <w:tab/>
        </w:r>
        <w:r w:rsidR="00E62933">
          <w:rPr>
            <w:noProof/>
            <w:webHidden/>
          </w:rPr>
          <w:fldChar w:fldCharType="begin"/>
        </w:r>
        <w:r w:rsidR="00E62933">
          <w:rPr>
            <w:noProof/>
            <w:webHidden/>
          </w:rPr>
          <w:instrText xml:space="preserve"> PAGEREF _Toc469982296 \h </w:instrText>
        </w:r>
        <w:r w:rsidR="00E62933">
          <w:rPr>
            <w:noProof/>
            <w:webHidden/>
          </w:rPr>
        </w:r>
        <w:r w:rsidR="00E62933">
          <w:rPr>
            <w:noProof/>
            <w:webHidden/>
          </w:rPr>
          <w:fldChar w:fldCharType="separate"/>
        </w:r>
        <w:r w:rsidR="00E0714D">
          <w:rPr>
            <w:noProof/>
            <w:webHidden/>
          </w:rPr>
          <w:t>111</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97" w:history="1">
        <w:r w:rsidR="00E62933" w:rsidRPr="00AF02F8">
          <w:rPr>
            <w:rStyle w:val="Hyperlink"/>
            <w:noProof/>
            <w14:scene3d>
              <w14:camera w14:prst="orthographicFront"/>
              <w14:lightRig w14:rig="threePt" w14:dir="t">
                <w14:rot w14:lat="0" w14:lon="0" w14:rev="0"/>
              </w14:lightRig>
            </w14:scene3d>
          </w:rPr>
          <w:t>4.4.1</w:t>
        </w:r>
        <w:r w:rsidR="00E62933">
          <w:rPr>
            <w:rFonts w:asciiTheme="minorHAnsi" w:eastAsiaTheme="minorEastAsia" w:hAnsiTheme="minorHAnsi"/>
            <w:noProof/>
            <w:lang w:eastAsia="en-GB"/>
          </w:rPr>
          <w:tab/>
        </w:r>
        <w:r w:rsidR="00E62933" w:rsidRPr="00AF02F8">
          <w:rPr>
            <w:rStyle w:val="Hyperlink"/>
            <w:noProof/>
          </w:rPr>
          <w:t>Comparison of AMF colonising apple tree roots in three orchard management types.</w:t>
        </w:r>
        <w:r w:rsidR="00E62933">
          <w:rPr>
            <w:noProof/>
            <w:webHidden/>
          </w:rPr>
          <w:tab/>
        </w:r>
        <w:r w:rsidR="00E62933">
          <w:rPr>
            <w:noProof/>
            <w:webHidden/>
          </w:rPr>
          <w:fldChar w:fldCharType="begin"/>
        </w:r>
        <w:r w:rsidR="00E62933">
          <w:rPr>
            <w:noProof/>
            <w:webHidden/>
          </w:rPr>
          <w:instrText xml:space="preserve"> PAGEREF _Toc469982297 \h </w:instrText>
        </w:r>
        <w:r w:rsidR="00E62933">
          <w:rPr>
            <w:noProof/>
            <w:webHidden/>
          </w:rPr>
        </w:r>
        <w:r w:rsidR="00E62933">
          <w:rPr>
            <w:noProof/>
            <w:webHidden/>
          </w:rPr>
          <w:fldChar w:fldCharType="separate"/>
        </w:r>
        <w:r w:rsidR="00E0714D">
          <w:rPr>
            <w:noProof/>
            <w:webHidden/>
          </w:rPr>
          <w:t>111</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98" w:history="1">
        <w:r w:rsidR="00E62933" w:rsidRPr="00AF02F8">
          <w:rPr>
            <w:rStyle w:val="Hyperlink"/>
            <w:rFonts w:cs="Times New Roman"/>
            <w:noProof/>
            <w14:scene3d>
              <w14:camera w14:prst="orthographicFront"/>
              <w14:lightRig w14:rig="threePt" w14:dir="t">
                <w14:rot w14:lat="0" w14:lon="0" w14:rev="0"/>
              </w14:lightRig>
            </w14:scene3d>
          </w:rPr>
          <w:t>4.4.2</w:t>
        </w:r>
        <w:r w:rsidR="00E62933">
          <w:rPr>
            <w:rFonts w:asciiTheme="minorHAnsi" w:eastAsiaTheme="minorEastAsia" w:hAnsiTheme="minorHAnsi"/>
            <w:noProof/>
            <w:lang w:eastAsia="en-GB"/>
          </w:rPr>
          <w:tab/>
        </w:r>
        <w:r w:rsidR="00E62933" w:rsidRPr="00AF02F8">
          <w:rPr>
            <w:rStyle w:val="Hyperlink"/>
            <w:noProof/>
          </w:rPr>
          <w:t>Aspects of orchard management which are most important for affecting AMF colonising apple trees</w:t>
        </w:r>
        <w:r w:rsidR="00E62933" w:rsidRPr="00AF02F8">
          <w:rPr>
            <w:rStyle w:val="Hyperlink"/>
            <w:rFonts w:cs="Times New Roman"/>
            <w:noProof/>
          </w:rPr>
          <w:t>.</w:t>
        </w:r>
        <w:r w:rsidR="00E62933">
          <w:rPr>
            <w:noProof/>
            <w:webHidden/>
          </w:rPr>
          <w:tab/>
        </w:r>
        <w:r w:rsidR="00E62933">
          <w:rPr>
            <w:noProof/>
            <w:webHidden/>
          </w:rPr>
          <w:fldChar w:fldCharType="begin"/>
        </w:r>
        <w:r w:rsidR="00E62933">
          <w:rPr>
            <w:noProof/>
            <w:webHidden/>
          </w:rPr>
          <w:instrText xml:space="preserve"> PAGEREF _Toc469982298 \h </w:instrText>
        </w:r>
        <w:r w:rsidR="00E62933">
          <w:rPr>
            <w:noProof/>
            <w:webHidden/>
          </w:rPr>
        </w:r>
        <w:r w:rsidR="00E62933">
          <w:rPr>
            <w:noProof/>
            <w:webHidden/>
          </w:rPr>
          <w:fldChar w:fldCharType="separate"/>
        </w:r>
        <w:r w:rsidR="00E0714D">
          <w:rPr>
            <w:noProof/>
            <w:webHidden/>
          </w:rPr>
          <w:t>116</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299" w:history="1">
        <w:r w:rsidR="00E62933" w:rsidRPr="00AF02F8">
          <w:rPr>
            <w:rStyle w:val="Hyperlink"/>
            <w:rFonts w:cs="Times New Roman"/>
            <w:noProof/>
            <w14:scene3d>
              <w14:camera w14:prst="orthographicFront"/>
              <w14:lightRig w14:rig="threePt" w14:dir="t">
                <w14:rot w14:lat="0" w14:lon="0" w14:rev="0"/>
              </w14:lightRig>
            </w14:scene3d>
          </w:rPr>
          <w:t>4.4.3</w:t>
        </w:r>
        <w:r w:rsidR="00E62933">
          <w:rPr>
            <w:rFonts w:asciiTheme="minorHAnsi" w:eastAsiaTheme="minorEastAsia" w:hAnsiTheme="minorHAnsi"/>
            <w:noProof/>
            <w:lang w:eastAsia="en-GB"/>
          </w:rPr>
          <w:tab/>
        </w:r>
        <w:r w:rsidR="00E62933" w:rsidRPr="00AF02F8">
          <w:rPr>
            <w:rStyle w:val="Hyperlink"/>
            <w:noProof/>
          </w:rPr>
          <w:t>Relationship between apple tree yield and AMF richness/relative abundance</w:t>
        </w:r>
        <w:r w:rsidR="00E62933">
          <w:rPr>
            <w:noProof/>
            <w:webHidden/>
          </w:rPr>
          <w:tab/>
        </w:r>
        <w:r w:rsidR="00E62933">
          <w:rPr>
            <w:noProof/>
            <w:webHidden/>
          </w:rPr>
          <w:fldChar w:fldCharType="begin"/>
        </w:r>
        <w:r w:rsidR="00E62933">
          <w:rPr>
            <w:noProof/>
            <w:webHidden/>
          </w:rPr>
          <w:instrText xml:space="preserve"> PAGEREF _Toc469982299 \h </w:instrText>
        </w:r>
        <w:r w:rsidR="00E62933">
          <w:rPr>
            <w:noProof/>
            <w:webHidden/>
          </w:rPr>
        </w:r>
        <w:r w:rsidR="00E62933">
          <w:rPr>
            <w:noProof/>
            <w:webHidden/>
          </w:rPr>
          <w:fldChar w:fldCharType="separate"/>
        </w:r>
        <w:r w:rsidR="00E0714D">
          <w:rPr>
            <w:noProof/>
            <w:webHidden/>
          </w:rPr>
          <w:t>118</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300" w:history="1">
        <w:r w:rsidR="00E62933" w:rsidRPr="00AF02F8">
          <w:rPr>
            <w:rStyle w:val="Hyperlink"/>
            <w:noProof/>
          </w:rPr>
          <w:t>4.5</w:t>
        </w:r>
        <w:r w:rsidR="00E62933">
          <w:rPr>
            <w:rFonts w:asciiTheme="minorHAnsi" w:eastAsiaTheme="minorEastAsia" w:hAnsiTheme="minorHAnsi"/>
            <w:noProof/>
            <w:lang w:eastAsia="en-GB"/>
          </w:rPr>
          <w:tab/>
        </w:r>
        <w:r w:rsidR="00E62933" w:rsidRPr="00AF02F8">
          <w:rPr>
            <w:rStyle w:val="Hyperlink"/>
            <w:noProof/>
          </w:rPr>
          <w:t>Discussion</w:t>
        </w:r>
        <w:r w:rsidR="00E62933">
          <w:rPr>
            <w:noProof/>
            <w:webHidden/>
          </w:rPr>
          <w:tab/>
        </w:r>
        <w:r w:rsidR="00E62933">
          <w:rPr>
            <w:noProof/>
            <w:webHidden/>
          </w:rPr>
          <w:fldChar w:fldCharType="begin"/>
        </w:r>
        <w:r w:rsidR="00E62933">
          <w:rPr>
            <w:noProof/>
            <w:webHidden/>
          </w:rPr>
          <w:instrText xml:space="preserve"> PAGEREF _Toc469982300 \h </w:instrText>
        </w:r>
        <w:r w:rsidR="00E62933">
          <w:rPr>
            <w:noProof/>
            <w:webHidden/>
          </w:rPr>
        </w:r>
        <w:r w:rsidR="00E62933">
          <w:rPr>
            <w:noProof/>
            <w:webHidden/>
          </w:rPr>
          <w:fldChar w:fldCharType="separate"/>
        </w:r>
        <w:r w:rsidR="00E0714D">
          <w:rPr>
            <w:noProof/>
            <w:webHidden/>
          </w:rPr>
          <w:t>121</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301" w:history="1">
        <w:r w:rsidR="00E62933" w:rsidRPr="00AF02F8">
          <w:rPr>
            <w:rStyle w:val="Hyperlink"/>
            <w:noProof/>
            <w14:scene3d>
              <w14:camera w14:prst="orthographicFront"/>
              <w14:lightRig w14:rig="threePt" w14:dir="t">
                <w14:rot w14:lat="0" w14:lon="0" w14:rev="0"/>
              </w14:lightRig>
            </w14:scene3d>
          </w:rPr>
          <w:t>4.5.1</w:t>
        </w:r>
        <w:r w:rsidR="00E62933">
          <w:rPr>
            <w:rFonts w:asciiTheme="minorHAnsi" w:eastAsiaTheme="minorEastAsia" w:hAnsiTheme="minorHAnsi"/>
            <w:noProof/>
            <w:lang w:eastAsia="en-GB"/>
          </w:rPr>
          <w:tab/>
        </w:r>
        <w:r w:rsidR="00E62933" w:rsidRPr="00AF02F8">
          <w:rPr>
            <w:rStyle w:val="Hyperlink"/>
            <w:noProof/>
          </w:rPr>
          <w:t>Conventional bush orchards which are most intensively managed had the highest AMF richness</w:t>
        </w:r>
        <w:r w:rsidR="00E62933">
          <w:rPr>
            <w:noProof/>
            <w:webHidden/>
          </w:rPr>
          <w:tab/>
        </w:r>
        <w:r w:rsidR="00E62933">
          <w:rPr>
            <w:noProof/>
            <w:webHidden/>
          </w:rPr>
          <w:fldChar w:fldCharType="begin"/>
        </w:r>
        <w:r w:rsidR="00E62933">
          <w:rPr>
            <w:noProof/>
            <w:webHidden/>
          </w:rPr>
          <w:instrText xml:space="preserve"> PAGEREF _Toc469982301 \h </w:instrText>
        </w:r>
        <w:r w:rsidR="00E62933">
          <w:rPr>
            <w:noProof/>
            <w:webHidden/>
          </w:rPr>
        </w:r>
        <w:r w:rsidR="00E62933">
          <w:rPr>
            <w:noProof/>
            <w:webHidden/>
          </w:rPr>
          <w:fldChar w:fldCharType="separate"/>
        </w:r>
        <w:r w:rsidR="00E0714D">
          <w:rPr>
            <w:noProof/>
            <w:webHidden/>
          </w:rPr>
          <w:t>121</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302" w:history="1">
        <w:r w:rsidR="00E62933" w:rsidRPr="00AF02F8">
          <w:rPr>
            <w:rStyle w:val="Hyperlink"/>
            <w:noProof/>
            <w14:scene3d>
              <w14:camera w14:prst="orthographicFront"/>
              <w14:lightRig w14:rig="threePt" w14:dir="t">
                <w14:rot w14:lat="0" w14:lon="0" w14:rev="0"/>
              </w14:lightRig>
            </w14:scene3d>
          </w:rPr>
          <w:t>4.5.2</w:t>
        </w:r>
        <w:r w:rsidR="00E62933">
          <w:rPr>
            <w:rFonts w:asciiTheme="minorHAnsi" w:eastAsiaTheme="minorEastAsia" w:hAnsiTheme="minorHAnsi"/>
            <w:noProof/>
            <w:lang w:eastAsia="en-GB"/>
          </w:rPr>
          <w:tab/>
        </w:r>
        <w:r w:rsidR="00E62933" w:rsidRPr="00AF02F8">
          <w:rPr>
            <w:rStyle w:val="Hyperlink"/>
            <w:noProof/>
          </w:rPr>
          <w:t>No relationship was found between orchard management factors and the AMF community.</w:t>
        </w:r>
        <w:r w:rsidR="00E62933">
          <w:rPr>
            <w:noProof/>
            <w:webHidden/>
          </w:rPr>
          <w:tab/>
        </w:r>
        <w:r w:rsidR="00E62933">
          <w:rPr>
            <w:noProof/>
            <w:webHidden/>
          </w:rPr>
          <w:fldChar w:fldCharType="begin"/>
        </w:r>
        <w:r w:rsidR="00E62933">
          <w:rPr>
            <w:noProof/>
            <w:webHidden/>
          </w:rPr>
          <w:instrText xml:space="preserve"> PAGEREF _Toc469982302 \h </w:instrText>
        </w:r>
        <w:r w:rsidR="00E62933">
          <w:rPr>
            <w:noProof/>
            <w:webHidden/>
          </w:rPr>
        </w:r>
        <w:r w:rsidR="00E62933">
          <w:rPr>
            <w:noProof/>
            <w:webHidden/>
          </w:rPr>
          <w:fldChar w:fldCharType="separate"/>
        </w:r>
        <w:r w:rsidR="00E0714D">
          <w:rPr>
            <w:noProof/>
            <w:webHidden/>
          </w:rPr>
          <w:t>122</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303" w:history="1">
        <w:r w:rsidR="00E62933" w:rsidRPr="00AF02F8">
          <w:rPr>
            <w:rStyle w:val="Hyperlink"/>
            <w:noProof/>
            <w14:scene3d>
              <w14:camera w14:prst="orthographicFront"/>
              <w14:lightRig w14:rig="threePt" w14:dir="t">
                <w14:rot w14:lat="0" w14:lon="0" w14:rev="0"/>
              </w14:lightRig>
            </w14:scene3d>
          </w:rPr>
          <w:t>4.5.3</w:t>
        </w:r>
        <w:r w:rsidR="00E62933">
          <w:rPr>
            <w:rFonts w:asciiTheme="minorHAnsi" w:eastAsiaTheme="minorEastAsia" w:hAnsiTheme="minorHAnsi"/>
            <w:noProof/>
            <w:lang w:eastAsia="en-GB"/>
          </w:rPr>
          <w:tab/>
        </w:r>
        <w:r w:rsidR="00E62933" w:rsidRPr="00AF02F8">
          <w:rPr>
            <w:rStyle w:val="Hyperlink"/>
            <w:noProof/>
          </w:rPr>
          <w:t>No relationships between tree yield, AMF richness and composition</w:t>
        </w:r>
        <w:r w:rsidR="00E62933">
          <w:rPr>
            <w:noProof/>
            <w:webHidden/>
          </w:rPr>
          <w:tab/>
        </w:r>
        <w:r w:rsidR="00E62933">
          <w:rPr>
            <w:noProof/>
            <w:webHidden/>
          </w:rPr>
          <w:fldChar w:fldCharType="begin"/>
        </w:r>
        <w:r w:rsidR="00E62933">
          <w:rPr>
            <w:noProof/>
            <w:webHidden/>
          </w:rPr>
          <w:instrText xml:space="preserve"> PAGEREF _Toc469982303 \h </w:instrText>
        </w:r>
        <w:r w:rsidR="00E62933">
          <w:rPr>
            <w:noProof/>
            <w:webHidden/>
          </w:rPr>
        </w:r>
        <w:r w:rsidR="00E62933">
          <w:rPr>
            <w:noProof/>
            <w:webHidden/>
          </w:rPr>
          <w:fldChar w:fldCharType="separate"/>
        </w:r>
        <w:r w:rsidR="00E0714D">
          <w:rPr>
            <w:noProof/>
            <w:webHidden/>
          </w:rPr>
          <w:t>123</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304" w:history="1">
        <w:r w:rsidR="00E62933" w:rsidRPr="00AF02F8">
          <w:rPr>
            <w:rStyle w:val="Hyperlink"/>
            <w:noProof/>
          </w:rPr>
          <w:t>4.6</w:t>
        </w:r>
        <w:r w:rsidR="00E62933">
          <w:rPr>
            <w:rFonts w:asciiTheme="minorHAnsi" w:eastAsiaTheme="minorEastAsia" w:hAnsiTheme="minorHAnsi"/>
            <w:noProof/>
            <w:lang w:eastAsia="en-GB"/>
          </w:rPr>
          <w:tab/>
        </w:r>
        <w:r w:rsidR="00E62933" w:rsidRPr="00AF02F8">
          <w:rPr>
            <w:rStyle w:val="Hyperlink"/>
            <w:noProof/>
          </w:rPr>
          <w:t>Conclusions</w:t>
        </w:r>
        <w:r w:rsidR="00E62933">
          <w:rPr>
            <w:noProof/>
            <w:webHidden/>
          </w:rPr>
          <w:tab/>
        </w:r>
        <w:r w:rsidR="00E62933">
          <w:rPr>
            <w:noProof/>
            <w:webHidden/>
          </w:rPr>
          <w:fldChar w:fldCharType="begin"/>
        </w:r>
        <w:r w:rsidR="00E62933">
          <w:rPr>
            <w:noProof/>
            <w:webHidden/>
          </w:rPr>
          <w:instrText xml:space="preserve"> PAGEREF _Toc469982304 \h </w:instrText>
        </w:r>
        <w:r w:rsidR="00E62933">
          <w:rPr>
            <w:noProof/>
            <w:webHidden/>
          </w:rPr>
        </w:r>
        <w:r w:rsidR="00E62933">
          <w:rPr>
            <w:noProof/>
            <w:webHidden/>
          </w:rPr>
          <w:fldChar w:fldCharType="separate"/>
        </w:r>
        <w:r w:rsidR="00E0714D">
          <w:rPr>
            <w:noProof/>
            <w:webHidden/>
          </w:rPr>
          <w:t>124</w:t>
        </w:r>
        <w:r w:rsidR="00E62933">
          <w:rPr>
            <w:noProof/>
            <w:webHidden/>
          </w:rPr>
          <w:fldChar w:fldCharType="end"/>
        </w:r>
      </w:hyperlink>
    </w:p>
    <w:p w:rsidR="00E62933" w:rsidRDefault="00D22275">
      <w:pPr>
        <w:pStyle w:val="TOC1"/>
        <w:tabs>
          <w:tab w:val="right" w:leader="dot" w:pos="8494"/>
        </w:tabs>
        <w:rPr>
          <w:rFonts w:asciiTheme="minorHAnsi" w:eastAsiaTheme="minorEastAsia" w:hAnsiTheme="minorHAnsi"/>
          <w:noProof/>
          <w:lang w:eastAsia="en-GB"/>
        </w:rPr>
      </w:pPr>
      <w:hyperlink w:anchor="_Toc469982305" w:history="1">
        <w:r w:rsidR="00E62933" w:rsidRPr="00AF02F8">
          <w:rPr>
            <w:rStyle w:val="Hyperlink"/>
            <w:noProof/>
          </w:rPr>
          <w:t>Chapter 5</w:t>
        </w:r>
        <w:r w:rsidR="00E62933">
          <w:rPr>
            <w:rFonts w:asciiTheme="minorHAnsi" w:eastAsiaTheme="minorEastAsia" w:hAnsiTheme="minorHAnsi"/>
            <w:noProof/>
            <w:lang w:eastAsia="en-GB"/>
          </w:rPr>
          <w:tab/>
        </w:r>
        <w:r w:rsidR="00E62933" w:rsidRPr="00AF02F8">
          <w:rPr>
            <w:rStyle w:val="Hyperlink"/>
            <w:noProof/>
          </w:rPr>
          <w:t>General discussion</w:t>
        </w:r>
        <w:r w:rsidR="00E62933">
          <w:rPr>
            <w:noProof/>
            <w:webHidden/>
          </w:rPr>
          <w:tab/>
        </w:r>
        <w:r w:rsidR="00E62933">
          <w:rPr>
            <w:noProof/>
            <w:webHidden/>
          </w:rPr>
          <w:fldChar w:fldCharType="begin"/>
        </w:r>
        <w:r w:rsidR="00E62933">
          <w:rPr>
            <w:noProof/>
            <w:webHidden/>
          </w:rPr>
          <w:instrText xml:space="preserve"> PAGEREF _Toc469982305 \h </w:instrText>
        </w:r>
        <w:r w:rsidR="00E62933">
          <w:rPr>
            <w:noProof/>
            <w:webHidden/>
          </w:rPr>
        </w:r>
        <w:r w:rsidR="00E62933">
          <w:rPr>
            <w:noProof/>
            <w:webHidden/>
          </w:rPr>
          <w:fldChar w:fldCharType="separate"/>
        </w:r>
        <w:r w:rsidR="00E0714D">
          <w:rPr>
            <w:noProof/>
            <w:webHidden/>
          </w:rPr>
          <w:t>125</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306" w:history="1">
        <w:r w:rsidR="00E62933" w:rsidRPr="00AF02F8">
          <w:rPr>
            <w:rStyle w:val="Hyperlink"/>
            <w:noProof/>
          </w:rPr>
          <w:t>5.1</w:t>
        </w:r>
        <w:r w:rsidR="00E62933">
          <w:rPr>
            <w:rFonts w:asciiTheme="minorHAnsi" w:eastAsiaTheme="minorEastAsia" w:hAnsiTheme="minorHAnsi"/>
            <w:noProof/>
            <w:lang w:eastAsia="en-GB"/>
          </w:rPr>
          <w:tab/>
        </w:r>
        <w:r w:rsidR="00E62933" w:rsidRPr="00AF02F8">
          <w:rPr>
            <w:rStyle w:val="Hyperlink"/>
            <w:noProof/>
          </w:rPr>
          <w:t>Overall thesis aims</w:t>
        </w:r>
        <w:r w:rsidR="00E62933">
          <w:rPr>
            <w:noProof/>
            <w:webHidden/>
          </w:rPr>
          <w:tab/>
        </w:r>
        <w:r w:rsidR="00E62933">
          <w:rPr>
            <w:noProof/>
            <w:webHidden/>
          </w:rPr>
          <w:fldChar w:fldCharType="begin"/>
        </w:r>
        <w:r w:rsidR="00E62933">
          <w:rPr>
            <w:noProof/>
            <w:webHidden/>
          </w:rPr>
          <w:instrText xml:space="preserve"> PAGEREF _Toc469982306 \h </w:instrText>
        </w:r>
        <w:r w:rsidR="00E62933">
          <w:rPr>
            <w:noProof/>
            <w:webHidden/>
          </w:rPr>
        </w:r>
        <w:r w:rsidR="00E62933">
          <w:rPr>
            <w:noProof/>
            <w:webHidden/>
          </w:rPr>
          <w:fldChar w:fldCharType="separate"/>
        </w:r>
        <w:r w:rsidR="00E0714D">
          <w:rPr>
            <w:noProof/>
            <w:webHidden/>
          </w:rPr>
          <w:t>125</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307" w:history="1">
        <w:r w:rsidR="00E62933" w:rsidRPr="00AF02F8">
          <w:rPr>
            <w:rStyle w:val="Hyperlink"/>
            <w:noProof/>
            <w14:scene3d>
              <w14:camera w14:prst="orthographicFront"/>
              <w14:lightRig w14:rig="threePt" w14:dir="t">
                <w14:rot w14:lat="0" w14:lon="0" w14:rev="0"/>
              </w14:lightRig>
            </w14:scene3d>
          </w:rPr>
          <w:t>5.1.1</w:t>
        </w:r>
        <w:r w:rsidR="00E62933">
          <w:rPr>
            <w:rFonts w:asciiTheme="minorHAnsi" w:eastAsiaTheme="minorEastAsia" w:hAnsiTheme="minorHAnsi"/>
            <w:noProof/>
            <w:lang w:eastAsia="en-GB"/>
          </w:rPr>
          <w:tab/>
        </w:r>
        <w:r w:rsidR="00E62933" w:rsidRPr="00AF02F8">
          <w:rPr>
            <w:rStyle w:val="Hyperlink"/>
            <w:noProof/>
          </w:rPr>
          <w:t>Can AMF improve growth, health and productivity of cider apple trees?</w:t>
        </w:r>
        <w:r w:rsidR="00E62933">
          <w:rPr>
            <w:noProof/>
            <w:webHidden/>
          </w:rPr>
          <w:tab/>
        </w:r>
        <w:r w:rsidR="00E62933">
          <w:rPr>
            <w:noProof/>
            <w:webHidden/>
          </w:rPr>
          <w:fldChar w:fldCharType="begin"/>
        </w:r>
        <w:r w:rsidR="00E62933">
          <w:rPr>
            <w:noProof/>
            <w:webHidden/>
          </w:rPr>
          <w:instrText xml:space="preserve"> PAGEREF _Toc469982307 \h </w:instrText>
        </w:r>
        <w:r w:rsidR="00E62933">
          <w:rPr>
            <w:noProof/>
            <w:webHidden/>
          </w:rPr>
        </w:r>
        <w:r w:rsidR="00E62933">
          <w:rPr>
            <w:noProof/>
            <w:webHidden/>
          </w:rPr>
          <w:fldChar w:fldCharType="separate"/>
        </w:r>
        <w:r w:rsidR="00E0714D">
          <w:rPr>
            <w:noProof/>
            <w:webHidden/>
          </w:rPr>
          <w:t>125</w:t>
        </w:r>
        <w:r w:rsidR="00E62933">
          <w:rPr>
            <w:noProof/>
            <w:webHidden/>
          </w:rPr>
          <w:fldChar w:fldCharType="end"/>
        </w:r>
      </w:hyperlink>
    </w:p>
    <w:p w:rsidR="00E62933" w:rsidRDefault="00D22275">
      <w:pPr>
        <w:pStyle w:val="TOC3"/>
        <w:rPr>
          <w:rFonts w:asciiTheme="minorHAnsi" w:eastAsiaTheme="minorEastAsia" w:hAnsiTheme="minorHAnsi"/>
          <w:noProof/>
          <w:lang w:eastAsia="en-GB"/>
        </w:rPr>
      </w:pPr>
      <w:hyperlink w:anchor="_Toc469982308" w:history="1">
        <w:r w:rsidR="00E62933" w:rsidRPr="00AF02F8">
          <w:rPr>
            <w:rStyle w:val="Hyperlink"/>
            <w:noProof/>
            <w14:scene3d>
              <w14:camera w14:prst="orthographicFront"/>
              <w14:lightRig w14:rig="threePt" w14:dir="t">
                <w14:rot w14:lat="0" w14:lon="0" w14:rev="0"/>
              </w14:lightRig>
            </w14:scene3d>
          </w:rPr>
          <w:t>5.1.2</w:t>
        </w:r>
        <w:r w:rsidR="00E62933">
          <w:rPr>
            <w:rFonts w:asciiTheme="minorHAnsi" w:eastAsiaTheme="minorEastAsia" w:hAnsiTheme="minorHAnsi"/>
            <w:noProof/>
            <w:lang w:eastAsia="en-GB"/>
          </w:rPr>
          <w:tab/>
        </w:r>
        <w:r w:rsidR="00E62933" w:rsidRPr="00AF02F8">
          <w:rPr>
            <w:rStyle w:val="Hyperlink"/>
            <w:noProof/>
          </w:rPr>
          <w:t>What are the AMF types found in orchards and does orchard management alter AMF communities?</w:t>
        </w:r>
        <w:r w:rsidR="00E62933">
          <w:rPr>
            <w:noProof/>
            <w:webHidden/>
          </w:rPr>
          <w:tab/>
        </w:r>
        <w:r w:rsidR="00E62933">
          <w:rPr>
            <w:noProof/>
            <w:webHidden/>
          </w:rPr>
          <w:fldChar w:fldCharType="begin"/>
        </w:r>
        <w:r w:rsidR="00E62933">
          <w:rPr>
            <w:noProof/>
            <w:webHidden/>
          </w:rPr>
          <w:instrText xml:space="preserve"> PAGEREF _Toc469982308 \h </w:instrText>
        </w:r>
        <w:r w:rsidR="00E62933">
          <w:rPr>
            <w:noProof/>
            <w:webHidden/>
          </w:rPr>
        </w:r>
        <w:r w:rsidR="00E62933">
          <w:rPr>
            <w:noProof/>
            <w:webHidden/>
          </w:rPr>
          <w:fldChar w:fldCharType="separate"/>
        </w:r>
        <w:r w:rsidR="00E0714D">
          <w:rPr>
            <w:noProof/>
            <w:webHidden/>
          </w:rPr>
          <w:t>126</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309" w:history="1">
        <w:r w:rsidR="00E62933" w:rsidRPr="00AF02F8">
          <w:rPr>
            <w:rStyle w:val="Hyperlink"/>
            <w:noProof/>
          </w:rPr>
          <w:t>5.2</w:t>
        </w:r>
        <w:r w:rsidR="00E62933">
          <w:rPr>
            <w:rFonts w:asciiTheme="minorHAnsi" w:eastAsiaTheme="minorEastAsia" w:hAnsiTheme="minorHAnsi"/>
            <w:noProof/>
            <w:lang w:eastAsia="en-GB"/>
          </w:rPr>
          <w:tab/>
        </w:r>
        <w:r w:rsidR="00E62933" w:rsidRPr="00AF02F8">
          <w:rPr>
            <w:rStyle w:val="Hyperlink"/>
            <w:noProof/>
          </w:rPr>
          <w:t>Broader implications</w:t>
        </w:r>
        <w:r w:rsidR="00E62933">
          <w:rPr>
            <w:noProof/>
            <w:webHidden/>
          </w:rPr>
          <w:tab/>
        </w:r>
        <w:r w:rsidR="00E62933">
          <w:rPr>
            <w:noProof/>
            <w:webHidden/>
          </w:rPr>
          <w:fldChar w:fldCharType="begin"/>
        </w:r>
        <w:r w:rsidR="00E62933">
          <w:rPr>
            <w:noProof/>
            <w:webHidden/>
          </w:rPr>
          <w:instrText xml:space="preserve"> PAGEREF _Toc469982309 \h </w:instrText>
        </w:r>
        <w:r w:rsidR="00E62933">
          <w:rPr>
            <w:noProof/>
            <w:webHidden/>
          </w:rPr>
        </w:r>
        <w:r w:rsidR="00E62933">
          <w:rPr>
            <w:noProof/>
            <w:webHidden/>
          </w:rPr>
          <w:fldChar w:fldCharType="separate"/>
        </w:r>
        <w:r w:rsidR="00E0714D">
          <w:rPr>
            <w:noProof/>
            <w:webHidden/>
          </w:rPr>
          <w:t>130</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310" w:history="1">
        <w:r w:rsidR="00E62933" w:rsidRPr="00AF02F8">
          <w:rPr>
            <w:rStyle w:val="Hyperlink"/>
            <w:noProof/>
          </w:rPr>
          <w:t>5.3</w:t>
        </w:r>
        <w:r w:rsidR="00E62933">
          <w:rPr>
            <w:rFonts w:asciiTheme="minorHAnsi" w:eastAsiaTheme="minorEastAsia" w:hAnsiTheme="minorHAnsi"/>
            <w:noProof/>
            <w:lang w:eastAsia="en-GB"/>
          </w:rPr>
          <w:tab/>
        </w:r>
        <w:r w:rsidR="00E62933" w:rsidRPr="00AF02F8">
          <w:rPr>
            <w:rStyle w:val="Hyperlink"/>
            <w:noProof/>
          </w:rPr>
          <w:t>Further work</w:t>
        </w:r>
        <w:r w:rsidR="00E62933">
          <w:rPr>
            <w:noProof/>
            <w:webHidden/>
          </w:rPr>
          <w:tab/>
        </w:r>
        <w:r w:rsidR="00E62933">
          <w:rPr>
            <w:noProof/>
            <w:webHidden/>
          </w:rPr>
          <w:fldChar w:fldCharType="begin"/>
        </w:r>
        <w:r w:rsidR="00E62933">
          <w:rPr>
            <w:noProof/>
            <w:webHidden/>
          </w:rPr>
          <w:instrText xml:space="preserve"> PAGEREF _Toc469982310 \h </w:instrText>
        </w:r>
        <w:r w:rsidR="00E62933">
          <w:rPr>
            <w:noProof/>
            <w:webHidden/>
          </w:rPr>
        </w:r>
        <w:r w:rsidR="00E62933">
          <w:rPr>
            <w:noProof/>
            <w:webHidden/>
          </w:rPr>
          <w:fldChar w:fldCharType="separate"/>
        </w:r>
        <w:r w:rsidR="00E0714D">
          <w:rPr>
            <w:noProof/>
            <w:webHidden/>
          </w:rPr>
          <w:t>131</w:t>
        </w:r>
        <w:r w:rsidR="00E62933">
          <w:rPr>
            <w:noProof/>
            <w:webHidden/>
          </w:rPr>
          <w:fldChar w:fldCharType="end"/>
        </w:r>
      </w:hyperlink>
    </w:p>
    <w:p w:rsidR="00E62933" w:rsidRDefault="00D22275">
      <w:pPr>
        <w:pStyle w:val="TOC2"/>
        <w:tabs>
          <w:tab w:val="left" w:pos="1134"/>
          <w:tab w:val="right" w:leader="dot" w:pos="8494"/>
        </w:tabs>
        <w:rPr>
          <w:rFonts w:asciiTheme="minorHAnsi" w:eastAsiaTheme="minorEastAsia" w:hAnsiTheme="minorHAnsi"/>
          <w:noProof/>
          <w:lang w:eastAsia="en-GB"/>
        </w:rPr>
      </w:pPr>
      <w:hyperlink w:anchor="_Toc469982311" w:history="1">
        <w:r w:rsidR="00E62933" w:rsidRPr="00AF02F8">
          <w:rPr>
            <w:rStyle w:val="Hyperlink"/>
            <w:noProof/>
          </w:rPr>
          <w:t>5.4</w:t>
        </w:r>
        <w:r w:rsidR="00E62933">
          <w:rPr>
            <w:rFonts w:asciiTheme="minorHAnsi" w:eastAsiaTheme="minorEastAsia" w:hAnsiTheme="minorHAnsi"/>
            <w:noProof/>
            <w:lang w:eastAsia="en-GB"/>
          </w:rPr>
          <w:tab/>
        </w:r>
        <w:r w:rsidR="00E62933" w:rsidRPr="00AF02F8">
          <w:rPr>
            <w:rStyle w:val="Hyperlink"/>
            <w:noProof/>
          </w:rPr>
          <w:t>Summary</w:t>
        </w:r>
        <w:r w:rsidR="00E62933">
          <w:rPr>
            <w:noProof/>
            <w:webHidden/>
          </w:rPr>
          <w:tab/>
        </w:r>
        <w:r w:rsidR="00E62933">
          <w:rPr>
            <w:noProof/>
            <w:webHidden/>
          </w:rPr>
          <w:fldChar w:fldCharType="begin"/>
        </w:r>
        <w:r w:rsidR="00E62933">
          <w:rPr>
            <w:noProof/>
            <w:webHidden/>
          </w:rPr>
          <w:instrText xml:space="preserve"> PAGEREF _Toc469982311 \h </w:instrText>
        </w:r>
        <w:r w:rsidR="00E62933">
          <w:rPr>
            <w:noProof/>
            <w:webHidden/>
          </w:rPr>
        </w:r>
        <w:r w:rsidR="00E62933">
          <w:rPr>
            <w:noProof/>
            <w:webHidden/>
          </w:rPr>
          <w:fldChar w:fldCharType="separate"/>
        </w:r>
        <w:r w:rsidR="00E0714D">
          <w:rPr>
            <w:noProof/>
            <w:webHidden/>
          </w:rPr>
          <w:t>132</w:t>
        </w:r>
        <w:r w:rsidR="00E62933">
          <w:rPr>
            <w:noProof/>
            <w:webHidden/>
          </w:rPr>
          <w:fldChar w:fldCharType="end"/>
        </w:r>
      </w:hyperlink>
    </w:p>
    <w:p w:rsidR="00E62933" w:rsidRDefault="00D22275">
      <w:pPr>
        <w:pStyle w:val="TOC1"/>
        <w:tabs>
          <w:tab w:val="right" w:leader="dot" w:pos="8494"/>
        </w:tabs>
        <w:rPr>
          <w:rFonts w:asciiTheme="minorHAnsi" w:eastAsiaTheme="minorEastAsia" w:hAnsiTheme="minorHAnsi"/>
          <w:noProof/>
          <w:lang w:eastAsia="en-GB"/>
        </w:rPr>
      </w:pPr>
      <w:hyperlink w:anchor="_Toc469982312" w:history="1">
        <w:r w:rsidR="00E62933" w:rsidRPr="00AF02F8">
          <w:rPr>
            <w:rStyle w:val="Hyperlink"/>
            <w:noProof/>
          </w:rPr>
          <w:t>References</w:t>
        </w:r>
        <w:r w:rsidR="00E62933">
          <w:rPr>
            <w:noProof/>
            <w:webHidden/>
          </w:rPr>
          <w:tab/>
        </w:r>
        <w:r w:rsidR="00312289">
          <w:rPr>
            <w:noProof/>
            <w:webHidden/>
          </w:rPr>
          <w:tab/>
        </w:r>
        <w:r w:rsidR="00E62933">
          <w:rPr>
            <w:noProof/>
            <w:webHidden/>
          </w:rPr>
          <w:fldChar w:fldCharType="begin"/>
        </w:r>
        <w:r w:rsidR="00E62933">
          <w:rPr>
            <w:noProof/>
            <w:webHidden/>
          </w:rPr>
          <w:instrText xml:space="preserve"> PAGEREF _Toc469982312 \h </w:instrText>
        </w:r>
        <w:r w:rsidR="00E62933">
          <w:rPr>
            <w:noProof/>
            <w:webHidden/>
          </w:rPr>
        </w:r>
        <w:r w:rsidR="00E62933">
          <w:rPr>
            <w:noProof/>
            <w:webHidden/>
          </w:rPr>
          <w:fldChar w:fldCharType="separate"/>
        </w:r>
        <w:r w:rsidR="00E0714D">
          <w:rPr>
            <w:noProof/>
            <w:webHidden/>
          </w:rPr>
          <w:t>150</w:t>
        </w:r>
        <w:r w:rsidR="00E62933">
          <w:rPr>
            <w:noProof/>
            <w:webHidden/>
          </w:rPr>
          <w:fldChar w:fldCharType="end"/>
        </w:r>
      </w:hyperlink>
    </w:p>
    <w:p w:rsidR="00006EBC" w:rsidRDefault="007342C0" w:rsidP="000D114A">
      <w:pPr>
        <w:pStyle w:val="Heading1"/>
        <w:numPr>
          <w:ilvl w:val="0"/>
          <w:numId w:val="0"/>
        </w:numPr>
      </w:pPr>
      <w:r>
        <w:fldChar w:fldCharType="end"/>
      </w:r>
      <w:r w:rsidR="00006EBC">
        <w:br w:type="page"/>
      </w:r>
    </w:p>
    <w:p w:rsidR="000D114A" w:rsidRDefault="00006EBC" w:rsidP="00006EBC">
      <w:pPr>
        <w:pStyle w:val="TOCHeading"/>
      </w:pPr>
      <w:r>
        <w:lastRenderedPageBreak/>
        <w:t>List</w:t>
      </w:r>
      <w:r w:rsidR="000D114A">
        <w:t xml:space="preserve"> of Figures</w:t>
      </w:r>
    </w:p>
    <w:p w:rsidR="00E62933" w:rsidRDefault="000D114A">
      <w:pPr>
        <w:pStyle w:val="TableofFigures"/>
        <w:tabs>
          <w:tab w:val="right" w:leader="dot" w:pos="8494"/>
        </w:tabs>
        <w:rPr>
          <w:rFonts w:asciiTheme="minorHAnsi" w:eastAsiaTheme="minorEastAsia" w:hAnsiTheme="minorHAnsi"/>
          <w:noProof/>
          <w:lang w:eastAsia="en-GB"/>
        </w:rPr>
      </w:pPr>
      <w:r>
        <w:fldChar w:fldCharType="begin"/>
      </w:r>
      <w:r>
        <w:instrText xml:space="preserve"> TOC \h \z \c "Figure" </w:instrText>
      </w:r>
      <w:r>
        <w:fldChar w:fldCharType="separate"/>
      </w:r>
      <w:hyperlink w:anchor="_Toc469982756" w:history="1">
        <w:r w:rsidR="00E62933" w:rsidRPr="00B111C0">
          <w:rPr>
            <w:rStyle w:val="Hyperlink"/>
            <w:rFonts w:cs="Times New Roman"/>
            <w:noProof/>
          </w:rPr>
          <w:t>Figure 1.1 Simplified anatomy of arbuscular mycorrhizal fungal structures within a colonised plant root. Adapted from Brundette, 2008).</w:t>
        </w:r>
        <w:r w:rsidR="00E62933">
          <w:rPr>
            <w:noProof/>
            <w:webHidden/>
          </w:rPr>
          <w:tab/>
        </w:r>
        <w:r w:rsidR="00E62933">
          <w:rPr>
            <w:noProof/>
            <w:webHidden/>
          </w:rPr>
          <w:fldChar w:fldCharType="begin"/>
        </w:r>
        <w:r w:rsidR="00E62933">
          <w:rPr>
            <w:noProof/>
            <w:webHidden/>
          </w:rPr>
          <w:instrText xml:space="preserve"> PAGEREF _Toc469982756 \h </w:instrText>
        </w:r>
        <w:r w:rsidR="00E62933">
          <w:rPr>
            <w:noProof/>
            <w:webHidden/>
          </w:rPr>
        </w:r>
        <w:r w:rsidR="00E62933">
          <w:rPr>
            <w:noProof/>
            <w:webHidden/>
          </w:rPr>
          <w:fldChar w:fldCharType="separate"/>
        </w:r>
        <w:r w:rsidR="00E0714D">
          <w:rPr>
            <w:noProof/>
            <w:webHidden/>
          </w:rPr>
          <w:t>4</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57" w:history="1">
        <w:r w:rsidR="00E62933" w:rsidRPr="00B111C0">
          <w:rPr>
            <w:rStyle w:val="Hyperlink"/>
            <w:noProof/>
          </w:rPr>
          <w:t xml:space="preserve">Figure 1.2 </w:t>
        </w:r>
        <w:r w:rsidR="00E62933" w:rsidRPr="00B111C0">
          <w:rPr>
            <w:rStyle w:val="Hyperlink"/>
            <w:rFonts w:cs="Times New Roman"/>
            <w:noProof/>
          </w:rPr>
          <w:t>Summary of role of AM in plant defence  highlighting that although the overall effect of AMF upon plant defence is positive it is apparent that AMF association may improve susceptibility to a select number of pathogens (Adapted from Jung et al. 2012)</w:t>
        </w:r>
        <w:r w:rsidR="00E62933">
          <w:rPr>
            <w:noProof/>
            <w:webHidden/>
          </w:rPr>
          <w:tab/>
        </w:r>
        <w:r w:rsidR="00E62933">
          <w:rPr>
            <w:noProof/>
            <w:webHidden/>
          </w:rPr>
          <w:fldChar w:fldCharType="begin"/>
        </w:r>
        <w:r w:rsidR="00E62933">
          <w:rPr>
            <w:noProof/>
            <w:webHidden/>
          </w:rPr>
          <w:instrText xml:space="preserve"> PAGEREF _Toc469982757 \h </w:instrText>
        </w:r>
        <w:r w:rsidR="00E62933">
          <w:rPr>
            <w:noProof/>
            <w:webHidden/>
          </w:rPr>
        </w:r>
        <w:r w:rsidR="00E62933">
          <w:rPr>
            <w:noProof/>
            <w:webHidden/>
          </w:rPr>
          <w:fldChar w:fldCharType="separate"/>
        </w:r>
        <w:r w:rsidR="00E0714D">
          <w:rPr>
            <w:noProof/>
            <w:webHidden/>
          </w:rPr>
          <w:t>7</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58" w:history="1">
        <w:r w:rsidR="00E62933" w:rsidRPr="00B111C0">
          <w:rPr>
            <w:rStyle w:val="Hyperlink"/>
            <w:noProof/>
          </w:rPr>
          <w:t xml:space="preserve">Figure 1.3 Map of the distribution of traditional orchards in the UK showing regions with climatic suitability for apple growing (Source </w:t>
        </w:r>
        <w:r w:rsidR="00E62933" w:rsidRPr="00B111C0">
          <w:rPr>
            <w:rStyle w:val="Hyperlink"/>
            <w:rFonts w:cs="Times New Roman"/>
            <w:noProof/>
          </w:rPr>
          <w:t>(DEFRA, 2008)</w:t>
        </w:r>
        <w:r w:rsidR="00E62933">
          <w:rPr>
            <w:noProof/>
            <w:webHidden/>
          </w:rPr>
          <w:tab/>
        </w:r>
        <w:r w:rsidR="00E62933">
          <w:rPr>
            <w:noProof/>
            <w:webHidden/>
          </w:rPr>
          <w:fldChar w:fldCharType="begin"/>
        </w:r>
        <w:r w:rsidR="00E62933">
          <w:rPr>
            <w:noProof/>
            <w:webHidden/>
          </w:rPr>
          <w:instrText xml:space="preserve"> PAGEREF _Toc469982758 \h </w:instrText>
        </w:r>
        <w:r w:rsidR="00E62933">
          <w:rPr>
            <w:noProof/>
            <w:webHidden/>
          </w:rPr>
        </w:r>
        <w:r w:rsidR="00E62933">
          <w:rPr>
            <w:noProof/>
            <w:webHidden/>
          </w:rPr>
          <w:fldChar w:fldCharType="separate"/>
        </w:r>
        <w:r w:rsidR="00E0714D">
          <w:rPr>
            <w:noProof/>
            <w:webHidden/>
          </w:rPr>
          <w:t>13</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59" w:history="1">
        <w:r w:rsidR="00E62933" w:rsidRPr="00B111C0">
          <w:rPr>
            <w:rStyle w:val="Hyperlink"/>
            <w:noProof/>
          </w:rPr>
          <w:t>Figure 1.4 Total UK area occupied by orchards for three apple types showing the increase in cider apple orchards since 1985. Three year running means from 1985 to 2013 are presented. Data from DEFRA, 2014</w:t>
        </w:r>
        <w:r w:rsidR="00E62933">
          <w:rPr>
            <w:noProof/>
            <w:webHidden/>
          </w:rPr>
          <w:tab/>
        </w:r>
        <w:r w:rsidR="00E62933">
          <w:rPr>
            <w:noProof/>
            <w:webHidden/>
          </w:rPr>
          <w:fldChar w:fldCharType="begin"/>
        </w:r>
        <w:r w:rsidR="00E62933">
          <w:rPr>
            <w:noProof/>
            <w:webHidden/>
          </w:rPr>
          <w:instrText xml:space="preserve"> PAGEREF _Toc469982759 \h </w:instrText>
        </w:r>
        <w:r w:rsidR="00E62933">
          <w:rPr>
            <w:noProof/>
            <w:webHidden/>
          </w:rPr>
        </w:r>
        <w:r w:rsidR="00E62933">
          <w:rPr>
            <w:noProof/>
            <w:webHidden/>
          </w:rPr>
          <w:fldChar w:fldCharType="separate"/>
        </w:r>
        <w:r w:rsidR="00E0714D">
          <w:rPr>
            <w:noProof/>
            <w:webHidden/>
          </w:rPr>
          <w:t>14</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60" w:history="1">
        <w:r w:rsidR="00E62933" w:rsidRPr="00B111C0">
          <w:rPr>
            <w:rStyle w:val="Hyperlink"/>
            <w:noProof/>
          </w:rPr>
          <w:t xml:space="preserve">Figure 1.5 </w:t>
        </w:r>
        <w:r w:rsidR="00E62933" w:rsidRPr="00B111C0">
          <w:rPr>
            <w:rStyle w:val="Hyperlink"/>
            <w:rFonts w:cs="Times New Roman"/>
            <w:noProof/>
          </w:rPr>
          <w:t>Average annual apple production per country from 1994 to 2014. Adapted from (FAO, 2014).</w:t>
        </w:r>
        <w:r w:rsidR="00E62933">
          <w:rPr>
            <w:noProof/>
            <w:webHidden/>
          </w:rPr>
          <w:tab/>
        </w:r>
        <w:r w:rsidR="00E62933">
          <w:rPr>
            <w:noProof/>
            <w:webHidden/>
          </w:rPr>
          <w:fldChar w:fldCharType="begin"/>
        </w:r>
        <w:r w:rsidR="00E62933">
          <w:rPr>
            <w:noProof/>
            <w:webHidden/>
          </w:rPr>
          <w:instrText xml:space="preserve"> PAGEREF _Toc469982760 \h </w:instrText>
        </w:r>
        <w:r w:rsidR="00E62933">
          <w:rPr>
            <w:noProof/>
            <w:webHidden/>
          </w:rPr>
        </w:r>
        <w:r w:rsidR="00E62933">
          <w:rPr>
            <w:noProof/>
            <w:webHidden/>
          </w:rPr>
          <w:fldChar w:fldCharType="separate"/>
        </w:r>
        <w:r w:rsidR="00E0714D">
          <w:rPr>
            <w:noProof/>
            <w:webHidden/>
          </w:rPr>
          <w:t>15</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61" w:history="1">
        <w:r w:rsidR="00E62933" w:rsidRPr="00B111C0">
          <w:rPr>
            <w:rStyle w:val="Hyperlink"/>
            <w:noProof/>
          </w:rPr>
          <w:t>Figure 1.6 Conventional bush orchard: (a) aerial view, (b) orchard floor view, Standard orchard (c) aerial view, (d) orchard floor view.</w:t>
        </w:r>
        <w:r w:rsidR="00E62933">
          <w:rPr>
            <w:noProof/>
            <w:webHidden/>
          </w:rPr>
          <w:tab/>
        </w:r>
        <w:r w:rsidR="00E62933">
          <w:rPr>
            <w:noProof/>
            <w:webHidden/>
          </w:rPr>
          <w:fldChar w:fldCharType="begin"/>
        </w:r>
        <w:r w:rsidR="00E62933">
          <w:rPr>
            <w:noProof/>
            <w:webHidden/>
          </w:rPr>
          <w:instrText xml:space="preserve"> PAGEREF _Toc469982761 \h </w:instrText>
        </w:r>
        <w:r w:rsidR="00E62933">
          <w:rPr>
            <w:noProof/>
            <w:webHidden/>
          </w:rPr>
        </w:r>
        <w:r w:rsidR="00E62933">
          <w:rPr>
            <w:noProof/>
            <w:webHidden/>
          </w:rPr>
          <w:fldChar w:fldCharType="separate"/>
        </w:r>
        <w:r w:rsidR="00E0714D">
          <w:rPr>
            <w:noProof/>
            <w:webHidden/>
          </w:rPr>
          <w:t>16</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62" w:history="1">
        <w:r w:rsidR="00E62933" w:rsidRPr="00B111C0">
          <w:rPr>
            <w:rStyle w:val="Hyperlink"/>
            <w:noProof/>
          </w:rPr>
          <w:t>Figure 2.1 Experimental set up at Arthur Willis Environment Centre, Sheffield, spring 2015.</w:t>
        </w:r>
        <w:r w:rsidR="00E62933">
          <w:rPr>
            <w:noProof/>
            <w:webHidden/>
          </w:rPr>
          <w:tab/>
        </w:r>
        <w:r w:rsidR="00E62933">
          <w:rPr>
            <w:noProof/>
            <w:webHidden/>
          </w:rPr>
          <w:fldChar w:fldCharType="begin"/>
        </w:r>
        <w:r w:rsidR="00E62933">
          <w:rPr>
            <w:noProof/>
            <w:webHidden/>
          </w:rPr>
          <w:instrText xml:space="preserve"> PAGEREF _Toc469982762 \h </w:instrText>
        </w:r>
        <w:r w:rsidR="00E62933">
          <w:rPr>
            <w:noProof/>
            <w:webHidden/>
          </w:rPr>
        </w:r>
        <w:r w:rsidR="00E62933">
          <w:rPr>
            <w:noProof/>
            <w:webHidden/>
          </w:rPr>
          <w:fldChar w:fldCharType="separate"/>
        </w:r>
        <w:r w:rsidR="00E0714D">
          <w:rPr>
            <w:noProof/>
            <w:webHidden/>
          </w:rPr>
          <w:t>29</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63" w:history="1">
        <w:r w:rsidR="00E62933" w:rsidRPr="00B111C0">
          <w:rPr>
            <w:rStyle w:val="Hyperlink"/>
            <w:noProof/>
          </w:rPr>
          <w:t>Figure 2.2 Root colonisation of apple trees inocluated with two species of arbuscular mycorrhizal fungi after three years of growth. Mean colonisation under high and low nutrient treatments and with Dabinett and Michelin scions are presented. Error bars show SE of mean (n = 20). Treatments with the same letter do not differ significantly from one another (Tukey, HSD p&lt;0.05).</w:t>
        </w:r>
        <w:r w:rsidR="00E62933">
          <w:rPr>
            <w:noProof/>
            <w:webHidden/>
          </w:rPr>
          <w:tab/>
        </w:r>
        <w:r w:rsidR="00E62933">
          <w:rPr>
            <w:noProof/>
            <w:webHidden/>
          </w:rPr>
          <w:fldChar w:fldCharType="begin"/>
        </w:r>
        <w:r w:rsidR="00E62933">
          <w:rPr>
            <w:noProof/>
            <w:webHidden/>
          </w:rPr>
          <w:instrText xml:space="preserve"> PAGEREF _Toc469982763 \h </w:instrText>
        </w:r>
        <w:r w:rsidR="00E62933">
          <w:rPr>
            <w:noProof/>
            <w:webHidden/>
          </w:rPr>
        </w:r>
        <w:r w:rsidR="00E62933">
          <w:rPr>
            <w:noProof/>
            <w:webHidden/>
          </w:rPr>
          <w:fldChar w:fldCharType="separate"/>
        </w:r>
        <w:r w:rsidR="00E0714D">
          <w:rPr>
            <w:noProof/>
            <w:webHidden/>
          </w:rPr>
          <w:t>37</w:t>
        </w:r>
        <w:r w:rsidR="00E62933">
          <w:rPr>
            <w:noProof/>
            <w:webHidden/>
          </w:rPr>
          <w:fldChar w:fldCharType="end"/>
        </w:r>
      </w:hyperlink>
    </w:p>
    <w:p w:rsidR="00E62933" w:rsidRDefault="007A30D0">
      <w:pPr>
        <w:pStyle w:val="TableofFigures"/>
        <w:tabs>
          <w:tab w:val="right" w:leader="dot" w:pos="8494"/>
        </w:tabs>
        <w:rPr>
          <w:rFonts w:asciiTheme="minorHAnsi" w:eastAsiaTheme="minorEastAsia" w:hAnsiTheme="minorHAnsi"/>
          <w:noProof/>
          <w:lang w:eastAsia="en-GB"/>
        </w:rPr>
      </w:pPr>
      <w:hyperlink w:anchor="_Toc469982764" w:history="1">
        <w:r w:rsidR="00E62933" w:rsidRPr="00B111C0">
          <w:rPr>
            <w:rStyle w:val="Hyperlink"/>
            <w:noProof/>
          </w:rPr>
          <w:t>Figure 2.3 Total infected tree material by the fungal pathogen Neonectria ditissima. Trees were grown with and without AMF inoculation</w:t>
        </w:r>
        <w:r w:rsidR="002F26C5">
          <w:rPr>
            <w:rStyle w:val="Hyperlink"/>
            <w:noProof/>
          </w:rPr>
          <w:t>.</w:t>
        </w:r>
        <w:r w:rsidR="00E62933" w:rsidRPr="00B111C0">
          <w:rPr>
            <w:rStyle w:val="Hyperlink"/>
            <w:noProof/>
          </w:rPr>
          <w:t xml:space="preserve"> Error bars show SE of mean (n = 20). Treatments with different letters diffe significantly from one another (Tukey HSD, p&lt;0.05).</w:t>
        </w:r>
        <w:r w:rsidR="00E62933">
          <w:rPr>
            <w:noProof/>
            <w:webHidden/>
          </w:rPr>
          <w:tab/>
        </w:r>
        <w:r w:rsidR="00E62933">
          <w:rPr>
            <w:noProof/>
            <w:webHidden/>
          </w:rPr>
          <w:fldChar w:fldCharType="begin"/>
        </w:r>
        <w:r w:rsidR="00E62933">
          <w:rPr>
            <w:noProof/>
            <w:webHidden/>
          </w:rPr>
          <w:instrText xml:space="preserve"> PAGEREF _Toc469982764 \h </w:instrText>
        </w:r>
        <w:r w:rsidR="00E62933">
          <w:rPr>
            <w:noProof/>
            <w:webHidden/>
          </w:rPr>
        </w:r>
        <w:r w:rsidR="00E62933">
          <w:rPr>
            <w:noProof/>
            <w:webHidden/>
          </w:rPr>
          <w:fldChar w:fldCharType="separate"/>
        </w:r>
        <w:r w:rsidR="00E0714D">
          <w:rPr>
            <w:noProof/>
            <w:webHidden/>
          </w:rPr>
          <w:t>37</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65" w:history="1">
        <w:r w:rsidR="00E62933" w:rsidRPr="00B111C0">
          <w:rPr>
            <w:rStyle w:val="Hyperlink"/>
            <w:noProof/>
          </w:rPr>
          <w:t>Figure 2.4 Mean total above ground dry biomass and below ground biomass for apple trees grown under high and low nutrient applications. Error bars show SE of mean (n=24). Treatments with different letters show a signfiicant difference btween nutrient applications (Tukey HSD,  p&lt;0.05).</w:t>
        </w:r>
        <w:r w:rsidR="00E62933">
          <w:rPr>
            <w:noProof/>
            <w:webHidden/>
          </w:rPr>
          <w:tab/>
        </w:r>
        <w:r w:rsidR="00E62933">
          <w:rPr>
            <w:noProof/>
            <w:webHidden/>
          </w:rPr>
          <w:fldChar w:fldCharType="begin"/>
        </w:r>
        <w:r w:rsidR="00E62933">
          <w:rPr>
            <w:noProof/>
            <w:webHidden/>
          </w:rPr>
          <w:instrText xml:space="preserve"> PAGEREF _Toc469982765 \h </w:instrText>
        </w:r>
        <w:r w:rsidR="00E62933">
          <w:rPr>
            <w:noProof/>
            <w:webHidden/>
          </w:rPr>
        </w:r>
        <w:r w:rsidR="00E62933">
          <w:rPr>
            <w:noProof/>
            <w:webHidden/>
          </w:rPr>
          <w:fldChar w:fldCharType="separate"/>
        </w:r>
        <w:r w:rsidR="00E0714D">
          <w:rPr>
            <w:noProof/>
            <w:webHidden/>
          </w:rPr>
          <w:t>38</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66" w:history="1">
        <w:r w:rsidR="00E62933" w:rsidRPr="00B111C0">
          <w:rPr>
            <w:rStyle w:val="Hyperlink"/>
            <w:noProof/>
          </w:rPr>
          <w:t>Figure 3.1 Location of study orchards, woodland and arable sites within Herefordshire, UK.  Twenty five sites were sampled for each of the five habitat types. All samples were collected June to August 2013.</w:t>
        </w:r>
        <w:r w:rsidR="00E62933">
          <w:rPr>
            <w:noProof/>
            <w:webHidden/>
          </w:rPr>
          <w:tab/>
        </w:r>
        <w:r w:rsidR="00E62933">
          <w:rPr>
            <w:noProof/>
            <w:webHidden/>
          </w:rPr>
          <w:fldChar w:fldCharType="begin"/>
        </w:r>
        <w:r w:rsidR="00E62933">
          <w:rPr>
            <w:noProof/>
            <w:webHidden/>
          </w:rPr>
          <w:instrText xml:space="preserve"> PAGEREF _Toc469982766 \h </w:instrText>
        </w:r>
        <w:r w:rsidR="00E62933">
          <w:rPr>
            <w:noProof/>
            <w:webHidden/>
          </w:rPr>
        </w:r>
        <w:r w:rsidR="00E62933">
          <w:rPr>
            <w:noProof/>
            <w:webHidden/>
          </w:rPr>
          <w:fldChar w:fldCharType="separate"/>
        </w:r>
        <w:r w:rsidR="00E0714D">
          <w:rPr>
            <w:noProof/>
            <w:webHidden/>
          </w:rPr>
          <w:t>54</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67" w:history="1">
        <w:r w:rsidR="00E62933" w:rsidRPr="00B111C0">
          <w:rPr>
            <w:rStyle w:val="Hyperlink"/>
            <w:noProof/>
          </w:rPr>
          <w:t>Figure 3.2 Alpha rarefaction measurements of OTU number with sampling depth for reverse read sequences.  Individual lines show rarefaction curves for each of the 19 sites sampled per habitat type.</w:t>
        </w:r>
        <w:r w:rsidR="00E62933">
          <w:rPr>
            <w:noProof/>
            <w:webHidden/>
          </w:rPr>
          <w:tab/>
        </w:r>
        <w:r w:rsidR="00E62933">
          <w:rPr>
            <w:noProof/>
            <w:webHidden/>
          </w:rPr>
          <w:fldChar w:fldCharType="begin"/>
        </w:r>
        <w:r w:rsidR="00E62933">
          <w:rPr>
            <w:noProof/>
            <w:webHidden/>
          </w:rPr>
          <w:instrText xml:space="preserve"> PAGEREF _Toc469982767 \h </w:instrText>
        </w:r>
        <w:r w:rsidR="00E62933">
          <w:rPr>
            <w:noProof/>
            <w:webHidden/>
          </w:rPr>
        </w:r>
        <w:r w:rsidR="00E62933">
          <w:rPr>
            <w:noProof/>
            <w:webHidden/>
          </w:rPr>
          <w:fldChar w:fldCharType="separate"/>
        </w:r>
        <w:r w:rsidR="00E0714D">
          <w:rPr>
            <w:noProof/>
            <w:webHidden/>
          </w:rPr>
          <w:t>63</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68" w:history="1">
        <w:r w:rsidR="00E62933" w:rsidRPr="00B111C0">
          <w:rPr>
            <w:rStyle w:val="Hyperlink"/>
            <w:noProof/>
          </w:rPr>
          <w:t xml:space="preserve">Figure 3.3 Neighbour joining tree showing the phylogenetic relationship of OTUs identified by this study to all Glomeromycotan virtual taxa type sequences available from the </w:t>
        </w:r>
        <w:r w:rsidR="00E62933" w:rsidRPr="00B111C0">
          <w:rPr>
            <w:rStyle w:val="Hyperlink"/>
            <w:noProof/>
          </w:rPr>
          <w:lastRenderedPageBreak/>
          <w:t xml:space="preserve">MaarjAM database </w:t>
        </w:r>
        <w:r w:rsidR="00E62933" w:rsidRPr="00B111C0">
          <w:rPr>
            <w:rStyle w:val="Hyperlink"/>
            <w:rFonts w:cs="Times New Roman"/>
            <w:noProof/>
          </w:rPr>
          <w:t xml:space="preserve">(Opik </w:t>
        </w:r>
        <w:r w:rsidR="00E62933" w:rsidRPr="00B111C0">
          <w:rPr>
            <w:rStyle w:val="Hyperlink"/>
            <w:rFonts w:cs="Times New Roman"/>
            <w:i/>
            <w:noProof/>
          </w:rPr>
          <w:t>et al.</w:t>
        </w:r>
        <w:r w:rsidR="00E62933" w:rsidRPr="00B111C0">
          <w:rPr>
            <w:rStyle w:val="Hyperlink"/>
            <w:rFonts w:cs="Times New Roman"/>
            <w:noProof/>
          </w:rPr>
          <w:t>, 2010)</w:t>
        </w:r>
        <w:r w:rsidR="00E62933" w:rsidRPr="00B111C0">
          <w:rPr>
            <w:rStyle w:val="Hyperlink"/>
            <w:noProof/>
          </w:rPr>
          <w:t>. OTU positions are indicated by coloured circles. Colour codes represent OTU abundance and are as follows; red: &gt;1% of total sequences; orange: &lt;1% of total sequences. Fungal genera are shaded according to classification of VTs within the MaarjAM database.</w:t>
        </w:r>
        <w:r w:rsidR="00E62933">
          <w:rPr>
            <w:noProof/>
            <w:webHidden/>
          </w:rPr>
          <w:tab/>
        </w:r>
        <w:r w:rsidR="00E62933">
          <w:rPr>
            <w:noProof/>
            <w:webHidden/>
          </w:rPr>
          <w:fldChar w:fldCharType="begin"/>
        </w:r>
        <w:r w:rsidR="00E62933">
          <w:rPr>
            <w:noProof/>
            <w:webHidden/>
          </w:rPr>
          <w:instrText xml:space="preserve"> PAGEREF _Toc469982768 \h </w:instrText>
        </w:r>
        <w:r w:rsidR="00E62933">
          <w:rPr>
            <w:noProof/>
            <w:webHidden/>
          </w:rPr>
        </w:r>
        <w:r w:rsidR="00E62933">
          <w:rPr>
            <w:noProof/>
            <w:webHidden/>
          </w:rPr>
          <w:fldChar w:fldCharType="separate"/>
        </w:r>
        <w:r w:rsidR="00E0714D">
          <w:rPr>
            <w:noProof/>
            <w:webHidden/>
          </w:rPr>
          <w:t>64</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69" w:history="1">
        <w:r w:rsidR="00E62933" w:rsidRPr="00B111C0">
          <w:rPr>
            <w:rStyle w:val="Hyperlink"/>
            <w:noProof/>
          </w:rPr>
          <w:t xml:space="preserve">Figure 3.4 Neighbour joining tree showing the phylogenetic similarity of OTU1, 6 and 24 to Glomus virtual taxa type sequences from MaarjAM database </w:t>
        </w:r>
        <w:r w:rsidR="00E62933" w:rsidRPr="00B111C0">
          <w:rPr>
            <w:rStyle w:val="Hyperlink"/>
            <w:rFonts w:cs="Times New Roman"/>
            <w:noProof/>
          </w:rPr>
          <w:t xml:space="preserve">(Opik </w:t>
        </w:r>
        <w:r w:rsidR="00E62933" w:rsidRPr="00B111C0">
          <w:rPr>
            <w:rStyle w:val="Hyperlink"/>
            <w:rFonts w:cs="Times New Roman"/>
            <w:i/>
            <w:noProof/>
          </w:rPr>
          <w:t>et al.</w:t>
        </w:r>
        <w:r w:rsidR="00E62933" w:rsidRPr="00B111C0">
          <w:rPr>
            <w:rStyle w:val="Hyperlink"/>
            <w:rFonts w:cs="Times New Roman"/>
            <w:noProof/>
          </w:rPr>
          <w:t>, 2010)</w:t>
        </w:r>
        <w:r w:rsidR="00E62933" w:rsidRPr="00B111C0">
          <w:rPr>
            <w:rStyle w:val="Hyperlink"/>
            <w:noProof/>
          </w:rPr>
          <w:t>. NCBI Genbank accession numbers and MaarjAM VT numbers are labelled for each type sequence. OTUs labelled according to relative OTU abundance within total sequences numbers; red: &gt;1% totals sequences; orange: &lt;1% total sequences. Blue shaded VT’s indicate Glomus outgroups. Bootstrap values &gt;70% are shown.</w:t>
        </w:r>
        <w:r w:rsidR="00E62933">
          <w:rPr>
            <w:noProof/>
            <w:webHidden/>
          </w:rPr>
          <w:tab/>
        </w:r>
        <w:r w:rsidR="00E62933">
          <w:rPr>
            <w:noProof/>
            <w:webHidden/>
          </w:rPr>
          <w:fldChar w:fldCharType="begin"/>
        </w:r>
        <w:r w:rsidR="00E62933">
          <w:rPr>
            <w:noProof/>
            <w:webHidden/>
          </w:rPr>
          <w:instrText xml:space="preserve"> PAGEREF _Toc469982769 \h </w:instrText>
        </w:r>
        <w:r w:rsidR="00E62933">
          <w:rPr>
            <w:noProof/>
            <w:webHidden/>
          </w:rPr>
        </w:r>
        <w:r w:rsidR="00E62933">
          <w:rPr>
            <w:noProof/>
            <w:webHidden/>
          </w:rPr>
          <w:fldChar w:fldCharType="separate"/>
        </w:r>
        <w:r w:rsidR="00E0714D">
          <w:rPr>
            <w:noProof/>
            <w:webHidden/>
          </w:rPr>
          <w:t>65</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70" w:history="1">
        <w:r w:rsidR="00E62933" w:rsidRPr="00B111C0">
          <w:rPr>
            <w:rStyle w:val="Hyperlink"/>
            <w:noProof/>
          </w:rPr>
          <w:t xml:space="preserve">Figure 3.5 Neighbour joining tree showing the phylogenetic similarity of OTU 7 to Glomus virtual taxa type sequences from MaarjAM database </w:t>
        </w:r>
        <w:r w:rsidR="00E62933" w:rsidRPr="00B111C0">
          <w:rPr>
            <w:rStyle w:val="Hyperlink"/>
            <w:rFonts w:cs="Times New Roman"/>
            <w:noProof/>
          </w:rPr>
          <w:t xml:space="preserve">(Opik </w:t>
        </w:r>
        <w:r w:rsidR="00E62933" w:rsidRPr="00B111C0">
          <w:rPr>
            <w:rStyle w:val="Hyperlink"/>
            <w:rFonts w:cs="Times New Roman"/>
            <w:i/>
            <w:noProof/>
          </w:rPr>
          <w:t>et al.</w:t>
        </w:r>
        <w:r w:rsidR="00E62933" w:rsidRPr="00B111C0">
          <w:rPr>
            <w:rStyle w:val="Hyperlink"/>
            <w:rFonts w:cs="Times New Roman"/>
            <w:noProof/>
          </w:rPr>
          <w:t>, 2010)</w:t>
        </w:r>
        <w:r w:rsidR="00E62933" w:rsidRPr="00B111C0">
          <w:rPr>
            <w:rStyle w:val="Hyperlink"/>
            <w:noProof/>
          </w:rPr>
          <w:t>. NCBI Genbank accession numbers and MaarjAM VT numbers are labelled for each type sequence. OTUs labelled according to relative OTU abundance within total sequences numbers; red: &gt;1% totals sequences; orange: &lt;1% total sequence, pink: &lt;1% total sequences but significantly different relative abundance shown between habitat types. Blue shaded VT’s indicate Glomus outgroups. Bootstrap values &gt;70% are shown.</w:t>
        </w:r>
        <w:r w:rsidR="00E62933">
          <w:rPr>
            <w:noProof/>
            <w:webHidden/>
          </w:rPr>
          <w:tab/>
        </w:r>
        <w:r w:rsidR="00E62933">
          <w:rPr>
            <w:noProof/>
            <w:webHidden/>
          </w:rPr>
          <w:fldChar w:fldCharType="begin"/>
        </w:r>
        <w:r w:rsidR="00E62933">
          <w:rPr>
            <w:noProof/>
            <w:webHidden/>
          </w:rPr>
          <w:instrText xml:space="preserve"> PAGEREF _Toc469982770 \h </w:instrText>
        </w:r>
        <w:r w:rsidR="00E62933">
          <w:rPr>
            <w:noProof/>
            <w:webHidden/>
          </w:rPr>
        </w:r>
        <w:r w:rsidR="00E62933">
          <w:rPr>
            <w:noProof/>
            <w:webHidden/>
          </w:rPr>
          <w:fldChar w:fldCharType="separate"/>
        </w:r>
        <w:r w:rsidR="00E0714D">
          <w:rPr>
            <w:noProof/>
            <w:webHidden/>
          </w:rPr>
          <w:t>66</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71" w:history="1">
        <w:r w:rsidR="00E62933" w:rsidRPr="00B111C0">
          <w:rPr>
            <w:rStyle w:val="Hyperlink"/>
            <w:noProof/>
          </w:rPr>
          <w:t xml:space="preserve">Figure 3.6 Neighbour joining tree showing the phylogenetic similarity of OTU 5 and 34 to Glomus virtual taxa type sequences from MaarjAM database </w:t>
        </w:r>
        <w:r w:rsidR="00E62933" w:rsidRPr="00B111C0">
          <w:rPr>
            <w:rStyle w:val="Hyperlink"/>
            <w:rFonts w:cs="Times New Roman"/>
            <w:noProof/>
          </w:rPr>
          <w:t xml:space="preserve">(Opik </w:t>
        </w:r>
        <w:r w:rsidR="00E62933" w:rsidRPr="00B111C0">
          <w:rPr>
            <w:rStyle w:val="Hyperlink"/>
            <w:rFonts w:cs="Times New Roman"/>
            <w:i/>
            <w:noProof/>
          </w:rPr>
          <w:t>et al.</w:t>
        </w:r>
        <w:r w:rsidR="00E62933" w:rsidRPr="00B111C0">
          <w:rPr>
            <w:rStyle w:val="Hyperlink"/>
            <w:rFonts w:cs="Times New Roman"/>
            <w:noProof/>
          </w:rPr>
          <w:t>, 2010)</w:t>
        </w:r>
        <w:r w:rsidR="00E62933" w:rsidRPr="00B111C0">
          <w:rPr>
            <w:rStyle w:val="Hyperlink"/>
            <w:noProof/>
          </w:rPr>
          <w:t>. NCBI Genbank accession numbers and MaarjAM VT numbers are labelled for each type sequence. OTUs labelled according to relative OTU abundance within total sequences numbers; red: &gt;1% totals sequences; orange: &lt;1% total sequence. Blue shaded VT’s indicate Glomus outgroups. Bootstrap values &gt;70% are shown.</w:t>
        </w:r>
        <w:r w:rsidR="00E62933">
          <w:rPr>
            <w:noProof/>
            <w:webHidden/>
          </w:rPr>
          <w:tab/>
        </w:r>
        <w:r w:rsidR="00E62933">
          <w:rPr>
            <w:noProof/>
            <w:webHidden/>
          </w:rPr>
          <w:fldChar w:fldCharType="begin"/>
        </w:r>
        <w:r w:rsidR="00E62933">
          <w:rPr>
            <w:noProof/>
            <w:webHidden/>
          </w:rPr>
          <w:instrText xml:space="preserve"> PAGEREF _Toc469982771 \h </w:instrText>
        </w:r>
        <w:r w:rsidR="00E62933">
          <w:rPr>
            <w:noProof/>
            <w:webHidden/>
          </w:rPr>
        </w:r>
        <w:r w:rsidR="00E62933">
          <w:rPr>
            <w:noProof/>
            <w:webHidden/>
          </w:rPr>
          <w:fldChar w:fldCharType="separate"/>
        </w:r>
        <w:r w:rsidR="00E0714D">
          <w:rPr>
            <w:noProof/>
            <w:webHidden/>
          </w:rPr>
          <w:t>67</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72" w:history="1">
        <w:r w:rsidR="00E62933" w:rsidRPr="00B111C0">
          <w:rPr>
            <w:rStyle w:val="Hyperlink"/>
            <w:noProof/>
          </w:rPr>
          <w:t xml:space="preserve">Figure 3.7 Neighbour joining tree showing the phylogenetic similarity of OTU 8, 9, 10 and 15 to Glomus virtual taxa type sequences from MaarjAM database </w:t>
        </w:r>
        <w:r w:rsidR="00E62933" w:rsidRPr="00B111C0">
          <w:rPr>
            <w:rStyle w:val="Hyperlink"/>
            <w:rFonts w:cs="Times New Roman"/>
            <w:noProof/>
          </w:rPr>
          <w:t xml:space="preserve">(Opik </w:t>
        </w:r>
        <w:r w:rsidR="00E62933" w:rsidRPr="00B111C0">
          <w:rPr>
            <w:rStyle w:val="Hyperlink"/>
            <w:rFonts w:cs="Times New Roman"/>
            <w:i/>
            <w:noProof/>
          </w:rPr>
          <w:t>et al.</w:t>
        </w:r>
        <w:r w:rsidR="00E62933" w:rsidRPr="00B111C0">
          <w:rPr>
            <w:rStyle w:val="Hyperlink"/>
            <w:rFonts w:cs="Times New Roman"/>
            <w:noProof/>
          </w:rPr>
          <w:t>, 2010)</w:t>
        </w:r>
        <w:r w:rsidR="00E62933" w:rsidRPr="00B111C0">
          <w:rPr>
            <w:rStyle w:val="Hyperlink"/>
            <w:noProof/>
          </w:rPr>
          <w:t>. NCBI Genbank accession numbers and MaarjAM VT numbers are labelled for each type sequence. OTUs labelled according to relative OTU abundance within total sequences numbers; red: &gt;1% totals sequences; orange: &lt;1% total sequence, pink: &lt;1% total sequences but significantly different relative abundance shown between habitat types. Blue shaded VT’s indicate Glomus outgroups. Bootstrap values &gt;70% are shown.</w:t>
        </w:r>
        <w:r w:rsidR="00E62933">
          <w:rPr>
            <w:noProof/>
            <w:webHidden/>
          </w:rPr>
          <w:tab/>
        </w:r>
        <w:r w:rsidR="00E62933">
          <w:rPr>
            <w:noProof/>
            <w:webHidden/>
          </w:rPr>
          <w:fldChar w:fldCharType="begin"/>
        </w:r>
        <w:r w:rsidR="00E62933">
          <w:rPr>
            <w:noProof/>
            <w:webHidden/>
          </w:rPr>
          <w:instrText xml:space="preserve"> PAGEREF _Toc469982772 \h </w:instrText>
        </w:r>
        <w:r w:rsidR="00E62933">
          <w:rPr>
            <w:noProof/>
            <w:webHidden/>
          </w:rPr>
        </w:r>
        <w:r w:rsidR="00E62933">
          <w:rPr>
            <w:noProof/>
            <w:webHidden/>
          </w:rPr>
          <w:fldChar w:fldCharType="separate"/>
        </w:r>
        <w:r w:rsidR="00E0714D">
          <w:rPr>
            <w:noProof/>
            <w:webHidden/>
          </w:rPr>
          <w:t>68</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73" w:history="1">
        <w:r w:rsidR="00E62933" w:rsidRPr="00B111C0">
          <w:rPr>
            <w:rStyle w:val="Hyperlink"/>
            <w:noProof/>
          </w:rPr>
          <w:t xml:space="preserve">Figure 3.8 Glomus subgroup 5 neighbour joining tree showing the phylogenetic similarity of OTU 11 and 17 to Glomus virtual taxa type sequences from MaarjAM database </w:t>
        </w:r>
        <w:r w:rsidR="00E62933" w:rsidRPr="00B111C0">
          <w:rPr>
            <w:rStyle w:val="Hyperlink"/>
            <w:rFonts w:cs="Times New Roman"/>
            <w:noProof/>
          </w:rPr>
          <w:t xml:space="preserve">(Opik </w:t>
        </w:r>
        <w:r w:rsidR="00E62933" w:rsidRPr="00B111C0">
          <w:rPr>
            <w:rStyle w:val="Hyperlink"/>
            <w:rFonts w:cs="Times New Roman"/>
            <w:i/>
            <w:noProof/>
          </w:rPr>
          <w:t>et al.</w:t>
        </w:r>
        <w:r w:rsidR="00E62933" w:rsidRPr="00B111C0">
          <w:rPr>
            <w:rStyle w:val="Hyperlink"/>
            <w:rFonts w:cs="Times New Roman"/>
            <w:noProof/>
          </w:rPr>
          <w:t>, 2010)</w:t>
        </w:r>
        <w:r w:rsidR="00E62933" w:rsidRPr="00B111C0">
          <w:rPr>
            <w:rStyle w:val="Hyperlink"/>
            <w:noProof/>
          </w:rPr>
          <w:t>. NCBI Genbank accession numbers and MaarjAM VT numbers are labelled for each type sequence. OTUs labelled according to relative OTU abundance within total sequences numbers; red: &gt;1% totals sequences; orange: &lt;1% total sequence. Blue shaded VT’s indicate Glomus outgroups. Bootstrap values &gt;70% are shown.</w:t>
        </w:r>
        <w:r w:rsidR="00E62933">
          <w:rPr>
            <w:noProof/>
            <w:webHidden/>
          </w:rPr>
          <w:tab/>
        </w:r>
        <w:r w:rsidR="00E62933">
          <w:rPr>
            <w:noProof/>
            <w:webHidden/>
          </w:rPr>
          <w:fldChar w:fldCharType="begin"/>
        </w:r>
        <w:r w:rsidR="00E62933">
          <w:rPr>
            <w:noProof/>
            <w:webHidden/>
          </w:rPr>
          <w:instrText xml:space="preserve"> PAGEREF _Toc469982773 \h </w:instrText>
        </w:r>
        <w:r w:rsidR="00E62933">
          <w:rPr>
            <w:noProof/>
            <w:webHidden/>
          </w:rPr>
        </w:r>
        <w:r w:rsidR="00E62933">
          <w:rPr>
            <w:noProof/>
            <w:webHidden/>
          </w:rPr>
          <w:fldChar w:fldCharType="separate"/>
        </w:r>
        <w:r w:rsidR="00E0714D">
          <w:rPr>
            <w:noProof/>
            <w:webHidden/>
          </w:rPr>
          <w:t>69</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74" w:history="1">
        <w:r w:rsidR="00E62933" w:rsidRPr="00B111C0">
          <w:rPr>
            <w:rStyle w:val="Hyperlink"/>
            <w:noProof/>
          </w:rPr>
          <w:t xml:space="preserve">Figure 3.9 Neighbour joining tree showing the phylogenetic similarity of OTU 3 and 4 with Claroideoglomus virtual taxa type sequences from MaarjAM database </w:t>
        </w:r>
        <w:r w:rsidR="00E62933" w:rsidRPr="00B111C0">
          <w:rPr>
            <w:rStyle w:val="Hyperlink"/>
            <w:rFonts w:cs="Times New Roman"/>
            <w:noProof/>
          </w:rPr>
          <w:t xml:space="preserve">(Opik </w:t>
        </w:r>
        <w:r w:rsidR="00E62933" w:rsidRPr="00B111C0">
          <w:rPr>
            <w:rStyle w:val="Hyperlink"/>
            <w:rFonts w:cs="Times New Roman"/>
            <w:i/>
            <w:noProof/>
          </w:rPr>
          <w:t>et al.</w:t>
        </w:r>
        <w:r w:rsidR="00E62933" w:rsidRPr="00B111C0">
          <w:rPr>
            <w:rStyle w:val="Hyperlink"/>
            <w:rFonts w:cs="Times New Roman"/>
            <w:noProof/>
          </w:rPr>
          <w:t>, 2010)</w:t>
        </w:r>
        <w:r w:rsidR="00E62933" w:rsidRPr="00B111C0">
          <w:rPr>
            <w:rStyle w:val="Hyperlink"/>
            <w:noProof/>
          </w:rPr>
          <w:t xml:space="preserve">. </w:t>
        </w:r>
        <w:r w:rsidR="00E62933" w:rsidRPr="00B111C0">
          <w:rPr>
            <w:rStyle w:val="Hyperlink"/>
            <w:noProof/>
          </w:rPr>
          <w:lastRenderedPageBreak/>
          <w:t>NCBI Genbank accession numbers and MaarjAM VT numbers are labelled for each type sequence. OTUs labelled according to relative OTU abundance within total sequences numbers; red: &gt;1% totals sequences; orange: &lt;1% total sequence. Blue shaded VT’s indicate Glomus outgroups. Bootstrap values &gt;70% are shown.</w:t>
        </w:r>
        <w:r w:rsidR="00E62933">
          <w:rPr>
            <w:noProof/>
            <w:webHidden/>
          </w:rPr>
          <w:tab/>
        </w:r>
        <w:r w:rsidR="00E62933">
          <w:rPr>
            <w:noProof/>
            <w:webHidden/>
          </w:rPr>
          <w:fldChar w:fldCharType="begin"/>
        </w:r>
        <w:r w:rsidR="00E62933">
          <w:rPr>
            <w:noProof/>
            <w:webHidden/>
          </w:rPr>
          <w:instrText xml:space="preserve"> PAGEREF _Toc469982774 \h </w:instrText>
        </w:r>
        <w:r w:rsidR="00E62933">
          <w:rPr>
            <w:noProof/>
            <w:webHidden/>
          </w:rPr>
        </w:r>
        <w:r w:rsidR="00E62933">
          <w:rPr>
            <w:noProof/>
            <w:webHidden/>
          </w:rPr>
          <w:fldChar w:fldCharType="separate"/>
        </w:r>
        <w:r w:rsidR="00E0714D">
          <w:rPr>
            <w:noProof/>
            <w:webHidden/>
          </w:rPr>
          <w:t>70</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75" w:history="1">
        <w:r w:rsidR="00E62933" w:rsidRPr="00B111C0">
          <w:rPr>
            <w:rStyle w:val="Hyperlink"/>
            <w:noProof/>
          </w:rPr>
          <w:t xml:space="preserve">Figure 3.10 Neighbour joining tree showing the phylogenetic similarity of OTU20 and 25 to  Archaeospora virtual taxa type sequences from MaarjAM database </w:t>
        </w:r>
        <w:r w:rsidR="00E62933" w:rsidRPr="00B111C0">
          <w:rPr>
            <w:rStyle w:val="Hyperlink"/>
            <w:rFonts w:cs="Times New Roman"/>
            <w:noProof/>
          </w:rPr>
          <w:t xml:space="preserve">(Opik </w:t>
        </w:r>
        <w:r w:rsidR="00E62933" w:rsidRPr="00B111C0">
          <w:rPr>
            <w:rStyle w:val="Hyperlink"/>
            <w:rFonts w:cs="Times New Roman"/>
            <w:i/>
            <w:noProof/>
          </w:rPr>
          <w:t>et al.</w:t>
        </w:r>
        <w:r w:rsidR="00E62933" w:rsidRPr="00B111C0">
          <w:rPr>
            <w:rStyle w:val="Hyperlink"/>
            <w:rFonts w:cs="Times New Roman"/>
            <w:noProof/>
          </w:rPr>
          <w:t>, 2010)</w:t>
        </w:r>
        <w:r w:rsidR="00E62933" w:rsidRPr="00B111C0">
          <w:rPr>
            <w:rStyle w:val="Hyperlink"/>
            <w:noProof/>
          </w:rPr>
          <w:t>. NCBI Genbank accession numbers and MaarjAM VT numbers are labelled for each type sequence. OTUs labelled according to relative OTU abundance within total sequences numbers; red: &gt;1% totals sequences; orange: &lt;1% total sequence, pink: &lt;1% total sequences but significantly different relative abundance shown between habitat types. Blue shaded VT’s indicate Paraglomus outgroups. Bootstrap values &gt;70% are shown.</w:t>
        </w:r>
        <w:r w:rsidR="00E62933">
          <w:rPr>
            <w:noProof/>
            <w:webHidden/>
          </w:rPr>
          <w:tab/>
        </w:r>
        <w:r w:rsidR="00E62933">
          <w:rPr>
            <w:noProof/>
            <w:webHidden/>
          </w:rPr>
          <w:fldChar w:fldCharType="begin"/>
        </w:r>
        <w:r w:rsidR="00E62933">
          <w:rPr>
            <w:noProof/>
            <w:webHidden/>
          </w:rPr>
          <w:instrText xml:space="preserve"> PAGEREF _Toc469982775 \h </w:instrText>
        </w:r>
        <w:r w:rsidR="00E62933">
          <w:rPr>
            <w:noProof/>
            <w:webHidden/>
          </w:rPr>
        </w:r>
        <w:r w:rsidR="00E62933">
          <w:rPr>
            <w:noProof/>
            <w:webHidden/>
          </w:rPr>
          <w:fldChar w:fldCharType="separate"/>
        </w:r>
        <w:r w:rsidR="00E0714D">
          <w:rPr>
            <w:noProof/>
            <w:webHidden/>
          </w:rPr>
          <w:t>71</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76" w:history="1">
        <w:r w:rsidR="00E62933" w:rsidRPr="00B111C0">
          <w:rPr>
            <w:rStyle w:val="Hyperlink"/>
            <w:noProof/>
          </w:rPr>
          <w:t xml:space="preserve">Figure 3.11 Neighbour joining tree showing the phylogenetic similarity of OTUs identified by this study with Acaulospora virtual taxa type sequences from MaarjAM database </w:t>
        </w:r>
        <w:r w:rsidR="00E62933" w:rsidRPr="00B111C0">
          <w:rPr>
            <w:rStyle w:val="Hyperlink"/>
            <w:rFonts w:cs="Times New Roman"/>
            <w:noProof/>
          </w:rPr>
          <w:t xml:space="preserve">(Opik </w:t>
        </w:r>
        <w:r w:rsidR="00E62933" w:rsidRPr="00B111C0">
          <w:rPr>
            <w:rStyle w:val="Hyperlink"/>
            <w:rFonts w:cs="Times New Roman"/>
            <w:i/>
            <w:noProof/>
          </w:rPr>
          <w:t>et al.</w:t>
        </w:r>
        <w:r w:rsidR="00E62933" w:rsidRPr="00B111C0">
          <w:rPr>
            <w:rStyle w:val="Hyperlink"/>
            <w:rFonts w:cs="Times New Roman"/>
            <w:noProof/>
          </w:rPr>
          <w:t>, 2010)</w:t>
        </w:r>
        <w:r w:rsidR="00E62933" w:rsidRPr="00B111C0">
          <w:rPr>
            <w:rStyle w:val="Hyperlink"/>
            <w:noProof/>
          </w:rPr>
          <w:t>. NCBI Genbank accession numbers and MaarjAM VT numbers are labelled for each type sequence. OTUs labelled according to relative OTU abundance within total sequences numbers; red: &gt;1% totals sequences; orange: &lt;1% total sequence. Blue shaded VT’s are Diversispora outgroups. Bootstrap values &gt;70% are shown</w:t>
        </w:r>
        <w:r w:rsidR="00E62933">
          <w:rPr>
            <w:noProof/>
            <w:webHidden/>
          </w:rPr>
          <w:tab/>
        </w:r>
        <w:r w:rsidR="00E62933">
          <w:rPr>
            <w:noProof/>
            <w:webHidden/>
          </w:rPr>
          <w:fldChar w:fldCharType="begin"/>
        </w:r>
        <w:r w:rsidR="00E62933">
          <w:rPr>
            <w:noProof/>
            <w:webHidden/>
          </w:rPr>
          <w:instrText xml:space="preserve"> PAGEREF _Toc469982776 \h </w:instrText>
        </w:r>
        <w:r w:rsidR="00E62933">
          <w:rPr>
            <w:noProof/>
            <w:webHidden/>
          </w:rPr>
        </w:r>
        <w:r w:rsidR="00E62933">
          <w:rPr>
            <w:noProof/>
            <w:webHidden/>
          </w:rPr>
          <w:fldChar w:fldCharType="separate"/>
        </w:r>
        <w:r w:rsidR="00E0714D">
          <w:rPr>
            <w:noProof/>
            <w:webHidden/>
          </w:rPr>
          <w:t>72</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77" w:history="1">
        <w:r w:rsidR="00E62933" w:rsidRPr="00B111C0">
          <w:rPr>
            <w:rStyle w:val="Hyperlink"/>
            <w:noProof/>
          </w:rPr>
          <w:t xml:space="preserve">Figure 3.12 Mean TRF number per habitat type calculated from restriction with (a) both enzymes combined (b) </w:t>
        </w:r>
        <w:r w:rsidR="00E62933" w:rsidRPr="00B111C0">
          <w:rPr>
            <w:rStyle w:val="Hyperlink"/>
            <w:i/>
            <w:noProof/>
          </w:rPr>
          <w:t>Hinf</w:t>
        </w:r>
        <w:r w:rsidR="00E62933" w:rsidRPr="00B111C0">
          <w:rPr>
            <w:rStyle w:val="Hyperlink"/>
            <w:noProof/>
          </w:rPr>
          <w:t xml:space="preserve">-I, (c) </w:t>
        </w:r>
        <w:r w:rsidR="00E62933" w:rsidRPr="00B111C0">
          <w:rPr>
            <w:rStyle w:val="Hyperlink"/>
            <w:i/>
            <w:noProof/>
          </w:rPr>
          <w:t>HpyCH4-III</w:t>
        </w:r>
        <w:r w:rsidR="00E62933" w:rsidRPr="00B111C0">
          <w:rPr>
            <w:rStyle w:val="Hyperlink"/>
            <w:noProof/>
          </w:rPr>
          <w:t xml:space="preserve">. Mean Simpson’s diversity indices calculated from restriction with (d) both enzymes (e) </w:t>
        </w:r>
        <w:r w:rsidR="00E62933" w:rsidRPr="00B111C0">
          <w:rPr>
            <w:rStyle w:val="Hyperlink"/>
            <w:i/>
            <w:noProof/>
          </w:rPr>
          <w:t>Hinf</w:t>
        </w:r>
        <w:r w:rsidR="00E62933" w:rsidRPr="00B111C0">
          <w:rPr>
            <w:rStyle w:val="Hyperlink"/>
            <w:noProof/>
          </w:rPr>
          <w:t xml:space="preserve">-I, (f) HpyCH4-III. Error bars show SE of mean (n=25). Habitat codes are as follows; (A; arable, CB; conventional bush orchard, CS; conventional standard orchard, OS; organic standard orchard; W; woodland.). Habitats with the same letter do not differ significantly from one another (Tukey, HSD </w:t>
        </w:r>
        <w:r w:rsidR="00E62933" w:rsidRPr="00B111C0">
          <w:rPr>
            <w:rStyle w:val="Hyperlink"/>
            <w:i/>
            <w:noProof/>
          </w:rPr>
          <w:t>P</w:t>
        </w:r>
        <w:r w:rsidR="00E62933" w:rsidRPr="00B111C0">
          <w:rPr>
            <w:rStyle w:val="Hyperlink"/>
            <w:noProof/>
          </w:rPr>
          <w:t>&lt;0.05).</w:t>
        </w:r>
        <w:r w:rsidR="00E62933">
          <w:rPr>
            <w:noProof/>
            <w:webHidden/>
          </w:rPr>
          <w:tab/>
        </w:r>
        <w:r w:rsidR="00E62933">
          <w:rPr>
            <w:noProof/>
            <w:webHidden/>
          </w:rPr>
          <w:fldChar w:fldCharType="begin"/>
        </w:r>
        <w:r w:rsidR="00E62933">
          <w:rPr>
            <w:noProof/>
            <w:webHidden/>
          </w:rPr>
          <w:instrText xml:space="preserve"> PAGEREF _Toc469982777 \h </w:instrText>
        </w:r>
        <w:r w:rsidR="00E62933">
          <w:rPr>
            <w:noProof/>
            <w:webHidden/>
          </w:rPr>
        </w:r>
        <w:r w:rsidR="00E62933">
          <w:rPr>
            <w:noProof/>
            <w:webHidden/>
          </w:rPr>
          <w:fldChar w:fldCharType="separate"/>
        </w:r>
        <w:r w:rsidR="00E0714D">
          <w:rPr>
            <w:noProof/>
            <w:webHidden/>
          </w:rPr>
          <w:t>77</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78" w:history="1">
        <w:r w:rsidR="00E62933" w:rsidRPr="00B111C0">
          <w:rPr>
            <w:rStyle w:val="Hyperlink"/>
            <w:noProof/>
          </w:rPr>
          <w:t xml:space="preserve">Figure 3.13 PCA scores which were significantly affected by habitat type for (a) and (b) TRF relative abundance, (d) TRF presence/absence. PCA analysis showed that TRF relative abundance was more strongly effected by habitat type than TRF presence/absence. Percentage variation in data explained by principal components from analysis of (c) relative abundance data and (e) TRF presence/absence. Habitat types are as follows; A; Arable, CB; conventional bush orchard, CS; conventional standard orchard, OS; organic standard orchard, W; woodland. TRF data is from both restriction with both </w:t>
        </w:r>
        <w:r w:rsidR="00E62933" w:rsidRPr="00B111C0">
          <w:rPr>
            <w:rStyle w:val="Hyperlink"/>
            <w:i/>
            <w:noProof/>
          </w:rPr>
          <w:t>Hinf</w:t>
        </w:r>
        <w:r w:rsidR="00E62933" w:rsidRPr="00B111C0">
          <w:rPr>
            <w:rStyle w:val="Hyperlink"/>
            <w:noProof/>
          </w:rPr>
          <w:t xml:space="preserve">-I and </w:t>
        </w:r>
        <w:r w:rsidR="00E62933" w:rsidRPr="00B111C0">
          <w:rPr>
            <w:rStyle w:val="Hyperlink"/>
            <w:i/>
            <w:noProof/>
          </w:rPr>
          <w:t>HpyCH4</w:t>
        </w:r>
        <w:r w:rsidR="00E62933" w:rsidRPr="00B111C0">
          <w:rPr>
            <w:rStyle w:val="Hyperlink"/>
            <w:noProof/>
          </w:rPr>
          <w:t>-III restriction enzymes</w:t>
        </w:r>
        <w:r w:rsidR="00E62933">
          <w:rPr>
            <w:noProof/>
            <w:webHidden/>
          </w:rPr>
          <w:tab/>
        </w:r>
        <w:r w:rsidR="00E62933">
          <w:rPr>
            <w:noProof/>
            <w:webHidden/>
          </w:rPr>
          <w:fldChar w:fldCharType="begin"/>
        </w:r>
        <w:r w:rsidR="00E62933">
          <w:rPr>
            <w:noProof/>
            <w:webHidden/>
          </w:rPr>
          <w:instrText xml:space="preserve"> PAGEREF _Toc469982778 \h </w:instrText>
        </w:r>
        <w:r w:rsidR="00E62933">
          <w:rPr>
            <w:noProof/>
            <w:webHidden/>
          </w:rPr>
        </w:r>
        <w:r w:rsidR="00E62933">
          <w:rPr>
            <w:noProof/>
            <w:webHidden/>
          </w:rPr>
          <w:fldChar w:fldCharType="separate"/>
        </w:r>
        <w:r w:rsidR="00E0714D">
          <w:rPr>
            <w:noProof/>
            <w:webHidden/>
          </w:rPr>
          <w:t>79</w:t>
        </w:r>
        <w:r w:rsidR="00E62933">
          <w:rPr>
            <w:noProof/>
            <w:webHidden/>
          </w:rPr>
          <w:fldChar w:fldCharType="end"/>
        </w:r>
      </w:hyperlink>
    </w:p>
    <w:p w:rsidR="00E62933" w:rsidRDefault="007A30D0">
      <w:pPr>
        <w:pStyle w:val="TableofFigures"/>
        <w:tabs>
          <w:tab w:val="right" w:leader="dot" w:pos="8494"/>
        </w:tabs>
        <w:rPr>
          <w:rFonts w:asciiTheme="minorHAnsi" w:eastAsiaTheme="minorEastAsia" w:hAnsiTheme="minorHAnsi"/>
          <w:noProof/>
          <w:lang w:eastAsia="en-GB"/>
        </w:rPr>
      </w:pPr>
      <w:hyperlink w:anchor="_Toc469982779" w:history="1">
        <w:r w:rsidR="00E62933" w:rsidRPr="00B111C0">
          <w:rPr>
            <w:rStyle w:val="Hyperlink"/>
            <w:noProof/>
          </w:rPr>
          <w:t>Figure 3.14 Average relative abundance of terminal restriction fragments (T</w:t>
        </w:r>
        <w:r>
          <w:rPr>
            <w:rStyle w:val="Hyperlink"/>
            <w:noProof/>
          </w:rPr>
          <w:t>RF</w:t>
        </w:r>
        <w:r w:rsidR="00E62933" w:rsidRPr="00B111C0">
          <w:rPr>
            <w:rStyle w:val="Hyperlink"/>
            <w:noProof/>
          </w:rPr>
          <w:t xml:space="preserve">s) per habitat type. Habitat codes; A = Arable, CB = Conventional bush orchard, CS = Conventional standard orchard, OS = Organic standard orchard, W = woodland. Error bars show SE of mean (n = 25). Treatments with the same letter do not differ significantly from one another (Tukey HSD, </w:t>
        </w:r>
        <w:r w:rsidR="00E62933" w:rsidRPr="00B111C0">
          <w:rPr>
            <w:rStyle w:val="Hyperlink"/>
            <w:i/>
            <w:noProof/>
          </w:rPr>
          <w:t>P</w:t>
        </w:r>
        <w:r w:rsidR="00E62933" w:rsidRPr="00B111C0">
          <w:rPr>
            <w:rStyle w:val="Hyperlink"/>
            <w:noProof/>
          </w:rPr>
          <w:t xml:space="preserve">&lt;0.05). TRFs produced from both restriction with </w:t>
        </w:r>
        <w:r w:rsidR="00E62933" w:rsidRPr="00B111C0">
          <w:rPr>
            <w:rStyle w:val="Hyperlink"/>
            <w:i/>
            <w:noProof/>
          </w:rPr>
          <w:t>Hinf</w:t>
        </w:r>
        <w:r w:rsidR="00E62933" w:rsidRPr="00B111C0">
          <w:rPr>
            <w:rStyle w:val="Hyperlink"/>
            <w:noProof/>
          </w:rPr>
          <w:t xml:space="preserve">-I and </w:t>
        </w:r>
        <w:r w:rsidR="00E62933" w:rsidRPr="00B111C0">
          <w:rPr>
            <w:rStyle w:val="Hyperlink"/>
            <w:i/>
            <w:noProof/>
          </w:rPr>
          <w:t>HpyCH4</w:t>
        </w:r>
        <w:r w:rsidR="00E62933" w:rsidRPr="00B111C0">
          <w:rPr>
            <w:rStyle w:val="Hyperlink"/>
            <w:noProof/>
          </w:rPr>
          <w:t>-III restriction enzymes are presented</w:t>
        </w:r>
        <w:r w:rsidR="00E62933">
          <w:rPr>
            <w:noProof/>
            <w:webHidden/>
          </w:rPr>
          <w:tab/>
        </w:r>
        <w:r w:rsidR="00E62933">
          <w:rPr>
            <w:noProof/>
            <w:webHidden/>
          </w:rPr>
          <w:fldChar w:fldCharType="begin"/>
        </w:r>
        <w:r w:rsidR="00E62933">
          <w:rPr>
            <w:noProof/>
            <w:webHidden/>
          </w:rPr>
          <w:instrText xml:space="preserve"> PAGEREF _Toc469982779 \h </w:instrText>
        </w:r>
        <w:r w:rsidR="00E62933">
          <w:rPr>
            <w:noProof/>
            <w:webHidden/>
          </w:rPr>
        </w:r>
        <w:r w:rsidR="00E62933">
          <w:rPr>
            <w:noProof/>
            <w:webHidden/>
          </w:rPr>
          <w:fldChar w:fldCharType="separate"/>
        </w:r>
        <w:r w:rsidR="00E0714D">
          <w:rPr>
            <w:noProof/>
            <w:webHidden/>
          </w:rPr>
          <w:t>80</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80" w:history="1">
        <w:r w:rsidR="00E62933" w:rsidRPr="00B111C0">
          <w:rPr>
            <w:rStyle w:val="Hyperlink"/>
            <w:noProof/>
          </w:rPr>
          <w:t xml:space="preserve">Figure 3.15 Average relative abundance of terminal restriction fragments (TRF) per habitat type. Habitat codes; A = Arable, CB = Conventional bush orchard, CS = Conventional standard orchard, OS = Organic standard orchard, W = woodland. Error bars show SE of mean (n = 25). Treatments with the same letter do not differ significantly from one another (Tukey HSD, </w:t>
        </w:r>
        <w:r w:rsidR="00E62933" w:rsidRPr="00B111C0">
          <w:rPr>
            <w:rStyle w:val="Hyperlink"/>
            <w:i/>
            <w:noProof/>
          </w:rPr>
          <w:t>P</w:t>
        </w:r>
        <w:r w:rsidR="00E62933" w:rsidRPr="00B111C0">
          <w:rPr>
            <w:rStyle w:val="Hyperlink"/>
            <w:noProof/>
          </w:rPr>
          <w:t xml:space="preserve">&lt;0.05). TRFs produced from both restriction with </w:t>
        </w:r>
        <w:r w:rsidR="00E62933" w:rsidRPr="00B111C0">
          <w:rPr>
            <w:rStyle w:val="Hyperlink"/>
            <w:i/>
            <w:noProof/>
          </w:rPr>
          <w:t>Hinf</w:t>
        </w:r>
        <w:r w:rsidR="00E62933" w:rsidRPr="00B111C0">
          <w:rPr>
            <w:rStyle w:val="Hyperlink"/>
            <w:noProof/>
          </w:rPr>
          <w:t xml:space="preserve">-I and </w:t>
        </w:r>
        <w:r w:rsidR="00E62933" w:rsidRPr="00B111C0">
          <w:rPr>
            <w:rStyle w:val="Hyperlink"/>
            <w:i/>
            <w:noProof/>
          </w:rPr>
          <w:t>HpyCH4</w:t>
        </w:r>
        <w:r w:rsidR="00E62933" w:rsidRPr="00B111C0">
          <w:rPr>
            <w:rStyle w:val="Hyperlink"/>
            <w:noProof/>
          </w:rPr>
          <w:t>-III restriction enzymes are presented</w:t>
        </w:r>
        <w:r w:rsidR="00E62933">
          <w:rPr>
            <w:noProof/>
            <w:webHidden/>
          </w:rPr>
          <w:tab/>
        </w:r>
        <w:r w:rsidR="00E62933">
          <w:rPr>
            <w:noProof/>
            <w:webHidden/>
          </w:rPr>
          <w:fldChar w:fldCharType="begin"/>
        </w:r>
        <w:r w:rsidR="00E62933">
          <w:rPr>
            <w:noProof/>
            <w:webHidden/>
          </w:rPr>
          <w:instrText xml:space="preserve"> PAGEREF _Toc469982780 \h </w:instrText>
        </w:r>
        <w:r w:rsidR="00E62933">
          <w:rPr>
            <w:noProof/>
            <w:webHidden/>
          </w:rPr>
        </w:r>
        <w:r w:rsidR="00E62933">
          <w:rPr>
            <w:noProof/>
            <w:webHidden/>
          </w:rPr>
          <w:fldChar w:fldCharType="separate"/>
        </w:r>
        <w:r w:rsidR="00E0714D">
          <w:rPr>
            <w:noProof/>
            <w:webHidden/>
          </w:rPr>
          <w:t>81</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81" w:history="1">
        <w:r w:rsidR="00E62933" w:rsidRPr="00B111C0">
          <w:rPr>
            <w:rStyle w:val="Hyperlink"/>
            <w:noProof/>
          </w:rPr>
          <w:t>Figure 3.16 (a) Mean OTU richness per habitat and (b) Mean Simpson’s diversity indices per habitat. Both OTU richness and Simpson’s diversity indices were calculated using sampling depth of reverse reads rarefied to 1,500 reads. Habitat codes are as follows: A; arable, CB; conventional bush orchard, CS; conventional standard orchard, OS; organic standard orchard; W; woodland). Error bars show SE of mean (A; n=9, CB; n=14, CS; n=14, OS; n=9, W; n=14). Reduced sample sizes per habitat are due to exclusion of all samples with fewer than 1,500 reads from this analysis.</w:t>
        </w:r>
        <w:r w:rsidR="00E62933">
          <w:rPr>
            <w:noProof/>
            <w:webHidden/>
          </w:rPr>
          <w:tab/>
        </w:r>
        <w:r w:rsidR="00E62933">
          <w:rPr>
            <w:noProof/>
            <w:webHidden/>
          </w:rPr>
          <w:fldChar w:fldCharType="begin"/>
        </w:r>
        <w:r w:rsidR="00E62933">
          <w:rPr>
            <w:noProof/>
            <w:webHidden/>
          </w:rPr>
          <w:instrText xml:space="preserve"> PAGEREF _Toc469982781 \h </w:instrText>
        </w:r>
        <w:r w:rsidR="00E62933">
          <w:rPr>
            <w:noProof/>
            <w:webHidden/>
          </w:rPr>
        </w:r>
        <w:r w:rsidR="00E62933">
          <w:rPr>
            <w:noProof/>
            <w:webHidden/>
          </w:rPr>
          <w:fldChar w:fldCharType="separate"/>
        </w:r>
        <w:r w:rsidR="00E0714D">
          <w:rPr>
            <w:noProof/>
            <w:webHidden/>
          </w:rPr>
          <w:t>82</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82" w:history="1">
        <w:r w:rsidR="00E62933" w:rsidRPr="00B111C0">
          <w:rPr>
            <w:rStyle w:val="Hyperlink"/>
            <w:noProof/>
          </w:rPr>
          <w:t>Figure 3.17 Principal Component Analysis (PCA) of OTU relative abundance data. All presented principal component scores were significantly affected by habitat type; a) PC1 and PC2 scores, b) PC4 and PC5 scores, c) PC6 and PC9 scores, d) proportion of variation in data explained by the first ten principal components showing the majority of the variation in the data was explained by the first ten principal component scores. Habitat codes are as follows: CB; conventional bush orchards, CS; conventional standard orchards, OS, organic standard orchard, A; arable, W; woodland.</w:t>
        </w:r>
        <w:r w:rsidR="00E62933">
          <w:rPr>
            <w:noProof/>
            <w:webHidden/>
          </w:rPr>
          <w:tab/>
        </w:r>
        <w:r w:rsidR="00E62933">
          <w:rPr>
            <w:noProof/>
            <w:webHidden/>
          </w:rPr>
          <w:fldChar w:fldCharType="begin"/>
        </w:r>
        <w:r w:rsidR="00E62933">
          <w:rPr>
            <w:noProof/>
            <w:webHidden/>
          </w:rPr>
          <w:instrText xml:space="preserve"> PAGEREF _Toc469982782 \h </w:instrText>
        </w:r>
        <w:r w:rsidR="00E62933">
          <w:rPr>
            <w:noProof/>
            <w:webHidden/>
          </w:rPr>
        </w:r>
        <w:r w:rsidR="00E62933">
          <w:rPr>
            <w:noProof/>
            <w:webHidden/>
          </w:rPr>
          <w:fldChar w:fldCharType="separate"/>
        </w:r>
        <w:r w:rsidR="00E0714D">
          <w:rPr>
            <w:noProof/>
            <w:webHidden/>
          </w:rPr>
          <w:t>86</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83" w:history="1">
        <w:r w:rsidR="00E62933" w:rsidRPr="00B111C0">
          <w:rPr>
            <w:rStyle w:val="Hyperlink"/>
            <w:noProof/>
          </w:rPr>
          <w:t>Figure 3.18 Principal Component Analysis (PCA) of OTU presence and absence data. All presented principal component scores were significantly affected by habitat type; a) PC1 and PC2 scores, b) PC3 and PC4 scores, c) PC5 and PC7 scores, d) proportion of variation in data explained by the first ten principal components showing the majority of the variation in the data was explained by the first ten principal component scores. Habitat codes are as follows: CB; conventional bush orchards, CS; conventional standard orchards, OS, organic standard orchard, A; arable, W; woodland.</w:t>
        </w:r>
        <w:r w:rsidR="00E62933">
          <w:rPr>
            <w:noProof/>
            <w:webHidden/>
          </w:rPr>
          <w:tab/>
        </w:r>
        <w:r w:rsidR="00E62933">
          <w:rPr>
            <w:noProof/>
            <w:webHidden/>
          </w:rPr>
          <w:fldChar w:fldCharType="begin"/>
        </w:r>
        <w:r w:rsidR="00E62933">
          <w:rPr>
            <w:noProof/>
            <w:webHidden/>
          </w:rPr>
          <w:instrText xml:space="preserve"> PAGEREF _Toc469982783 \h </w:instrText>
        </w:r>
        <w:r w:rsidR="00E62933">
          <w:rPr>
            <w:noProof/>
            <w:webHidden/>
          </w:rPr>
        </w:r>
        <w:r w:rsidR="00E62933">
          <w:rPr>
            <w:noProof/>
            <w:webHidden/>
          </w:rPr>
          <w:fldChar w:fldCharType="separate"/>
        </w:r>
        <w:r w:rsidR="00E0714D">
          <w:rPr>
            <w:noProof/>
            <w:webHidden/>
          </w:rPr>
          <w:t>87</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84" w:history="1">
        <w:r w:rsidR="00E62933" w:rsidRPr="00B111C0">
          <w:rPr>
            <w:rStyle w:val="Hyperlink"/>
            <w:noProof/>
          </w:rPr>
          <w:t xml:space="preserve">Figure 3.19 Average relative abundance of OTUs per habitat type. Figures (a) to (n) present relative abundance of OTUs which show significant differences between habitat types. Habitat codes are as follows: A; arable, CB; conventional bush orchard, CS; conventional standard orchard, OS; organic standard orchard, W; woodland. Error bars show SE of mean (n=25). Treatments with the same letter do not differ significantly from one another (Tukey HSD, </w:t>
        </w:r>
        <w:r w:rsidR="00E62933" w:rsidRPr="00B111C0">
          <w:rPr>
            <w:rStyle w:val="Hyperlink"/>
            <w:i/>
            <w:noProof/>
          </w:rPr>
          <w:t>P</w:t>
        </w:r>
        <w:r w:rsidR="00E62933" w:rsidRPr="00B111C0">
          <w:rPr>
            <w:rStyle w:val="Hyperlink"/>
            <w:noProof/>
          </w:rPr>
          <w:t>&lt;0.05).</w:t>
        </w:r>
        <w:r w:rsidR="00E62933">
          <w:rPr>
            <w:noProof/>
            <w:webHidden/>
          </w:rPr>
          <w:tab/>
        </w:r>
        <w:r w:rsidR="00E62933">
          <w:rPr>
            <w:noProof/>
            <w:webHidden/>
          </w:rPr>
          <w:fldChar w:fldCharType="begin"/>
        </w:r>
        <w:r w:rsidR="00E62933">
          <w:rPr>
            <w:noProof/>
            <w:webHidden/>
          </w:rPr>
          <w:instrText xml:space="preserve"> PAGEREF _Toc469982784 \h </w:instrText>
        </w:r>
        <w:r w:rsidR="00E62933">
          <w:rPr>
            <w:noProof/>
            <w:webHidden/>
          </w:rPr>
        </w:r>
        <w:r w:rsidR="00E62933">
          <w:rPr>
            <w:noProof/>
            <w:webHidden/>
          </w:rPr>
          <w:fldChar w:fldCharType="separate"/>
        </w:r>
        <w:r w:rsidR="00E0714D">
          <w:rPr>
            <w:noProof/>
            <w:webHidden/>
          </w:rPr>
          <w:t>89</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85" w:history="1">
        <w:r w:rsidR="00E62933" w:rsidRPr="00B111C0">
          <w:rPr>
            <w:rStyle w:val="Hyperlink"/>
            <w:noProof/>
          </w:rPr>
          <w:t xml:space="preserve">Figure 3.20. Classification of OTUs identified from NS31-AML2 SSU gene fragments reverse sequences by (a) order, (b) class, (c) family and (d) genus. Only samples with a read depth of </w:t>
        </w:r>
        <w:r w:rsidR="00E62933" w:rsidRPr="00B111C0">
          <w:rPr>
            <w:rStyle w:val="Hyperlink"/>
            <w:rFonts w:cs="Times New Roman"/>
            <w:noProof/>
          </w:rPr>
          <w:t>≥</w:t>
        </w:r>
        <w:r w:rsidR="00E62933" w:rsidRPr="00B111C0">
          <w:rPr>
            <w:rStyle w:val="Hyperlink"/>
            <w:noProof/>
          </w:rPr>
          <w:t>1500 are presented. OTU abundance is standardised to 1500 reads. Habitat codes are as follows:  A; arable, CB; conventional bush orchard, CS; conventional standard orchard, OS; organic standard orchard, W; woodland.</w:t>
        </w:r>
        <w:r w:rsidR="00E62933">
          <w:rPr>
            <w:noProof/>
            <w:webHidden/>
          </w:rPr>
          <w:tab/>
        </w:r>
        <w:r w:rsidR="00E62933">
          <w:rPr>
            <w:noProof/>
            <w:webHidden/>
          </w:rPr>
          <w:fldChar w:fldCharType="begin"/>
        </w:r>
        <w:r w:rsidR="00E62933">
          <w:rPr>
            <w:noProof/>
            <w:webHidden/>
          </w:rPr>
          <w:instrText xml:space="preserve"> PAGEREF _Toc469982785 \h </w:instrText>
        </w:r>
        <w:r w:rsidR="00E62933">
          <w:rPr>
            <w:noProof/>
            <w:webHidden/>
          </w:rPr>
        </w:r>
        <w:r w:rsidR="00E62933">
          <w:rPr>
            <w:noProof/>
            <w:webHidden/>
          </w:rPr>
          <w:fldChar w:fldCharType="separate"/>
        </w:r>
        <w:r w:rsidR="00E0714D">
          <w:rPr>
            <w:noProof/>
            <w:webHidden/>
          </w:rPr>
          <w:t>91</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86" w:history="1">
        <w:r w:rsidR="00E62933" w:rsidRPr="00B111C0">
          <w:rPr>
            <w:rStyle w:val="Hyperlink"/>
            <w:noProof/>
          </w:rPr>
          <w:t>Figure 3.21 TRF relative abundance against relative abundance of OTUs predicted by in silico restriction of virtual taxa to produce the corresponding TRF size</w:t>
        </w:r>
        <w:r w:rsidR="00E62933" w:rsidRPr="00B111C0">
          <w:rPr>
            <w:rStyle w:val="Hyperlink"/>
            <w:rFonts w:eastAsia="MS Mincho" w:cs="Times New Roman"/>
            <w:bCs/>
            <w:noProof/>
            <w:lang w:eastAsia="en-GB"/>
          </w:rPr>
          <w:t xml:space="preserve">. </w:t>
        </w:r>
        <w:r w:rsidR="00E62933" w:rsidRPr="00B111C0">
          <w:rPr>
            <w:rStyle w:val="Hyperlink"/>
            <w:noProof/>
          </w:rPr>
          <w:t>Trend lines are presented with shaded areas to show 95% confidence interval for fit. Spearman’s rank correlation coefficient was calculated to test for the strength of the correlation between OTU and TRF richness for each fragment size.</w:t>
        </w:r>
        <w:r w:rsidR="00E62933">
          <w:rPr>
            <w:noProof/>
            <w:webHidden/>
          </w:rPr>
          <w:tab/>
        </w:r>
        <w:r w:rsidR="00E62933">
          <w:rPr>
            <w:noProof/>
            <w:webHidden/>
          </w:rPr>
          <w:fldChar w:fldCharType="begin"/>
        </w:r>
        <w:r w:rsidR="00E62933">
          <w:rPr>
            <w:noProof/>
            <w:webHidden/>
          </w:rPr>
          <w:instrText xml:space="preserve"> PAGEREF _Toc469982786 \h </w:instrText>
        </w:r>
        <w:r w:rsidR="00E62933">
          <w:rPr>
            <w:noProof/>
            <w:webHidden/>
          </w:rPr>
        </w:r>
        <w:r w:rsidR="00E62933">
          <w:rPr>
            <w:noProof/>
            <w:webHidden/>
          </w:rPr>
          <w:fldChar w:fldCharType="separate"/>
        </w:r>
        <w:r w:rsidR="00E0714D">
          <w:rPr>
            <w:noProof/>
            <w:webHidden/>
          </w:rPr>
          <w:t>95</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87" w:history="1">
        <w:r w:rsidR="00E62933" w:rsidRPr="00B111C0">
          <w:rPr>
            <w:rStyle w:val="Hyperlink"/>
            <w:noProof/>
          </w:rPr>
          <w:t xml:space="preserve">Figure 3.22 TRF richness against OTU richness (rarefied data) (a) TRFs combined from restriction with both enzymes against OTU richness reverse sequences reads (b) TRFs from </w:t>
        </w:r>
        <w:r w:rsidR="00E62933" w:rsidRPr="00B111C0">
          <w:rPr>
            <w:rStyle w:val="Hyperlink"/>
            <w:i/>
            <w:noProof/>
          </w:rPr>
          <w:t>Hinf</w:t>
        </w:r>
        <w:r w:rsidR="00E62933" w:rsidRPr="00B111C0">
          <w:rPr>
            <w:rStyle w:val="Hyperlink"/>
            <w:noProof/>
          </w:rPr>
          <w:t xml:space="preserve">-I restriction, (c) TRFs from </w:t>
        </w:r>
        <w:r w:rsidR="00E62933" w:rsidRPr="00B111C0">
          <w:rPr>
            <w:rStyle w:val="Hyperlink"/>
            <w:i/>
            <w:noProof/>
          </w:rPr>
          <w:t>HpyCH4-III</w:t>
        </w:r>
        <w:r w:rsidR="00E62933" w:rsidRPr="00B111C0">
          <w:rPr>
            <w:rStyle w:val="Hyperlink"/>
            <w:noProof/>
          </w:rPr>
          <w:t xml:space="preserve"> restriction only . Spearman’s rank correlation coefficient was calculated to test for the strength of correlation between OTU richness and TRF richness.</w:t>
        </w:r>
        <w:r w:rsidR="00E62933">
          <w:rPr>
            <w:noProof/>
            <w:webHidden/>
          </w:rPr>
          <w:tab/>
        </w:r>
        <w:r w:rsidR="00E62933">
          <w:rPr>
            <w:noProof/>
            <w:webHidden/>
          </w:rPr>
          <w:fldChar w:fldCharType="begin"/>
        </w:r>
        <w:r w:rsidR="00E62933">
          <w:rPr>
            <w:noProof/>
            <w:webHidden/>
          </w:rPr>
          <w:instrText xml:space="preserve"> PAGEREF _Toc469982787 \h </w:instrText>
        </w:r>
        <w:r w:rsidR="00E62933">
          <w:rPr>
            <w:noProof/>
            <w:webHidden/>
          </w:rPr>
        </w:r>
        <w:r w:rsidR="00E62933">
          <w:rPr>
            <w:noProof/>
            <w:webHidden/>
          </w:rPr>
          <w:fldChar w:fldCharType="separate"/>
        </w:r>
        <w:r w:rsidR="00E0714D">
          <w:rPr>
            <w:noProof/>
            <w:webHidden/>
          </w:rPr>
          <w:t>96</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88" w:history="1">
        <w:r w:rsidR="00E62933" w:rsidRPr="00B111C0">
          <w:rPr>
            <w:rStyle w:val="Hyperlink"/>
            <w:noProof/>
          </w:rPr>
          <w:t>Figure 4.1 Location of study orchards within Herefordshire, UK. Apple roots were collected from 25 orchards for each of the three orchard types. Two trees per orchard were sampled and all samples were collected June to August 2013.</w:t>
        </w:r>
        <w:r w:rsidR="00E62933">
          <w:rPr>
            <w:noProof/>
            <w:webHidden/>
          </w:rPr>
          <w:tab/>
        </w:r>
        <w:r w:rsidR="00E62933">
          <w:rPr>
            <w:noProof/>
            <w:webHidden/>
          </w:rPr>
          <w:fldChar w:fldCharType="begin"/>
        </w:r>
        <w:r w:rsidR="00E62933">
          <w:rPr>
            <w:noProof/>
            <w:webHidden/>
          </w:rPr>
          <w:instrText xml:space="preserve"> PAGEREF _Toc469982788 \h </w:instrText>
        </w:r>
        <w:r w:rsidR="00E62933">
          <w:rPr>
            <w:noProof/>
            <w:webHidden/>
          </w:rPr>
        </w:r>
        <w:r w:rsidR="00E62933">
          <w:rPr>
            <w:noProof/>
            <w:webHidden/>
          </w:rPr>
          <w:fldChar w:fldCharType="separate"/>
        </w:r>
        <w:r w:rsidR="00E0714D">
          <w:rPr>
            <w:noProof/>
            <w:webHidden/>
          </w:rPr>
          <w:t>108</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89" w:history="1">
        <w:r w:rsidR="00E62933" w:rsidRPr="00B111C0">
          <w:rPr>
            <w:rStyle w:val="Hyperlink"/>
            <w:noProof/>
          </w:rPr>
          <w:t xml:space="preserve">Figure 4.2 Mean TRF richness and Simpson’s diversity for AMF colonising apple trees in three orchard management types. TRF richness calculated from restriction with (a) both enzymes combined (b) </w:t>
        </w:r>
        <w:r w:rsidR="00E62933" w:rsidRPr="00B111C0">
          <w:rPr>
            <w:rStyle w:val="Hyperlink"/>
            <w:i/>
            <w:noProof/>
          </w:rPr>
          <w:t>Hinf</w:t>
        </w:r>
        <w:r w:rsidR="00E62933" w:rsidRPr="00B111C0">
          <w:rPr>
            <w:rStyle w:val="Hyperlink"/>
            <w:noProof/>
          </w:rPr>
          <w:t xml:space="preserve">-I, (c) </w:t>
        </w:r>
        <w:r w:rsidR="00E62933" w:rsidRPr="00B111C0">
          <w:rPr>
            <w:rStyle w:val="Hyperlink"/>
            <w:i/>
            <w:noProof/>
          </w:rPr>
          <w:t>HpyCH4-III</w:t>
        </w:r>
        <w:r w:rsidR="00E62933" w:rsidRPr="00B111C0">
          <w:rPr>
            <w:rStyle w:val="Hyperlink"/>
            <w:noProof/>
          </w:rPr>
          <w:t xml:space="preserve">. Mean Simpson’s diversity indices calculated from restriction with (d) both enzymes (e) </w:t>
        </w:r>
        <w:r w:rsidR="00E62933" w:rsidRPr="00B111C0">
          <w:rPr>
            <w:rStyle w:val="Hyperlink"/>
            <w:i/>
            <w:noProof/>
          </w:rPr>
          <w:t>Hinf</w:t>
        </w:r>
        <w:r w:rsidR="00E62933" w:rsidRPr="00B111C0">
          <w:rPr>
            <w:rStyle w:val="Hyperlink"/>
            <w:noProof/>
          </w:rPr>
          <w:t xml:space="preserve">-I, (f) </w:t>
        </w:r>
        <w:r w:rsidR="00E62933" w:rsidRPr="00B111C0">
          <w:rPr>
            <w:rStyle w:val="Hyperlink"/>
            <w:i/>
            <w:noProof/>
          </w:rPr>
          <w:t>HpyCH4-III</w:t>
        </w:r>
        <w:r w:rsidR="00E62933" w:rsidRPr="00B111C0">
          <w:rPr>
            <w:rStyle w:val="Hyperlink"/>
            <w:noProof/>
          </w:rPr>
          <w:t xml:space="preserve">. Error bars show SE of mean (n=25). Orchard type codes are as follows; (CB; conventional bush orchard, CS; conventional standard orchard, OS; organic standard orchard). Orchard types with the same letter do not differ significantly from one another (Tukey, HSD </w:t>
        </w:r>
        <w:r w:rsidR="00E62933" w:rsidRPr="00B111C0">
          <w:rPr>
            <w:rStyle w:val="Hyperlink"/>
            <w:i/>
            <w:noProof/>
          </w:rPr>
          <w:t>P</w:t>
        </w:r>
        <w:r w:rsidR="00E62933" w:rsidRPr="00B111C0">
          <w:rPr>
            <w:rStyle w:val="Hyperlink"/>
            <w:noProof/>
          </w:rPr>
          <w:t>&lt;0.05).</w:t>
        </w:r>
        <w:r w:rsidR="00E62933">
          <w:rPr>
            <w:noProof/>
            <w:webHidden/>
          </w:rPr>
          <w:tab/>
        </w:r>
        <w:r w:rsidR="00E62933">
          <w:rPr>
            <w:noProof/>
            <w:webHidden/>
          </w:rPr>
          <w:fldChar w:fldCharType="begin"/>
        </w:r>
        <w:r w:rsidR="00E62933">
          <w:rPr>
            <w:noProof/>
            <w:webHidden/>
          </w:rPr>
          <w:instrText xml:space="preserve"> PAGEREF _Toc469982789 \h </w:instrText>
        </w:r>
        <w:r w:rsidR="00E62933">
          <w:rPr>
            <w:noProof/>
            <w:webHidden/>
          </w:rPr>
        </w:r>
        <w:r w:rsidR="00E62933">
          <w:rPr>
            <w:noProof/>
            <w:webHidden/>
          </w:rPr>
          <w:fldChar w:fldCharType="separate"/>
        </w:r>
        <w:r w:rsidR="00E0714D">
          <w:rPr>
            <w:noProof/>
            <w:webHidden/>
          </w:rPr>
          <w:t>113</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90" w:history="1">
        <w:r w:rsidR="00E62933" w:rsidRPr="00B111C0">
          <w:rPr>
            <w:rStyle w:val="Hyperlink"/>
            <w:noProof/>
          </w:rPr>
          <w:t>Figure 4.3 PCA scores showing differences in AMF colonising apple trees within three contrasting orchard management types.  Figures (a) and (b) show TRF presence/absence data, (c) TRF relative abundance, (d) Percentage variation in data explained by principle components from analysis of relative abundance data and (e) TRF presence/absence. Orchard types are as follows; CB; conventional bush orchard, CS; conventional standard orchard, OS; organic standard orchard. Data is presented for 120 trees. Only principal components which show significant difference between orchard types have been plotted.</w:t>
        </w:r>
        <w:r w:rsidR="00E62933">
          <w:rPr>
            <w:noProof/>
            <w:webHidden/>
          </w:rPr>
          <w:tab/>
        </w:r>
        <w:r w:rsidR="00E62933">
          <w:rPr>
            <w:noProof/>
            <w:webHidden/>
          </w:rPr>
          <w:fldChar w:fldCharType="begin"/>
        </w:r>
        <w:r w:rsidR="00E62933">
          <w:rPr>
            <w:noProof/>
            <w:webHidden/>
          </w:rPr>
          <w:instrText xml:space="preserve"> PAGEREF _Toc469982790 \h </w:instrText>
        </w:r>
        <w:r w:rsidR="00E62933">
          <w:rPr>
            <w:noProof/>
            <w:webHidden/>
          </w:rPr>
        </w:r>
        <w:r w:rsidR="00E62933">
          <w:rPr>
            <w:noProof/>
            <w:webHidden/>
          </w:rPr>
          <w:fldChar w:fldCharType="separate"/>
        </w:r>
        <w:r w:rsidR="00E0714D">
          <w:rPr>
            <w:noProof/>
            <w:webHidden/>
          </w:rPr>
          <w:t>115</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91" w:history="1">
        <w:r w:rsidR="00E62933" w:rsidRPr="00B111C0">
          <w:rPr>
            <w:rStyle w:val="Hyperlink"/>
            <w:noProof/>
          </w:rPr>
          <w:t>Figure 4.4 Variation in TRF relative abundance as explained by orchard management factors. Eigen values for DCA 1 (0.39) and DCA 2 (0.14). Management factors shown in red had a small but not significant (P&lt;0.05) effect upon TRF relative abundance, arrow lengths are proportional to variation explained</w:t>
        </w:r>
        <w:r w:rsidR="00E62933" w:rsidRPr="00B111C0">
          <w:rPr>
            <w:rStyle w:val="Hyperlink"/>
            <w:rFonts w:cs="Times New Roman"/>
            <w:noProof/>
          </w:rPr>
          <w:t>.</w:t>
        </w:r>
        <w:r w:rsidR="00E62933">
          <w:rPr>
            <w:noProof/>
            <w:webHidden/>
          </w:rPr>
          <w:tab/>
        </w:r>
        <w:r w:rsidR="00E62933">
          <w:rPr>
            <w:noProof/>
            <w:webHidden/>
          </w:rPr>
          <w:fldChar w:fldCharType="begin"/>
        </w:r>
        <w:r w:rsidR="00E62933">
          <w:rPr>
            <w:noProof/>
            <w:webHidden/>
          </w:rPr>
          <w:instrText xml:space="preserve"> PAGEREF _Toc469982791 \h </w:instrText>
        </w:r>
        <w:r w:rsidR="00E62933">
          <w:rPr>
            <w:noProof/>
            <w:webHidden/>
          </w:rPr>
        </w:r>
        <w:r w:rsidR="00E62933">
          <w:rPr>
            <w:noProof/>
            <w:webHidden/>
          </w:rPr>
          <w:fldChar w:fldCharType="separate"/>
        </w:r>
        <w:r w:rsidR="00E0714D">
          <w:rPr>
            <w:noProof/>
            <w:webHidden/>
          </w:rPr>
          <w:t>117</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92" w:history="1">
        <w:r w:rsidR="00E62933" w:rsidRPr="00B111C0">
          <w:rPr>
            <w:rStyle w:val="Hyperlink"/>
            <w:noProof/>
          </w:rPr>
          <w:t>Figure 4.5  TRF richness and orchard age of 150 apple trees within three orchard management types. Trend line shows the result of linear regression with 95% confidence interval. R2 = 0.321, y= -0.05289x + 17.140, P = 0.003.</w:t>
        </w:r>
        <w:r w:rsidR="00E62933">
          <w:rPr>
            <w:noProof/>
            <w:webHidden/>
          </w:rPr>
          <w:tab/>
        </w:r>
        <w:r w:rsidR="00E62933">
          <w:rPr>
            <w:noProof/>
            <w:webHidden/>
          </w:rPr>
          <w:fldChar w:fldCharType="begin"/>
        </w:r>
        <w:r w:rsidR="00E62933">
          <w:rPr>
            <w:noProof/>
            <w:webHidden/>
          </w:rPr>
          <w:instrText xml:space="preserve"> PAGEREF _Toc469982792 \h </w:instrText>
        </w:r>
        <w:r w:rsidR="00E62933">
          <w:rPr>
            <w:noProof/>
            <w:webHidden/>
          </w:rPr>
        </w:r>
        <w:r w:rsidR="00E62933">
          <w:rPr>
            <w:noProof/>
            <w:webHidden/>
          </w:rPr>
          <w:fldChar w:fldCharType="separate"/>
        </w:r>
        <w:r w:rsidR="00E0714D">
          <w:rPr>
            <w:noProof/>
            <w:webHidden/>
          </w:rPr>
          <w:t>117</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93" w:history="1">
        <w:r w:rsidR="00E62933" w:rsidRPr="00B111C0">
          <w:rPr>
            <w:rStyle w:val="Hyperlink"/>
            <w:noProof/>
          </w:rPr>
          <w:t xml:space="preserve">Figure 4.6 DCA analysis showing the amount of variation in tree yield explained by TRF relative abundance. </w:t>
        </w:r>
        <w:r w:rsidR="00E62933" w:rsidRPr="00B111C0">
          <w:rPr>
            <w:rStyle w:val="Hyperlink"/>
            <w:rFonts w:cs="Times New Roman"/>
            <w:noProof/>
          </w:rPr>
          <w:t>Eigen values for DCA 1 (0.40) and DCA 2 (0.14). Arrow length is proportional to effect size, however no effects were significant (p&lt;0.05).</w:t>
        </w:r>
        <w:r w:rsidR="00E62933">
          <w:rPr>
            <w:noProof/>
            <w:webHidden/>
          </w:rPr>
          <w:tab/>
        </w:r>
        <w:r w:rsidR="00E62933">
          <w:rPr>
            <w:noProof/>
            <w:webHidden/>
          </w:rPr>
          <w:fldChar w:fldCharType="begin"/>
        </w:r>
        <w:r w:rsidR="00E62933">
          <w:rPr>
            <w:noProof/>
            <w:webHidden/>
          </w:rPr>
          <w:instrText xml:space="preserve"> PAGEREF _Toc469982793 \h </w:instrText>
        </w:r>
        <w:r w:rsidR="00E62933">
          <w:rPr>
            <w:noProof/>
            <w:webHidden/>
          </w:rPr>
        </w:r>
        <w:r w:rsidR="00E62933">
          <w:rPr>
            <w:noProof/>
            <w:webHidden/>
          </w:rPr>
          <w:fldChar w:fldCharType="separate"/>
        </w:r>
        <w:r w:rsidR="00E0714D">
          <w:rPr>
            <w:noProof/>
            <w:webHidden/>
          </w:rPr>
          <w:t>119</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94" w:history="1">
        <w:r w:rsidR="00E62933" w:rsidRPr="00B111C0">
          <w:rPr>
            <w:rStyle w:val="Hyperlink"/>
            <w:noProof/>
          </w:rPr>
          <w:t xml:space="preserve">Figure 4.7 </w:t>
        </w:r>
        <w:r w:rsidR="00E62933" w:rsidRPr="00B111C0">
          <w:rPr>
            <w:rStyle w:val="Hyperlink"/>
            <w:noProof/>
            <w:lang w:eastAsia="en-GB"/>
          </w:rPr>
          <w:t>Summary of measured differences between three orchard management types. Orchard type codes are as follows: CB; conventional bush, CS: conventional standard, OS: organic standard. Graphs (b) and (d) present fruit yield and tree diameter at breast height (DBH) averages respectively for 40 trees per orchard type, (h) fertiliser input for conventional bush orchards only (n=25), all other data presented is orchard averages (n = 25).  Boxplots represent the median (midline), quartiles  (box) and maximum and minimum values (whiskers).</w:t>
        </w:r>
        <w:r w:rsidR="00E62933">
          <w:rPr>
            <w:noProof/>
            <w:webHidden/>
          </w:rPr>
          <w:tab/>
        </w:r>
        <w:r w:rsidR="00E62933">
          <w:rPr>
            <w:noProof/>
            <w:webHidden/>
          </w:rPr>
          <w:fldChar w:fldCharType="begin"/>
        </w:r>
        <w:r w:rsidR="00E62933">
          <w:rPr>
            <w:noProof/>
            <w:webHidden/>
          </w:rPr>
          <w:instrText xml:space="preserve"> PAGEREF _Toc469982794 \h </w:instrText>
        </w:r>
        <w:r w:rsidR="00E62933">
          <w:rPr>
            <w:noProof/>
            <w:webHidden/>
          </w:rPr>
        </w:r>
        <w:r w:rsidR="00E62933">
          <w:rPr>
            <w:noProof/>
            <w:webHidden/>
          </w:rPr>
          <w:fldChar w:fldCharType="separate"/>
        </w:r>
        <w:r w:rsidR="00E0714D">
          <w:rPr>
            <w:noProof/>
            <w:webHidden/>
          </w:rPr>
          <w:t>120</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95" w:history="1">
        <w:r w:rsidR="00E62933" w:rsidRPr="00B111C0">
          <w:rPr>
            <w:rStyle w:val="Hyperlink"/>
            <w:noProof/>
          </w:rPr>
          <w:t xml:space="preserve">Figure 5.1 Venn diagram to show the total TRFs found in roots from both leek trap cultures and apple roots from the field (circle overlap) and the TRFs found in each system only (circle areas with no overlap). Diagram show (a) Total TRF numbers across all orchards (b), (c) and (d) totals per orchard type. TRFs are combined from restriction with both </w:t>
        </w:r>
        <w:r w:rsidR="00E62933" w:rsidRPr="00B111C0">
          <w:rPr>
            <w:rStyle w:val="Hyperlink"/>
            <w:i/>
            <w:noProof/>
          </w:rPr>
          <w:t>HpyCH4-III</w:t>
        </w:r>
        <w:r w:rsidR="00E62933" w:rsidRPr="00B111C0">
          <w:rPr>
            <w:rStyle w:val="Hyperlink"/>
            <w:noProof/>
          </w:rPr>
          <w:t xml:space="preserve"> and </w:t>
        </w:r>
        <w:r w:rsidR="00E62933" w:rsidRPr="00B111C0">
          <w:rPr>
            <w:rStyle w:val="Hyperlink"/>
            <w:i/>
            <w:noProof/>
          </w:rPr>
          <w:t>Hinf</w:t>
        </w:r>
        <w:r w:rsidR="00E62933" w:rsidRPr="00B111C0">
          <w:rPr>
            <w:rStyle w:val="Hyperlink"/>
            <w:noProof/>
          </w:rPr>
          <w:t>-I restriction enzymes. Circle sizes are proportional to TRF number.</w:t>
        </w:r>
        <w:r w:rsidR="00E62933">
          <w:rPr>
            <w:noProof/>
            <w:webHidden/>
          </w:rPr>
          <w:tab/>
        </w:r>
        <w:r w:rsidR="00E62933">
          <w:rPr>
            <w:noProof/>
            <w:webHidden/>
          </w:rPr>
          <w:fldChar w:fldCharType="begin"/>
        </w:r>
        <w:r w:rsidR="00E62933">
          <w:rPr>
            <w:noProof/>
            <w:webHidden/>
          </w:rPr>
          <w:instrText xml:space="preserve"> PAGEREF _Toc469982795 \h </w:instrText>
        </w:r>
        <w:r w:rsidR="00E62933">
          <w:rPr>
            <w:noProof/>
            <w:webHidden/>
          </w:rPr>
        </w:r>
        <w:r w:rsidR="00E62933">
          <w:rPr>
            <w:noProof/>
            <w:webHidden/>
          </w:rPr>
          <w:fldChar w:fldCharType="separate"/>
        </w:r>
        <w:r w:rsidR="00E0714D">
          <w:rPr>
            <w:noProof/>
            <w:webHidden/>
          </w:rPr>
          <w:t>129</w:t>
        </w:r>
        <w:r w:rsidR="00E62933">
          <w:rPr>
            <w:noProof/>
            <w:webHidden/>
          </w:rPr>
          <w:fldChar w:fldCharType="end"/>
        </w:r>
      </w:hyperlink>
    </w:p>
    <w:p w:rsidR="00E62933" w:rsidRDefault="00D22275">
      <w:pPr>
        <w:pStyle w:val="TableofFigures"/>
        <w:tabs>
          <w:tab w:val="right" w:leader="dot" w:pos="8494"/>
        </w:tabs>
        <w:rPr>
          <w:rFonts w:asciiTheme="minorHAnsi" w:eastAsiaTheme="minorEastAsia" w:hAnsiTheme="minorHAnsi"/>
          <w:noProof/>
          <w:lang w:eastAsia="en-GB"/>
        </w:rPr>
      </w:pPr>
      <w:hyperlink w:anchor="_Toc469982796" w:history="1">
        <w:r w:rsidR="00E62933" w:rsidRPr="00B111C0">
          <w:rPr>
            <w:rStyle w:val="Hyperlink"/>
            <w:noProof/>
          </w:rPr>
          <w:t xml:space="preserve">Figure 5.2 Diagram to explain how differences in colonisation strategy and fungal succession could explain observed differences in AMF colonising leek bait plant trap cultures and apple roots. r selected species are classified as rapid colonisers with high growth rates, K selected species are slower growing species which are suited to competition for resources in an established community.  At sampling time A, only the r selected species is above 1% relative abundance within host plant roots and therefore able to be detected by TRFLP. At sampling time B, only the k selected taxa is abundant enough to be detected by TRFLP. Diagram based on r and K selection theory   </w:t>
        </w:r>
        <w:r w:rsidR="00E62933" w:rsidRPr="00B111C0">
          <w:rPr>
            <w:rStyle w:val="Hyperlink"/>
            <w:rFonts w:cs="Times New Roman"/>
            <w:noProof/>
          </w:rPr>
          <w:t>(MacArthur &amp; Wilson, 1967; Pianka, 1970)</w:t>
        </w:r>
        <w:r w:rsidR="00E62933">
          <w:rPr>
            <w:noProof/>
            <w:webHidden/>
          </w:rPr>
          <w:tab/>
        </w:r>
        <w:r w:rsidR="00E62933">
          <w:rPr>
            <w:noProof/>
            <w:webHidden/>
          </w:rPr>
          <w:fldChar w:fldCharType="begin"/>
        </w:r>
        <w:r w:rsidR="00E62933">
          <w:rPr>
            <w:noProof/>
            <w:webHidden/>
          </w:rPr>
          <w:instrText xml:space="preserve"> PAGEREF _Toc469982796 \h </w:instrText>
        </w:r>
        <w:r w:rsidR="00E62933">
          <w:rPr>
            <w:noProof/>
            <w:webHidden/>
          </w:rPr>
        </w:r>
        <w:r w:rsidR="00E62933">
          <w:rPr>
            <w:noProof/>
            <w:webHidden/>
          </w:rPr>
          <w:fldChar w:fldCharType="separate"/>
        </w:r>
        <w:r w:rsidR="00E0714D">
          <w:rPr>
            <w:noProof/>
            <w:webHidden/>
          </w:rPr>
          <w:t>130</w:t>
        </w:r>
        <w:r w:rsidR="00E62933">
          <w:rPr>
            <w:noProof/>
            <w:webHidden/>
          </w:rPr>
          <w:fldChar w:fldCharType="end"/>
        </w:r>
      </w:hyperlink>
    </w:p>
    <w:p w:rsidR="00E0076D" w:rsidRDefault="000D114A" w:rsidP="00884BA9">
      <w:pPr>
        <w:pStyle w:val="TOCHeading"/>
        <w:rPr>
          <w:noProof/>
        </w:rPr>
      </w:pPr>
      <w:r>
        <w:fldChar w:fldCharType="end"/>
      </w:r>
      <w:r w:rsidR="00006EBC">
        <w:br w:type="page"/>
      </w:r>
      <w:r w:rsidR="00006EBC">
        <w:lastRenderedPageBreak/>
        <w:t>List of Tables</w:t>
      </w:r>
      <w:r w:rsidR="00006EBC">
        <w:fldChar w:fldCharType="begin"/>
      </w:r>
      <w:r w:rsidR="00006EBC">
        <w:instrText xml:space="preserve"> TOC \h \z \c "Table" </w:instrText>
      </w:r>
      <w:r w:rsidR="00006EBC">
        <w:fldChar w:fldCharType="separate"/>
      </w:r>
    </w:p>
    <w:p w:rsidR="00E0076D" w:rsidRDefault="00D22275">
      <w:pPr>
        <w:pStyle w:val="TableofFigures"/>
        <w:tabs>
          <w:tab w:val="right" w:leader="dot" w:pos="8494"/>
        </w:tabs>
        <w:rPr>
          <w:rFonts w:asciiTheme="minorHAnsi" w:eastAsiaTheme="minorEastAsia" w:hAnsiTheme="minorHAnsi"/>
          <w:noProof/>
          <w:lang w:eastAsia="en-GB"/>
        </w:rPr>
      </w:pPr>
      <w:hyperlink w:anchor="_Toc469868569" w:history="1">
        <w:r w:rsidR="00E0076D" w:rsidRPr="00AF3057">
          <w:rPr>
            <w:rStyle w:val="Hyperlink"/>
            <w:rFonts w:cs="Times New Roman"/>
            <w:noProof/>
          </w:rPr>
          <w:t>Table 1.1 Comparison between plant roots and the hyphae of arbuscular mycorrhizal fungi. (Adapted from Smith, Grace and Smith 2009)</w:t>
        </w:r>
        <w:r w:rsidR="00E0076D">
          <w:rPr>
            <w:noProof/>
            <w:webHidden/>
          </w:rPr>
          <w:tab/>
        </w:r>
        <w:r w:rsidR="00E0076D">
          <w:rPr>
            <w:noProof/>
            <w:webHidden/>
          </w:rPr>
          <w:fldChar w:fldCharType="begin"/>
        </w:r>
        <w:r w:rsidR="00E0076D">
          <w:rPr>
            <w:noProof/>
            <w:webHidden/>
          </w:rPr>
          <w:instrText xml:space="preserve"> PAGEREF _Toc469868569 \h </w:instrText>
        </w:r>
        <w:r w:rsidR="00E0076D">
          <w:rPr>
            <w:noProof/>
            <w:webHidden/>
          </w:rPr>
        </w:r>
        <w:r w:rsidR="00E0076D">
          <w:rPr>
            <w:noProof/>
            <w:webHidden/>
          </w:rPr>
          <w:fldChar w:fldCharType="separate"/>
        </w:r>
        <w:r w:rsidR="00E0714D">
          <w:rPr>
            <w:noProof/>
            <w:webHidden/>
          </w:rPr>
          <w:t>3</w:t>
        </w:r>
        <w:r w:rsidR="00E0076D">
          <w:rPr>
            <w:noProof/>
            <w:webHidden/>
          </w:rPr>
          <w:fldChar w:fldCharType="end"/>
        </w:r>
      </w:hyperlink>
    </w:p>
    <w:p w:rsidR="00E0076D" w:rsidRDefault="00D22275">
      <w:pPr>
        <w:pStyle w:val="TableofFigures"/>
        <w:tabs>
          <w:tab w:val="right" w:leader="dot" w:pos="8494"/>
        </w:tabs>
        <w:rPr>
          <w:rFonts w:asciiTheme="minorHAnsi" w:eastAsiaTheme="minorEastAsia" w:hAnsiTheme="minorHAnsi"/>
          <w:noProof/>
          <w:lang w:eastAsia="en-GB"/>
        </w:rPr>
      </w:pPr>
      <w:hyperlink w:anchor="_Toc469868570" w:history="1">
        <w:r w:rsidR="00E0076D" w:rsidRPr="00AF3057">
          <w:rPr>
            <w:rStyle w:val="Hyperlink"/>
            <w:rFonts w:cs="Times New Roman"/>
            <w:noProof/>
          </w:rPr>
          <w:t>Table 1.2 Comparison between the properties of natural ecosystems and intensive agricultural systems. Adapted from Pretty (2008)</w:t>
        </w:r>
        <w:r w:rsidR="00E0076D">
          <w:rPr>
            <w:noProof/>
            <w:webHidden/>
          </w:rPr>
          <w:tab/>
        </w:r>
        <w:r w:rsidR="00E0076D">
          <w:rPr>
            <w:noProof/>
            <w:webHidden/>
          </w:rPr>
          <w:fldChar w:fldCharType="begin"/>
        </w:r>
        <w:r w:rsidR="00E0076D">
          <w:rPr>
            <w:noProof/>
            <w:webHidden/>
          </w:rPr>
          <w:instrText xml:space="preserve"> PAGEREF _Toc469868570 \h </w:instrText>
        </w:r>
        <w:r w:rsidR="00E0076D">
          <w:rPr>
            <w:noProof/>
            <w:webHidden/>
          </w:rPr>
        </w:r>
        <w:r w:rsidR="00E0076D">
          <w:rPr>
            <w:noProof/>
            <w:webHidden/>
          </w:rPr>
          <w:fldChar w:fldCharType="separate"/>
        </w:r>
        <w:r w:rsidR="00E0714D">
          <w:rPr>
            <w:noProof/>
            <w:webHidden/>
          </w:rPr>
          <w:t>10</w:t>
        </w:r>
        <w:r w:rsidR="00E0076D">
          <w:rPr>
            <w:noProof/>
            <w:webHidden/>
          </w:rPr>
          <w:fldChar w:fldCharType="end"/>
        </w:r>
      </w:hyperlink>
    </w:p>
    <w:p w:rsidR="00E0076D" w:rsidRDefault="00D22275">
      <w:pPr>
        <w:pStyle w:val="TableofFigures"/>
        <w:tabs>
          <w:tab w:val="right" w:leader="dot" w:pos="8494"/>
        </w:tabs>
        <w:rPr>
          <w:rFonts w:asciiTheme="minorHAnsi" w:eastAsiaTheme="minorEastAsia" w:hAnsiTheme="minorHAnsi"/>
          <w:noProof/>
          <w:lang w:eastAsia="en-GB"/>
        </w:rPr>
      </w:pPr>
      <w:hyperlink w:anchor="_Toc469868571" w:history="1">
        <w:r w:rsidR="00E0076D" w:rsidRPr="00AF3057">
          <w:rPr>
            <w:rStyle w:val="Hyperlink"/>
            <w:noProof/>
          </w:rPr>
          <w:t>Table 1.3</w:t>
        </w:r>
        <w:r w:rsidR="00E0076D" w:rsidRPr="00AF3057">
          <w:rPr>
            <w:rStyle w:val="Hyperlink"/>
            <w:rFonts w:cs="Times New Roman"/>
            <w:noProof/>
          </w:rPr>
          <w:t xml:space="preserve"> Summary of studies upon arbuscular mycorrhizal association with domestic apple and effects upon growth</w:t>
        </w:r>
        <w:r w:rsidR="00E0076D">
          <w:rPr>
            <w:noProof/>
            <w:webHidden/>
          </w:rPr>
          <w:tab/>
        </w:r>
        <w:r w:rsidR="00E0076D">
          <w:rPr>
            <w:noProof/>
            <w:webHidden/>
          </w:rPr>
          <w:fldChar w:fldCharType="begin"/>
        </w:r>
        <w:r w:rsidR="00E0076D">
          <w:rPr>
            <w:noProof/>
            <w:webHidden/>
          </w:rPr>
          <w:instrText xml:space="preserve"> PAGEREF _Toc469868571 \h </w:instrText>
        </w:r>
        <w:r w:rsidR="00E0076D">
          <w:rPr>
            <w:noProof/>
            <w:webHidden/>
          </w:rPr>
        </w:r>
        <w:r w:rsidR="00E0076D">
          <w:rPr>
            <w:noProof/>
            <w:webHidden/>
          </w:rPr>
          <w:fldChar w:fldCharType="separate"/>
        </w:r>
        <w:r w:rsidR="00E0714D">
          <w:rPr>
            <w:noProof/>
            <w:webHidden/>
          </w:rPr>
          <w:t>20</w:t>
        </w:r>
        <w:r w:rsidR="00E0076D">
          <w:rPr>
            <w:noProof/>
            <w:webHidden/>
          </w:rPr>
          <w:fldChar w:fldCharType="end"/>
        </w:r>
      </w:hyperlink>
    </w:p>
    <w:p w:rsidR="00E0076D" w:rsidRDefault="00D22275">
      <w:pPr>
        <w:pStyle w:val="TableofFigures"/>
        <w:tabs>
          <w:tab w:val="right" w:leader="dot" w:pos="8494"/>
        </w:tabs>
        <w:rPr>
          <w:rFonts w:asciiTheme="minorHAnsi" w:eastAsiaTheme="minorEastAsia" w:hAnsiTheme="minorHAnsi"/>
          <w:noProof/>
          <w:lang w:eastAsia="en-GB"/>
        </w:rPr>
      </w:pPr>
      <w:hyperlink w:anchor="_Toc469868572" w:history="1">
        <w:r w:rsidR="00E0076D" w:rsidRPr="00AF3057">
          <w:rPr>
            <w:rStyle w:val="Hyperlink"/>
            <w:noProof/>
          </w:rPr>
          <w:t xml:space="preserve">Table 1.4 </w:t>
        </w:r>
        <w:r w:rsidR="00E0076D" w:rsidRPr="00AF3057">
          <w:rPr>
            <w:rStyle w:val="Hyperlink"/>
            <w:rFonts w:cs="Times New Roman"/>
            <w:noProof/>
          </w:rPr>
          <w:t>Summary of studies upon arbuscular mycorrhizal association with domestic apple and disease resistance</w:t>
        </w:r>
        <w:r w:rsidR="00E0076D">
          <w:rPr>
            <w:noProof/>
            <w:webHidden/>
          </w:rPr>
          <w:tab/>
        </w:r>
        <w:r w:rsidR="00E0076D">
          <w:rPr>
            <w:noProof/>
            <w:webHidden/>
          </w:rPr>
          <w:fldChar w:fldCharType="begin"/>
        </w:r>
        <w:r w:rsidR="00E0076D">
          <w:rPr>
            <w:noProof/>
            <w:webHidden/>
          </w:rPr>
          <w:instrText xml:space="preserve"> PAGEREF _Toc469868572 \h </w:instrText>
        </w:r>
        <w:r w:rsidR="00E0076D">
          <w:rPr>
            <w:noProof/>
            <w:webHidden/>
          </w:rPr>
        </w:r>
        <w:r w:rsidR="00E0076D">
          <w:rPr>
            <w:noProof/>
            <w:webHidden/>
          </w:rPr>
          <w:fldChar w:fldCharType="separate"/>
        </w:r>
        <w:r w:rsidR="00E0714D">
          <w:rPr>
            <w:noProof/>
            <w:webHidden/>
          </w:rPr>
          <w:t>22</w:t>
        </w:r>
        <w:r w:rsidR="00E0076D">
          <w:rPr>
            <w:noProof/>
            <w:webHidden/>
          </w:rPr>
          <w:fldChar w:fldCharType="end"/>
        </w:r>
      </w:hyperlink>
    </w:p>
    <w:p w:rsidR="00E0076D" w:rsidRDefault="00D22275">
      <w:pPr>
        <w:pStyle w:val="TableofFigures"/>
        <w:tabs>
          <w:tab w:val="right" w:leader="dot" w:pos="8494"/>
        </w:tabs>
        <w:rPr>
          <w:rFonts w:asciiTheme="minorHAnsi" w:eastAsiaTheme="minorEastAsia" w:hAnsiTheme="minorHAnsi"/>
          <w:noProof/>
          <w:lang w:eastAsia="en-GB"/>
        </w:rPr>
      </w:pPr>
      <w:hyperlink w:anchor="_Toc469868573" w:history="1">
        <w:r w:rsidR="00E0076D" w:rsidRPr="00AF3057">
          <w:rPr>
            <w:rStyle w:val="Hyperlink"/>
            <w:noProof/>
          </w:rPr>
          <w:t>Table 2.1</w:t>
        </w:r>
        <w:r w:rsidR="00E0076D" w:rsidRPr="00AF3057">
          <w:rPr>
            <w:rStyle w:val="Hyperlink"/>
            <w:b/>
            <w:noProof/>
          </w:rPr>
          <w:t xml:space="preserve"> </w:t>
        </w:r>
        <w:r w:rsidR="00E0076D" w:rsidRPr="00AF3057">
          <w:rPr>
            <w:rStyle w:val="Hyperlink"/>
            <w:noProof/>
          </w:rPr>
          <w:t>Four-Way ANOVA results for apple performance over three years. Main factor effects and all significant interactions with mycorrhiza are reported. Significant results (P&lt;0.05) are in bold.</w:t>
        </w:r>
        <w:r w:rsidR="00E0076D">
          <w:rPr>
            <w:noProof/>
            <w:webHidden/>
          </w:rPr>
          <w:tab/>
        </w:r>
        <w:r w:rsidR="00E0076D">
          <w:rPr>
            <w:noProof/>
            <w:webHidden/>
          </w:rPr>
          <w:fldChar w:fldCharType="begin"/>
        </w:r>
        <w:r w:rsidR="00E0076D">
          <w:rPr>
            <w:noProof/>
            <w:webHidden/>
          </w:rPr>
          <w:instrText xml:space="preserve"> PAGEREF _Toc469868573 \h </w:instrText>
        </w:r>
        <w:r w:rsidR="00E0076D">
          <w:rPr>
            <w:noProof/>
            <w:webHidden/>
          </w:rPr>
        </w:r>
        <w:r w:rsidR="00E0076D">
          <w:rPr>
            <w:noProof/>
            <w:webHidden/>
          </w:rPr>
          <w:fldChar w:fldCharType="separate"/>
        </w:r>
        <w:r w:rsidR="00E0714D">
          <w:rPr>
            <w:noProof/>
            <w:webHidden/>
          </w:rPr>
          <w:t>39</w:t>
        </w:r>
        <w:r w:rsidR="00E0076D">
          <w:rPr>
            <w:noProof/>
            <w:webHidden/>
          </w:rPr>
          <w:fldChar w:fldCharType="end"/>
        </w:r>
      </w:hyperlink>
    </w:p>
    <w:p w:rsidR="00E0076D" w:rsidRDefault="00D22275">
      <w:pPr>
        <w:pStyle w:val="TableofFigures"/>
        <w:tabs>
          <w:tab w:val="right" w:leader="dot" w:pos="8494"/>
        </w:tabs>
        <w:rPr>
          <w:rFonts w:asciiTheme="minorHAnsi" w:eastAsiaTheme="minorEastAsia" w:hAnsiTheme="minorHAnsi"/>
          <w:noProof/>
          <w:lang w:eastAsia="en-GB"/>
        </w:rPr>
      </w:pPr>
      <w:hyperlink w:anchor="_Toc469868574" w:history="1">
        <w:r w:rsidR="00E0076D" w:rsidRPr="00AF3057">
          <w:rPr>
            <w:rStyle w:val="Hyperlink"/>
            <w:noProof/>
          </w:rPr>
          <w:t>Table 2.2 Four-way ANOVA results for apple tree performance over three years. Main factor effects and all significant interactions with mycorrhiza are reported. Significant results are in bold.</w:t>
        </w:r>
        <w:r w:rsidR="00E0076D">
          <w:rPr>
            <w:noProof/>
            <w:webHidden/>
          </w:rPr>
          <w:tab/>
        </w:r>
        <w:r w:rsidR="00E0076D">
          <w:rPr>
            <w:noProof/>
            <w:webHidden/>
          </w:rPr>
          <w:fldChar w:fldCharType="begin"/>
        </w:r>
        <w:r w:rsidR="00E0076D">
          <w:rPr>
            <w:noProof/>
            <w:webHidden/>
          </w:rPr>
          <w:instrText xml:space="preserve"> PAGEREF _Toc469868574 \h </w:instrText>
        </w:r>
        <w:r w:rsidR="00E0076D">
          <w:rPr>
            <w:noProof/>
            <w:webHidden/>
          </w:rPr>
        </w:r>
        <w:r w:rsidR="00E0076D">
          <w:rPr>
            <w:noProof/>
            <w:webHidden/>
          </w:rPr>
          <w:fldChar w:fldCharType="separate"/>
        </w:r>
        <w:r w:rsidR="00E0714D">
          <w:rPr>
            <w:noProof/>
            <w:webHidden/>
          </w:rPr>
          <w:t>41</w:t>
        </w:r>
        <w:r w:rsidR="00E0076D">
          <w:rPr>
            <w:noProof/>
            <w:webHidden/>
          </w:rPr>
          <w:fldChar w:fldCharType="end"/>
        </w:r>
      </w:hyperlink>
    </w:p>
    <w:p w:rsidR="00E0076D" w:rsidRDefault="00D22275">
      <w:pPr>
        <w:pStyle w:val="TableofFigures"/>
        <w:tabs>
          <w:tab w:val="right" w:leader="dot" w:pos="8494"/>
        </w:tabs>
        <w:rPr>
          <w:rFonts w:asciiTheme="minorHAnsi" w:eastAsiaTheme="minorEastAsia" w:hAnsiTheme="minorHAnsi"/>
          <w:noProof/>
          <w:lang w:eastAsia="en-GB"/>
        </w:rPr>
      </w:pPr>
      <w:hyperlink w:anchor="_Toc469868575" w:history="1">
        <w:r w:rsidR="00E0076D" w:rsidRPr="00AF3057">
          <w:rPr>
            <w:rStyle w:val="Hyperlink"/>
            <w:noProof/>
          </w:rPr>
          <w:t>Table 3.1 Contrasting management and characteristics of the three cider apple orchard types studied (data from NACM 1980, and UK BAP 2008)</w:t>
        </w:r>
        <w:r w:rsidR="00E0076D">
          <w:rPr>
            <w:noProof/>
            <w:webHidden/>
          </w:rPr>
          <w:tab/>
        </w:r>
        <w:r w:rsidR="00E0076D">
          <w:rPr>
            <w:noProof/>
            <w:webHidden/>
          </w:rPr>
          <w:fldChar w:fldCharType="begin"/>
        </w:r>
        <w:r w:rsidR="00E0076D">
          <w:rPr>
            <w:noProof/>
            <w:webHidden/>
          </w:rPr>
          <w:instrText xml:space="preserve"> PAGEREF _Toc469868575 \h </w:instrText>
        </w:r>
        <w:r w:rsidR="00E0076D">
          <w:rPr>
            <w:noProof/>
            <w:webHidden/>
          </w:rPr>
        </w:r>
        <w:r w:rsidR="00E0076D">
          <w:rPr>
            <w:noProof/>
            <w:webHidden/>
          </w:rPr>
          <w:fldChar w:fldCharType="separate"/>
        </w:r>
        <w:r w:rsidR="00E0714D">
          <w:rPr>
            <w:noProof/>
            <w:webHidden/>
          </w:rPr>
          <w:t>53</w:t>
        </w:r>
        <w:r w:rsidR="00E0076D">
          <w:rPr>
            <w:noProof/>
            <w:webHidden/>
          </w:rPr>
          <w:fldChar w:fldCharType="end"/>
        </w:r>
      </w:hyperlink>
    </w:p>
    <w:p w:rsidR="00E0076D" w:rsidRDefault="00D22275">
      <w:pPr>
        <w:pStyle w:val="TableofFigures"/>
        <w:tabs>
          <w:tab w:val="right" w:leader="dot" w:pos="8494"/>
        </w:tabs>
        <w:rPr>
          <w:rFonts w:asciiTheme="minorHAnsi" w:eastAsiaTheme="minorEastAsia" w:hAnsiTheme="minorHAnsi"/>
          <w:noProof/>
          <w:lang w:eastAsia="en-GB"/>
        </w:rPr>
      </w:pPr>
      <w:hyperlink w:anchor="_Toc469868576" w:history="1">
        <w:r w:rsidR="00E0076D" w:rsidRPr="00AF3057">
          <w:rPr>
            <w:rStyle w:val="Hyperlink"/>
            <w:noProof/>
          </w:rPr>
          <w:t xml:space="preserve">Table 3.2 One-way ANOVA results for effect of habitat on TRF richness and Simpson’s reciprocal diversity index. Analysis was performed on the TRFs both grouped and separately from restriction with </w:t>
        </w:r>
        <w:r w:rsidR="00E0076D" w:rsidRPr="00AF3057">
          <w:rPr>
            <w:rStyle w:val="Hyperlink"/>
            <w:i/>
            <w:noProof/>
          </w:rPr>
          <w:t>Hinf-</w:t>
        </w:r>
        <w:r w:rsidR="00E0076D" w:rsidRPr="00AF3057">
          <w:rPr>
            <w:rStyle w:val="Hyperlink"/>
            <w:noProof/>
          </w:rPr>
          <w:t xml:space="preserve">I and </w:t>
        </w:r>
        <w:r w:rsidR="00DE1AD4">
          <w:rPr>
            <w:rStyle w:val="Hyperlink"/>
            <w:i/>
            <w:noProof/>
          </w:rPr>
          <w:t>HpyCH4-III</w:t>
        </w:r>
        <w:r w:rsidR="00E0076D" w:rsidRPr="00AF3057">
          <w:rPr>
            <w:rStyle w:val="Hyperlink"/>
            <w:noProof/>
          </w:rPr>
          <w:t>.</w:t>
        </w:r>
        <w:r w:rsidR="00E0076D">
          <w:rPr>
            <w:noProof/>
            <w:webHidden/>
          </w:rPr>
          <w:tab/>
        </w:r>
        <w:r w:rsidR="00E0076D">
          <w:rPr>
            <w:noProof/>
            <w:webHidden/>
          </w:rPr>
          <w:fldChar w:fldCharType="begin"/>
        </w:r>
        <w:r w:rsidR="00E0076D">
          <w:rPr>
            <w:noProof/>
            <w:webHidden/>
          </w:rPr>
          <w:instrText xml:space="preserve"> PAGEREF _Toc469868576 \h </w:instrText>
        </w:r>
        <w:r w:rsidR="00E0076D">
          <w:rPr>
            <w:noProof/>
            <w:webHidden/>
          </w:rPr>
        </w:r>
        <w:r w:rsidR="00E0076D">
          <w:rPr>
            <w:noProof/>
            <w:webHidden/>
          </w:rPr>
          <w:fldChar w:fldCharType="separate"/>
        </w:r>
        <w:r w:rsidR="00E0714D">
          <w:rPr>
            <w:noProof/>
            <w:webHidden/>
          </w:rPr>
          <w:t>75</w:t>
        </w:r>
        <w:r w:rsidR="00E0076D">
          <w:rPr>
            <w:noProof/>
            <w:webHidden/>
          </w:rPr>
          <w:fldChar w:fldCharType="end"/>
        </w:r>
      </w:hyperlink>
    </w:p>
    <w:p w:rsidR="00E0076D" w:rsidRDefault="00D22275">
      <w:pPr>
        <w:pStyle w:val="TableofFigures"/>
        <w:tabs>
          <w:tab w:val="right" w:leader="dot" w:pos="8494"/>
        </w:tabs>
        <w:rPr>
          <w:rFonts w:asciiTheme="minorHAnsi" w:eastAsiaTheme="minorEastAsia" w:hAnsiTheme="minorHAnsi"/>
          <w:noProof/>
          <w:lang w:eastAsia="en-GB"/>
        </w:rPr>
      </w:pPr>
      <w:hyperlink w:anchor="_Toc469868577" w:history="1">
        <w:r w:rsidR="00E0076D" w:rsidRPr="00AF3057">
          <w:rPr>
            <w:rStyle w:val="Hyperlink"/>
            <w:noProof/>
          </w:rPr>
          <w:t>Table 3.3 One-way ANOVA results for effect of habitat type (woodland, conventional bush orchard, conventional standard orchard, organic standard orchard and arable) on AMF community composition as measured by TRF relative abundance.</w:t>
        </w:r>
        <w:r w:rsidR="00E0076D">
          <w:rPr>
            <w:noProof/>
            <w:webHidden/>
          </w:rPr>
          <w:tab/>
        </w:r>
        <w:r w:rsidR="00E0076D">
          <w:rPr>
            <w:noProof/>
            <w:webHidden/>
          </w:rPr>
          <w:fldChar w:fldCharType="begin"/>
        </w:r>
        <w:r w:rsidR="00E0076D">
          <w:rPr>
            <w:noProof/>
            <w:webHidden/>
          </w:rPr>
          <w:instrText xml:space="preserve"> PAGEREF _Toc469868577 \h </w:instrText>
        </w:r>
        <w:r w:rsidR="00E0076D">
          <w:rPr>
            <w:noProof/>
            <w:webHidden/>
          </w:rPr>
        </w:r>
        <w:r w:rsidR="00E0076D">
          <w:rPr>
            <w:noProof/>
            <w:webHidden/>
          </w:rPr>
          <w:fldChar w:fldCharType="separate"/>
        </w:r>
        <w:r w:rsidR="00E0714D">
          <w:rPr>
            <w:noProof/>
            <w:webHidden/>
          </w:rPr>
          <w:t>76</w:t>
        </w:r>
        <w:r w:rsidR="00E0076D">
          <w:rPr>
            <w:noProof/>
            <w:webHidden/>
          </w:rPr>
          <w:fldChar w:fldCharType="end"/>
        </w:r>
      </w:hyperlink>
    </w:p>
    <w:p w:rsidR="00E0076D" w:rsidRDefault="00D22275">
      <w:pPr>
        <w:pStyle w:val="TableofFigures"/>
        <w:tabs>
          <w:tab w:val="right" w:leader="dot" w:pos="8494"/>
        </w:tabs>
        <w:rPr>
          <w:rFonts w:asciiTheme="minorHAnsi" w:eastAsiaTheme="minorEastAsia" w:hAnsiTheme="minorHAnsi"/>
          <w:noProof/>
          <w:lang w:eastAsia="en-GB"/>
        </w:rPr>
      </w:pPr>
      <w:hyperlink w:anchor="_Toc469868578" w:history="1">
        <w:r w:rsidR="00E0076D" w:rsidRPr="00AF3057">
          <w:rPr>
            <w:rStyle w:val="Hyperlink"/>
            <w:noProof/>
          </w:rPr>
          <w:t>Table 3.4. TRFLP principal component scores which showed significant differences between the five habitat types. Statistical differences between principal component scores of habitats were calculated using a 1-way ANOVA test with PC score as the response, habitat as the predictor and site as a random factor. Habitats with the same letter do not differ significantly from one another (Tukey HSD, p&lt;0.05). Only results for principal component scores which are significantly affected by habitat are presented.</w:t>
        </w:r>
        <w:r w:rsidR="00E0076D">
          <w:rPr>
            <w:noProof/>
            <w:webHidden/>
          </w:rPr>
          <w:tab/>
        </w:r>
        <w:r w:rsidR="00E0076D">
          <w:rPr>
            <w:noProof/>
            <w:webHidden/>
          </w:rPr>
          <w:fldChar w:fldCharType="begin"/>
        </w:r>
        <w:r w:rsidR="00E0076D">
          <w:rPr>
            <w:noProof/>
            <w:webHidden/>
          </w:rPr>
          <w:instrText xml:space="preserve"> PAGEREF _Toc469868578 \h </w:instrText>
        </w:r>
        <w:r w:rsidR="00E0076D">
          <w:rPr>
            <w:noProof/>
            <w:webHidden/>
          </w:rPr>
        </w:r>
        <w:r w:rsidR="00E0076D">
          <w:rPr>
            <w:noProof/>
            <w:webHidden/>
          </w:rPr>
          <w:fldChar w:fldCharType="separate"/>
        </w:r>
        <w:r w:rsidR="00E0714D">
          <w:rPr>
            <w:noProof/>
            <w:webHidden/>
          </w:rPr>
          <w:t>78</w:t>
        </w:r>
        <w:r w:rsidR="00E0076D">
          <w:rPr>
            <w:noProof/>
            <w:webHidden/>
          </w:rPr>
          <w:fldChar w:fldCharType="end"/>
        </w:r>
      </w:hyperlink>
    </w:p>
    <w:p w:rsidR="00E0076D" w:rsidRDefault="00D22275">
      <w:pPr>
        <w:pStyle w:val="TableofFigures"/>
        <w:tabs>
          <w:tab w:val="right" w:leader="dot" w:pos="8494"/>
        </w:tabs>
        <w:rPr>
          <w:rFonts w:asciiTheme="minorHAnsi" w:eastAsiaTheme="minorEastAsia" w:hAnsiTheme="minorHAnsi"/>
          <w:noProof/>
          <w:lang w:eastAsia="en-GB"/>
        </w:rPr>
      </w:pPr>
      <w:hyperlink w:anchor="_Toc469868579" w:history="1">
        <w:r w:rsidR="00E0076D" w:rsidRPr="00AF3057">
          <w:rPr>
            <w:rStyle w:val="Hyperlink"/>
            <w:noProof/>
          </w:rPr>
          <w:t>Table 3.5 Reverse sequence principal component scores which showed significant differences between the five habitat types. Statistical differences between principal component scores of habitats were calculated using a one-way ANOVA test with PC score as the response, habitat as the predictor and site as a random factor. Habitats with the same letter do not differ significantly from one another (Tukey HSD, p&lt;0.05). Only results for principal component scores which are significantly affected by habitat are presented.</w:t>
        </w:r>
        <w:r w:rsidR="00E0076D">
          <w:rPr>
            <w:noProof/>
            <w:webHidden/>
          </w:rPr>
          <w:tab/>
        </w:r>
        <w:r w:rsidR="00E0076D">
          <w:rPr>
            <w:noProof/>
            <w:webHidden/>
          </w:rPr>
          <w:fldChar w:fldCharType="begin"/>
        </w:r>
        <w:r w:rsidR="00E0076D">
          <w:rPr>
            <w:noProof/>
            <w:webHidden/>
          </w:rPr>
          <w:instrText xml:space="preserve"> PAGEREF _Toc469868579 \h </w:instrText>
        </w:r>
        <w:r w:rsidR="00E0076D">
          <w:rPr>
            <w:noProof/>
            <w:webHidden/>
          </w:rPr>
        </w:r>
        <w:r w:rsidR="00E0076D">
          <w:rPr>
            <w:noProof/>
            <w:webHidden/>
          </w:rPr>
          <w:fldChar w:fldCharType="separate"/>
        </w:r>
        <w:r w:rsidR="00E0714D">
          <w:rPr>
            <w:noProof/>
            <w:webHidden/>
          </w:rPr>
          <w:t>84</w:t>
        </w:r>
        <w:r w:rsidR="00E0076D">
          <w:rPr>
            <w:noProof/>
            <w:webHidden/>
          </w:rPr>
          <w:fldChar w:fldCharType="end"/>
        </w:r>
      </w:hyperlink>
    </w:p>
    <w:p w:rsidR="00E0076D" w:rsidRDefault="00D22275">
      <w:pPr>
        <w:pStyle w:val="TableofFigures"/>
        <w:tabs>
          <w:tab w:val="right" w:leader="dot" w:pos="8494"/>
        </w:tabs>
        <w:rPr>
          <w:rFonts w:asciiTheme="minorHAnsi" w:eastAsiaTheme="minorEastAsia" w:hAnsiTheme="minorHAnsi"/>
          <w:noProof/>
          <w:lang w:eastAsia="en-GB"/>
        </w:rPr>
      </w:pPr>
      <w:hyperlink w:anchor="_Toc469868580" w:history="1">
        <w:r w:rsidR="00E0076D" w:rsidRPr="00AF3057">
          <w:rPr>
            <w:rStyle w:val="Hyperlink"/>
            <w:noProof/>
          </w:rPr>
          <w:t xml:space="preserve">Table 3.6  ANOVA results for effect of habitat type (woodland, conventional bush orchard, conventional standard orchard, organic standard orchard and arable) on OTU relative </w:t>
        </w:r>
        <w:r w:rsidR="00E0076D" w:rsidRPr="00AF3057">
          <w:rPr>
            <w:rStyle w:val="Hyperlink"/>
            <w:noProof/>
          </w:rPr>
          <w:lastRenderedPageBreak/>
          <w:t>abundance. Relative abundance of each OTU out of the total number of sequences is also presented.</w:t>
        </w:r>
        <w:r w:rsidR="00E0076D">
          <w:rPr>
            <w:noProof/>
            <w:webHidden/>
          </w:rPr>
          <w:tab/>
        </w:r>
        <w:r w:rsidR="00E0076D">
          <w:rPr>
            <w:noProof/>
            <w:webHidden/>
          </w:rPr>
          <w:fldChar w:fldCharType="begin"/>
        </w:r>
        <w:r w:rsidR="00E0076D">
          <w:rPr>
            <w:noProof/>
            <w:webHidden/>
          </w:rPr>
          <w:instrText xml:space="preserve"> PAGEREF _Toc469868580 \h </w:instrText>
        </w:r>
        <w:r w:rsidR="00E0076D">
          <w:rPr>
            <w:noProof/>
            <w:webHidden/>
          </w:rPr>
        </w:r>
        <w:r w:rsidR="00E0076D">
          <w:rPr>
            <w:noProof/>
            <w:webHidden/>
          </w:rPr>
          <w:fldChar w:fldCharType="separate"/>
        </w:r>
        <w:r w:rsidR="00E0714D">
          <w:rPr>
            <w:noProof/>
            <w:webHidden/>
          </w:rPr>
          <w:t>85</w:t>
        </w:r>
        <w:r w:rsidR="00E0076D">
          <w:rPr>
            <w:noProof/>
            <w:webHidden/>
          </w:rPr>
          <w:fldChar w:fldCharType="end"/>
        </w:r>
      </w:hyperlink>
    </w:p>
    <w:p w:rsidR="00E0076D" w:rsidRDefault="007A30D0">
      <w:pPr>
        <w:pStyle w:val="TableofFigures"/>
        <w:tabs>
          <w:tab w:val="right" w:leader="dot" w:pos="8494"/>
        </w:tabs>
        <w:rPr>
          <w:rFonts w:asciiTheme="minorHAnsi" w:eastAsiaTheme="minorEastAsia" w:hAnsiTheme="minorHAnsi"/>
          <w:noProof/>
          <w:lang w:eastAsia="en-GB"/>
        </w:rPr>
      </w:pPr>
      <w:hyperlink w:anchor="_Toc469868581" w:history="1">
        <w:r w:rsidR="00E0076D" w:rsidRPr="00AF3057">
          <w:rPr>
            <w:rStyle w:val="Hyperlink"/>
            <w:noProof/>
          </w:rPr>
          <w:t>Table 3.7</w:t>
        </w:r>
        <w:r w:rsidR="00E0076D" w:rsidRPr="00AF3057">
          <w:rPr>
            <w:rStyle w:val="Hyperlink"/>
            <w:rFonts w:cs="Times New Roman"/>
            <w:noProof/>
          </w:rPr>
          <w:t xml:space="preserve"> Closest matches of </w:t>
        </w:r>
        <w:r w:rsidR="00556653">
          <w:rPr>
            <w:rStyle w:val="Hyperlink"/>
            <w:rFonts w:cs="Times New Roman"/>
            <w:noProof/>
          </w:rPr>
          <w:t>OTUs</w:t>
        </w:r>
        <w:r w:rsidR="00E0076D" w:rsidRPr="00AF3057">
          <w:rPr>
            <w:rStyle w:val="Hyperlink"/>
            <w:rFonts w:cs="Times New Roman"/>
            <w:noProof/>
          </w:rPr>
          <w:t xml:space="preserve"> to fungal virtual taxa within the MaarjAM database based on a neighbour joining phylogenetic tree. Restriction of the closest matched fungal virtual taxa was performed in silico for </w:t>
        </w:r>
        <w:r w:rsidR="00E0076D" w:rsidRPr="00AF3057">
          <w:rPr>
            <w:rStyle w:val="Hyperlink"/>
            <w:rFonts w:cs="Times New Roman"/>
            <w:i/>
            <w:noProof/>
          </w:rPr>
          <w:t>Hinf</w:t>
        </w:r>
        <w:r w:rsidR="00E0076D" w:rsidRPr="00AF3057">
          <w:rPr>
            <w:rStyle w:val="Hyperlink"/>
            <w:rFonts w:cs="Times New Roman"/>
            <w:noProof/>
          </w:rPr>
          <w:t xml:space="preserve">-I and </w:t>
        </w:r>
        <w:r w:rsidR="00DE1AD4">
          <w:rPr>
            <w:rStyle w:val="Hyperlink"/>
            <w:rFonts w:cs="Times New Roman"/>
            <w:i/>
            <w:noProof/>
          </w:rPr>
          <w:t>HpyCH4-III</w:t>
        </w:r>
        <w:r w:rsidR="00E0076D" w:rsidRPr="00AF3057">
          <w:rPr>
            <w:rStyle w:val="Hyperlink"/>
            <w:rFonts w:cs="Times New Roman"/>
            <w:noProof/>
          </w:rPr>
          <w:t xml:space="preserve"> restriction enzymes to predict the diagnostic TRF fragments that would be produced by restriction of these AMF types.  In silico restriction was performed for OTUs which accounted for ≥1% of sequences in at least one habitat types (28/79 OTUs). TRFs are coloured to show where in silico fragment sizes match observed fragment sizes</w:t>
        </w:r>
        <w:r w:rsidR="00E0076D">
          <w:rPr>
            <w:noProof/>
            <w:webHidden/>
          </w:rPr>
          <w:tab/>
        </w:r>
        <w:r w:rsidR="00E0076D">
          <w:rPr>
            <w:noProof/>
            <w:webHidden/>
          </w:rPr>
          <w:fldChar w:fldCharType="begin"/>
        </w:r>
        <w:r w:rsidR="00E0076D">
          <w:rPr>
            <w:noProof/>
            <w:webHidden/>
          </w:rPr>
          <w:instrText xml:space="preserve"> PAGEREF _Toc469868581 \h </w:instrText>
        </w:r>
        <w:r w:rsidR="00E0076D">
          <w:rPr>
            <w:noProof/>
            <w:webHidden/>
          </w:rPr>
        </w:r>
        <w:r w:rsidR="00E0076D">
          <w:rPr>
            <w:noProof/>
            <w:webHidden/>
          </w:rPr>
          <w:fldChar w:fldCharType="separate"/>
        </w:r>
        <w:r w:rsidR="00E0714D">
          <w:rPr>
            <w:noProof/>
            <w:webHidden/>
          </w:rPr>
          <w:t>94</w:t>
        </w:r>
        <w:r w:rsidR="00E0076D">
          <w:rPr>
            <w:noProof/>
            <w:webHidden/>
          </w:rPr>
          <w:fldChar w:fldCharType="end"/>
        </w:r>
      </w:hyperlink>
    </w:p>
    <w:p w:rsidR="00E0076D" w:rsidRDefault="00D22275">
      <w:pPr>
        <w:pStyle w:val="TableofFigures"/>
        <w:tabs>
          <w:tab w:val="right" w:leader="dot" w:pos="8494"/>
        </w:tabs>
        <w:rPr>
          <w:rFonts w:asciiTheme="minorHAnsi" w:eastAsiaTheme="minorEastAsia" w:hAnsiTheme="minorHAnsi"/>
          <w:noProof/>
          <w:lang w:eastAsia="en-GB"/>
        </w:rPr>
      </w:pPr>
      <w:hyperlink w:anchor="_Toc469868582" w:history="1">
        <w:r w:rsidR="00E0076D" w:rsidRPr="00AF3057">
          <w:rPr>
            <w:rStyle w:val="Hyperlink"/>
            <w:noProof/>
          </w:rPr>
          <w:t xml:space="preserve">Table 4.1 One-way ANOVA results for effect of habitat on species richness (TRF number) and Simpson’s reciprocal diversity index (1/D) of AMF colonising apple roots. Data is presented from restriction with the enzymes </w:t>
        </w:r>
        <w:r w:rsidR="00E0076D" w:rsidRPr="00AF3057">
          <w:rPr>
            <w:rStyle w:val="Hyperlink"/>
            <w:i/>
            <w:noProof/>
          </w:rPr>
          <w:t>Hinf-</w:t>
        </w:r>
        <w:r w:rsidR="00E0076D" w:rsidRPr="00AF3057">
          <w:rPr>
            <w:rStyle w:val="Hyperlink"/>
            <w:noProof/>
          </w:rPr>
          <w:t xml:space="preserve">I and </w:t>
        </w:r>
        <w:r w:rsidR="00DE1AD4">
          <w:rPr>
            <w:rStyle w:val="Hyperlink"/>
            <w:i/>
            <w:noProof/>
          </w:rPr>
          <w:t>HpyCH4-III</w:t>
        </w:r>
        <w:r w:rsidR="00E0076D" w:rsidRPr="00AF3057">
          <w:rPr>
            <w:rStyle w:val="Hyperlink"/>
            <w:noProof/>
          </w:rPr>
          <w:t xml:space="preserve"> separately and when grouped.</w:t>
        </w:r>
        <w:r w:rsidR="00E0076D">
          <w:rPr>
            <w:noProof/>
            <w:webHidden/>
          </w:rPr>
          <w:tab/>
        </w:r>
        <w:r w:rsidR="00E0076D">
          <w:rPr>
            <w:noProof/>
            <w:webHidden/>
          </w:rPr>
          <w:fldChar w:fldCharType="begin"/>
        </w:r>
        <w:r w:rsidR="00E0076D">
          <w:rPr>
            <w:noProof/>
            <w:webHidden/>
          </w:rPr>
          <w:instrText xml:space="preserve"> PAGEREF _Toc469868582 \h </w:instrText>
        </w:r>
        <w:r w:rsidR="00E0076D">
          <w:rPr>
            <w:noProof/>
            <w:webHidden/>
          </w:rPr>
        </w:r>
        <w:r w:rsidR="00E0076D">
          <w:rPr>
            <w:noProof/>
            <w:webHidden/>
          </w:rPr>
          <w:fldChar w:fldCharType="separate"/>
        </w:r>
        <w:r w:rsidR="00E0714D">
          <w:rPr>
            <w:noProof/>
            <w:webHidden/>
          </w:rPr>
          <w:t>111</w:t>
        </w:r>
        <w:r w:rsidR="00E0076D">
          <w:rPr>
            <w:noProof/>
            <w:webHidden/>
          </w:rPr>
          <w:fldChar w:fldCharType="end"/>
        </w:r>
      </w:hyperlink>
    </w:p>
    <w:p w:rsidR="00E0076D" w:rsidRDefault="00D22275">
      <w:pPr>
        <w:pStyle w:val="TableofFigures"/>
        <w:tabs>
          <w:tab w:val="right" w:leader="dot" w:pos="8494"/>
        </w:tabs>
        <w:rPr>
          <w:rFonts w:asciiTheme="minorHAnsi" w:eastAsiaTheme="minorEastAsia" w:hAnsiTheme="minorHAnsi"/>
          <w:noProof/>
          <w:lang w:eastAsia="en-GB"/>
        </w:rPr>
      </w:pPr>
      <w:hyperlink w:anchor="_Toc469868583" w:history="1">
        <w:r w:rsidR="00E0076D" w:rsidRPr="00AF3057">
          <w:rPr>
            <w:rStyle w:val="Hyperlink"/>
            <w:noProof/>
          </w:rPr>
          <w:t>Table 4.2 TRFLP principal component scores which showed significant differences between orchard management types. Statistical differences between principal component scores of habitats were calculated using a 1-way ANOVA test with PC score as the response, orchard type as the predictor and site as a random factor. Orchard types with the same letter do not differ significantly from one another (Tukey HSD, p&lt;0.05). Only results for principal component scores which are significantly different between orchard types are presented.</w:t>
        </w:r>
        <w:r w:rsidR="00E0076D">
          <w:rPr>
            <w:noProof/>
            <w:webHidden/>
          </w:rPr>
          <w:tab/>
        </w:r>
        <w:r w:rsidR="00E0076D">
          <w:rPr>
            <w:noProof/>
            <w:webHidden/>
          </w:rPr>
          <w:fldChar w:fldCharType="begin"/>
        </w:r>
        <w:r w:rsidR="00E0076D">
          <w:rPr>
            <w:noProof/>
            <w:webHidden/>
          </w:rPr>
          <w:instrText xml:space="preserve"> PAGEREF _Toc469868583 \h </w:instrText>
        </w:r>
        <w:r w:rsidR="00E0076D">
          <w:rPr>
            <w:noProof/>
            <w:webHidden/>
          </w:rPr>
        </w:r>
        <w:r w:rsidR="00E0076D">
          <w:rPr>
            <w:noProof/>
            <w:webHidden/>
          </w:rPr>
          <w:fldChar w:fldCharType="separate"/>
        </w:r>
        <w:r w:rsidR="00E0714D">
          <w:rPr>
            <w:noProof/>
            <w:webHidden/>
          </w:rPr>
          <w:t>114</w:t>
        </w:r>
        <w:r w:rsidR="00E0076D">
          <w:rPr>
            <w:noProof/>
            <w:webHidden/>
          </w:rPr>
          <w:fldChar w:fldCharType="end"/>
        </w:r>
      </w:hyperlink>
    </w:p>
    <w:p w:rsidR="00E0076D" w:rsidRDefault="00D22275">
      <w:pPr>
        <w:pStyle w:val="TableofFigures"/>
        <w:tabs>
          <w:tab w:val="right" w:leader="dot" w:pos="8494"/>
        </w:tabs>
        <w:rPr>
          <w:rFonts w:asciiTheme="minorHAnsi" w:eastAsiaTheme="minorEastAsia" w:hAnsiTheme="minorHAnsi"/>
          <w:noProof/>
          <w:lang w:eastAsia="en-GB"/>
        </w:rPr>
      </w:pPr>
      <w:hyperlink w:anchor="_Toc469868584" w:history="1">
        <w:r w:rsidR="00E0076D" w:rsidRPr="00AF3057">
          <w:rPr>
            <w:rStyle w:val="Hyperlink"/>
            <w:noProof/>
          </w:rPr>
          <w:t>Table 4.3 Effect of orchard management factors on TRF richness per tree using a linear mixed effects model. Reference categories for categorical variables; Grazed = grazed, Fruit variety = mixed. Orchard type conventional standard orchard (CS) and organic standard orchard (OS) were compared to the reference value of conventional bush orchards. Site was included as a random factor in all models. (n= 150) *P &lt; 0.05</w:t>
        </w:r>
        <w:r w:rsidR="00E0076D">
          <w:rPr>
            <w:noProof/>
            <w:webHidden/>
          </w:rPr>
          <w:tab/>
        </w:r>
        <w:r w:rsidR="00E0076D">
          <w:rPr>
            <w:noProof/>
            <w:webHidden/>
          </w:rPr>
          <w:fldChar w:fldCharType="begin"/>
        </w:r>
        <w:r w:rsidR="00E0076D">
          <w:rPr>
            <w:noProof/>
            <w:webHidden/>
          </w:rPr>
          <w:instrText xml:space="preserve"> PAGEREF _Toc469868584 \h </w:instrText>
        </w:r>
        <w:r w:rsidR="00E0076D">
          <w:rPr>
            <w:noProof/>
            <w:webHidden/>
          </w:rPr>
        </w:r>
        <w:r w:rsidR="00E0076D">
          <w:rPr>
            <w:noProof/>
            <w:webHidden/>
          </w:rPr>
          <w:fldChar w:fldCharType="separate"/>
        </w:r>
        <w:r w:rsidR="00E0714D">
          <w:rPr>
            <w:noProof/>
            <w:webHidden/>
          </w:rPr>
          <w:t>116</w:t>
        </w:r>
        <w:r w:rsidR="00E0076D">
          <w:rPr>
            <w:noProof/>
            <w:webHidden/>
          </w:rPr>
          <w:fldChar w:fldCharType="end"/>
        </w:r>
      </w:hyperlink>
    </w:p>
    <w:p w:rsidR="00E0076D" w:rsidRDefault="00D22275">
      <w:pPr>
        <w:pStyle w:val="TableofFigures"/>
        <w:tabs>
          <w:tab w:val="right" w:leader="dot" w:pos="8494"/>
        </w:tabs>
        <w:rPr>
          <w:rFonts w:asciiTheme="minorHAnsi" w:eastAsiaTheme="minorEastAsia" w:hAnsiTheme="minorHAnsi"/>
          <w:noProof/>
          <w:lang w:eastAsia="en-GB"/>
        </w:rPr>
      </w:pPr>
      <w:hyperlink w:anchor="_Toc469868585" w:history="1">
        <w:r w:rsidR="00E0076D" w:rsidRPr="00AF3057">
          <w:rPr>
            <w:rStyle w:val="Hyperlink"/>
            <w:noProof/>
          </w:rPr>
          <w:t>Table 4.4 Effect of TRF richness and other orchard management factors on fruit yield per tree using a linear mixed effects model. Reference categories for categorical variables; Grazed = grazed, Fruit variety = mixed. Orchard type conventional standard orchard (CS) and organic standard orchard (OS) were compared to the reference value of conventional bush orchards. Site was included as a random factor in all models. (n= 120), *P &lt; 0.05, Conditional R</w:t>
        </w:r>
        <w:r w:rsidR="00E0076D" w:rsidRPr="00AF3057">
          <w:rPr>
            <w:rStyle w:val="Hyperlink"/>
            <w:noProof/>
            <w:vertAlign w:val="superscript"/>
          </w:rPr>
          <w:t>2</w:t>
        </w:r>
        <w:r w:rsidR="00E0076D" w:rsidRPr="00AF3057">
          <w:rPr>
            <w:rStyle w:val="Hyperlink"/>
            <w:noProof/>
          </w:rPr>
          <w:t xml:space="preserve"> = 0.376.</w:t>
        </w:r>
        <w:r w:rsidR="00E0076D">
          <w:rPr>
            <w:noProof/>
            <w:webHidden/>
          </w:rPr>
          <w:tab/>
        </w:r>
        <w:r w:rsidR="00E0076D">
          <w:rPr>
            <w:noProof/>
            <w:webHidden/>
          </w:rPr>
          <w:fldChar w:fldCharType="begin"/>
        </w:r>
        <w:r w:rsidR="00E0076D">
          <w:rPr>
            <w:noProof/>
            <w:webHidden/>
          </w:rPr>
          <w:instrText xml:space="preserve"> PAGEREF _Toc469868585 \h </w:instrText>
        </w:r>
        <w:r w:rsidR="00E0076D">
          <w:rPr>
            <w:noProof/>
            <w:webHidden/>
          </w:rPr>
        </w:r>
        <w:r w:rsidR="00E0076D">
          <w:rPr>
            <w:noProof/>
            <w:webHidden/>
          </w:rPr>
          <w:fldChar w:fldCharType="separate"/>
        </w:r>
        <w:r w:rsidR="00E0714D">
          <w:rPr>
            <w:noProof/>
            <w:webHidden/>
          </w:rPr>
          <w:t>119</w:t>
        </w:r>
        <w:r w:rsidR="00E0076D">
          <w:rPr>
            <w:noProof/>
            <w:webHidden/>
          </w:rPr>
          <w:fldChar w:fldCharType="end"/>
        </w:r>
      </w:hyperlink>
    </w:p>
    <w:p w:rsidR="00006EBC" w:rsidRDefault="00006EBC" w:rsidP="00884BA9">
      <w:r>
        <w:fldChar w:fldCharType="end"/>
      </w:r>
    </w:p>
    <w:p w:rsidR="00234627" w:rsidRDefault="00234627" w:rsidP="000D114A">
      <w:pPr>
        <w:pStyle w:val="Heading1"/>
        <w:numPr>
          <w:ilvl w:val="0"/>
          <w:numId w:val="0"/>
        </w:numPr>
        <w:sectPr w:rsidR="00234627" w:rsidSect="000D114A">
          <w:footerReference w:type="even" r:id="rId9"/>
          <w:footerReference w:type="default" r:id="rId10"/>
          <w:pgSz w:w="11906" w:h="16838" w:code="9"/>
          <w:pgMar w:top="1134" w:right="1134" w:bottom="1134" w:left="2268" w:header="709" w:footer="709" w:gutter="0"/>
          <w:pgNumType w:fmt="lowerRoman" w:start="1"/>
          <w:cols w:space="708"/>
          <w:docGrid w:linePitch="360"/>
        </w:sectPr>
      </w:pPr>
    </w:p>
    <w:p w:rsidR="007E60E4" w:rsidRPr="00AA22EE" w:rsidRDefault="007E60E4" w:rsidP="0081436C">
      <w:pPr>
        <w:pStyle w:val="Heading1"/>
      </w:pPr>
      <w:r w:rsidRPr="00AA22EE">
        <w:lastRenderedPageBreak/>
        <w:t xml:space="preserve"> </w:t>
      </w:r>
      <w:bookmarkStart w:id="1" w:name="_Toc469854996"/>
      <w:bookmarkStart w:id="2" w:name="_Toc469855996"/>
      <w:bookmarkStart w:id="3" w:name="_Toc469931905"/>
      <w:bookmarkStart w:id="4" w:name="_Toc469982227"/>
      <w:r w:rsidRPr="00AA22EE">
        <w:t>Introduction</w:t>
      </w:r>
      <w:bookmarkEnd w:id="0"/>
      <w:bookmarkEnd w:id="1"/>
      <w:bookmarkEnd w:id="2"/>
      <w:bookmarkEnd w:id="3"/>
      <w:bookmarkEnd w:id="4"/>
    </w:p>
    <w:p w:rsidR="007E60E4" w:rsidRPr="00AA22EE" w:rsidRDefault="007E60E4" w:rsidP="007E60E4">
      <w:pPr>
        <w:pStyle w:val="Heading2"/>
      </w:pPr>
      <w:bookmarkStart w:id="5" w:name="_Toc463208972"/>
      <w:bookmarkStart w:id="6" w:name="_Toc469854997"/>
      <w:bookmarkStart w:id="7" w:name="_Toc469855997"/>
      <w:bookmarkStart w:id="8" w:name="_Toc469931906"/>
      <w:bookmarkStart w:id="9" w:name="_Toc469982228"/>
      <w:r w:rsidRPr="00AA22EE">
        <w:t>Food security</w:t>
      </w:r>
      <w:bookmarkEnd w:id="5"/>
      <w:bookmarkEnd w:id="6"/>
      <w:bookmarkEnd w:id="7"/>
      <w:bookmarkEnd w:id="8"/>
      <w:bookmarkEnd w:id="9"/>
      <w:r w:rsidRPr="00AA22EE">
        <w:t xml:space="preserve"> </w:t>
      </w:r>
    </w:p>
    <w:p w:rsidR="002D314A" w:rsidRPr="00DC59CF" w:rsidRDefault="007E60E4" w:rsidP="00DC59CF">
      <w:r w:rsidRPr="00AA22EE">
        <w:t>Food security is one of the critical challenges facing human society in the 21</w:t>
      </w:r>
      <w:r w:rsidRPr="00AA22EE">
        <w:rPr>
          <w:vertAlign w:val="superscript"/>
        </w:rPr>
        <w:t>st</w:t>
      </w:r>
      <w:r w:rsidRPr="00AA22EE">
        <w:t xml:space="preserve"> century with global food demand predicted to increase by over 50% as the world’s population grows from the current 6.8 billion to 9.1 billion by 2050</w:t>
      </w:r>
      <w:r w:rsidR="006149F4">
        <w:t xml:space="preserve"> </w:t>
      </w:r>
      <w:r w:rsidR="006149F4">
        <w:fldChar w:fldCharType="begin"/>
      </w:r>
      <w:r w:rsidR="00A36863">
        <w:instrText xml:space="preserve"> ADDIN ZOTERO_ITEM CSL_CITATION {"citationID":"S1gre4Mw","properties":{"formattedCitation":"{\\rtf (Alexandratos, 1999; Pretty {\\i{}et al.}, 2010)}","plainCitation":"(Alexandratos, 1999; Pretty et al., 2010)"},"citationItems":[{"id":110,"uris":["http://zotero.org/users/local/d1gJDEOw/items/TTPQ3XF9"],"uri":["http://zotero.org/users/local/d1gJDEOw/items/TTPQ3XF9"],"itemData":{"id":110,"type":"article-journal","title":"World food and agriculture: Outlook for the medium and longer term","container-title":"Proceedings of the National Academy of Sciences","page":"5908-5914","volume":"96","issue":"11","source":"www.pnas.org","abstract":"The world has been making progress in improving food security, as measured by the per person availability of food for direct human consumption. However, progress has been very uneven, and many developing countries have failed to participate in such progress. In some countries, the food security situation is today worse than 20 years ago. The persistence of food insecurity does not reflect so much a lack of capacity of the world as a whole to increase food production to whatever level would be required for everyone to have consumption levels assuring satisfactory nutrition. The world already produces sufficient food. The undernourished and the food-insecure persons are in these conditions because they are poor in terms of income with which to purchase food or in terms of access to agricultural resources, education, technology, infrastructure, credit, etc., to produce their own food. Economic development failures account for the persistence of poverty and food insecurity. In the majority of countries with severe food-security problems, the greatest part of the poor and food-insecure population depend greatly on local agriculture for a living. In such cases, development failures are often tantamount to failures of agricultural development. Development of agriculture is seen as the first crucial step toward broader development, reduction of poverty and food insecurity, and eventually freedom from excessive economic dependence on poor agricultural resources. Projections indicate that progress would continue, but at a pace and pattern that would be insufficient for the incidence of undernutrition to be reduced significantly in the medium-term future. As in the past, world agricultural production is likely to keep up with, and perhaps tend to exceed, the growth of the effective demand for food. The problem will continue to be one of persistence of poverty, leading to growth of the effective demand for food on the part of the poor that would fall short of that required for them to attain levels of consumption compatible with freedom from undernutrition.","DOI":"10.1073/pnas.96.11.5908","ISSN":"0027-8424, 1091-6490","note":"PMID: 10339517","shortTitle":"World food and agriculture","journalAbbreviation":"PNAS","language":"en","author":[{"family":"Alexandratos","given":"Nikos"}],"issued":{"date-parts":[["1999",5,25]]}}},{"id":713,"uris":["http://zotero.org/users/local/d1gJDEOw/items/XPKHIAPB"],"uri":["http://zotero.org/users/local/d1gJDEOw/items/XPKHIAPB"],"itemData":{"id":713,"type":"article-journal","title":"The top 100 questions of importance to the future of global agriculture","container-title":"International Journal of Agricultural Sustainability","page":"219-236","volume":"8","issue":"4","source":"Web of Science","abstract":"Despite a significant growth in food production over the past half-century, one of the most important challenges facing society today is how to feed an expected population of some nine billion by the middle of the 20th century. To meet the expected demand for food without significant increases in prices, it has been estimated that we need to produce 70-100 per cent more food, in light of the growing impacts of climate change, concerns over energy security, regional dietary shifts and the Millennium Development target of halving world poverty and hunger by 2015. The goal for the agricultural sector is no longer simply to maximize productivity, but to optimize across a far more complex landscape of production, rural development, environmental, social justice and food consumption outcomes. However, there remain significant challenges to developing national and international policies that support the wide emergence of more sustainable forms of land use and efficient agricultural production. The lack of information flow between scientists, practitioners and policy makers is known to exacerbate the difficulties, despite increased emphasis upon evidence-based policy. In this paper, we seek to improve dialogue and understanding between agricultural research and policy by identifying the 100 most important questions for global agriculture. These have been compiled using a horizon-scanning approach with leading experts and representatives of major agricultural organizations worldwide. The aim is to use sound scientific evidence to inform decision making and guide policy makers in the future direction of agricultural research priorities and policy support. If addressed, we anticipate that these questions will have a significant impact on global agricultural practices worldwide, while improving the synergy between agricultural policy, practice and research. This research forms part of the UK Government's Foresight Global Food and Farming Futures project.","DOI":"10.3763/ijas.2010.0534","ISSN":"1473-5903","note":"WOS:000287011300001","journalAbbreviation":"Int. J. Agric. Sustain.","language":"English","author":[{"family":"Pretty","given":"Jules"},{"family":"Sutherland","given":"William J."},{"family":"Ashby","given":"Jacqueline"},{"family":"Auburn","given":"Jill"},{"family":"Baulcombe","given":"David"},{"family":"Bell","given":"Michael"},{"family":"Bentley","given":"Jeffrey"},{"family":"Bickersteth","given":"Sam"},{"family":"Brown","given":"Katrina"},{"family":"Burke","given":"Jacob"},{"family":"Campbell","given":"Hugh"},{"family":"Chen","given":"Kevin"},{"family":"Crowley","given":"Eve"},{"family":"Crute","given":"Ian"},{"family":"Dobbelaere","given":"Dirk"},{"family":"Edwards-Jones","given":"Gareth"},{"family":"Funes-Monzote","given":"Fernando"},{"family":"Godfray","given":"H. Charles J."},{"family":"Griffon","given":"Michel"},{"family":"Gypmantisiri","given":"Phrek"},{"family":"Haddad","given":"Lawrence"},{"family":"Halavatau","given":"Siosiua"},{"family":"Herren","given":"Hans"},{"family":"Holderness","given":"Mark"},{"family":"Izac","given":"Anne-Marie"},{"family":"Jones","given":"Monty"},{"family":"Koohafkan","given":"Parviz"},{"family":"Lal","given":"Rattan"},{"family":"Lang","given":"Timothy"},{"family":"McNeely","given":"Jeffrey"},{"family":"Mueller","given":"Alexander"},{"family":"Nisbett","given":"Nicholas"},{"family":"Noble","given":"Andrew"},{"family":"Pingali","given":"Prabhu"},{"family":"Pinto","given":"Yvonne"},{"family":"Rabbinge","given":"Rudy"},{"family":"Ravindranath","given":"N. H."},{"family":"Rola","given":"Agnes"},{"family":"Roling","given":"Niels"},{"family":"Sage","given":"Colin"},{"family":"Settle","given":"William"},{"family":"Sha","given":"J. M."},{"family":"Shiming","given":"Luo"},{"family":"Simons","given":"Tony"},{"family":"Smith","given":"Pete"},{"family":"Strzepeck","given":"Kenneth"},{"family":"Swaine","given":"Harry"},{"family":"Terry","given":"Eugene"},{"family":"Tomich","given":"Thomas P."},{"family":"Toulmin","given":"Camilla"},{"family":"Trigo","given":"Eduardo"},{"family":"Twomlow","given":"Stephen"},{"family":"Vis","given":"Jan Kees"},{"family":"Wilson","given":"Jeremy"},{"family":"Pilgrim","given":"Sarah"}],"issued":{"date-parts":[["2010",11]]}}}],"schema":"https://github.com/citation-style-language/schema/raw/master/csl-citation.json"} </w:instrText>
      </w:r>
      <w:r w:rsidR="006149F4">
        <w:fldChar w:fldCharType="separate"/>
      </w:r>
      <w:r w:rsidR="00A36863" w:rsidRPr="00F00459">
        <w:rPr>
          <w:rFonts w:cs="Times New Roman"/>
          <w:szCs w:val="24"/>
        </w:rPr>
        <w:t>(</w:t>
      </w:r>
      <w:proofErr w:type="spellStart"/>
      <w:r w:rsidR="00A36863" w:rsidRPr="00F00459">
        <w:rPr>
          <w:rFonts w:cs="Times New Roman"/>
          <w:szCs w:val="24"/>
        </w:rPr>
        <w:t>Alexandratos</w:t>
      </w:r>
      <w:proofErr w:type="spellEnd"/>
      <w:r w:rsidR="00A36863" w:rsidRPr="00F00459">
        <w:rPr>
          <w:rFonts w:cs="Times New Roman"/>
          <w:szCs w:val="24"/>
        </w:rPr>
        <w:t xml:space="preserve">, 1999; Pretty </w:t>
      </w:r>
      <w:r w:rsidR="00A36863" w:rsidRPr="00F00459">
        <w:rPr>
          <w:rFonts w:cs="Times New Roman"/>
          <w:i/>
          <w:iCs/>
          <w:szCs w:val="24"/>
        </w:rPr>
        <w:t>et al.</w:t>
      </w:r>
      <w:r w:rsidR="00A36863" w:rsidRPr="00F00459">
        <w:rPr>
          <w:rFonts w:cs="Times New Roman"/>
          <w:szCs w:val="24"/>
        </w:rPr>
        <w:t>, 2010)</w:t>
      </w:r>
      <w:r w:rsidR="006149F4">
        <w:fldChar w:fldCharType="end"/>
      </w:r>
      <w:r w:rsidRPr="00AA22EE">
        <w:t xml:space="preserve">.  The ability of agricultural productivity to keep pace with this demand is threatened by an increasing array of challenges including high dependency upon fossil fuel based inputs, heavy reliance upon non-renewable resources such as rock phosphate fertilisers, and the limited availability of essential requirements such as freshwater and productive agricultural land </w:t>
      </w:r>
      <w:r w:rsidRPr="00AA22EE">
        <w:fldChar w:fldCharType="begin"/>
      </w:r>
      <w:r w:rsidRPr="00AA22EE">
        <w:instrText xml:space="preserve"> ADDIN EN.CITE &lt;EndNote&gt;&lt;Cite&gt;&lt;Author&gt;Tilman&lt;/Author&gt;&lt;Year&gt;2002&lt;/Year&gt;&lt;IDText&gt;Agricultural sustainability and intensive production practices&lt;/IDText&gt;&lt;DisplayText&gt;(Tilman et al. 2002)&lt;/DisplayText&gt;&lt;record&gt;&lt;dates&gt;&lt;pub-dates&gt;&lt;date&gt;Aug&lt;/date&gt;&lt;/pub-dates&gt;&lt;year&gt;2002&lt;/year&gt;&lt;/dates&gt;&lt;keywords&gt;&lt;keyword&gt;FRESH-WATER&lt;/keyword&gt;&lt;keyword&gt;WORLD FOOD&lt;/keyword&gt;&lt;keyword&gt;NITROGEN&lt;/keyword&gt;&lt;keyword&gt;DIVERSITY&lt;/keyword&gt;&lt;keyword&gt;SYSTEMS&lt;/keyword&gt;&lt;keyword&gt;SOIL&lt;/keyword&gt;&lt;keyword&gt;RICE&lt;/keyword&gt;&lt;keyword&gt;&lt;/keyword&gt;&lt;keyword&gt;CONSEQUENCES&lt;/keyword&gt;&lt;keyword&gt;ENVIRONMENT&lt;/keyword&gt;&lt;keyword&gt;CHALLENGES&lt;/keyword&gt;&lt;/keywords&gt;&lt;urls&gt;&lt;related-urls&gt;&lt;url&gt;&amp;lt;Go to ISI&amp;gt;://WOS:000177305600053&lt;/url&gt;&lt;/related-urls&gt;&lt;/urls&gt;&lt;isbn&gt;0028-0836&lt;/isbn&gt;&lt;work-type&gt;Review&lt;/work-type&gt;&lt;titles&gt;&lt;title&gt;Agricultural sustainability and intensive production practices&lt;/title&gt;&lt;secondary-title&gt;Nature&lt;/secondary-title&gt;&lt;alt-title&gt;Nature&lt;/alt-title&gt;&lt;/titles&gt;&lt;pages&gt;671-677&lt;/pages&gt;&lt;number&gt;6898&lt;/number&gt;&lt;contributors&gt;&lt;authors&gt;&lt;author&gt;Tilman, D.&lt;/author&gt;&lt;author&gt;Cassman, K. G.&lt;/author&gt;&lt;author&gt;Matson, P. A.&lt;/author&gt;&lt;author&gt;Naylor, R.&lt;/author&gt;&lt;author&gt;Polasky, S.&lt;/author&gt;&lt;/authors&gt;&lt;/contributors&gt;&lt;language&gt;English&lt;/language&gt;&lt;added-date format="utc"&gt;1355048645&lt;/added-date&gt;&lt;ref-type name="Journal Article"&gt;17&lt;/ref-type&gt;&lt;auth-address&gt;Univ Minnesota, Dept Ecol Evolut &amp;amp; Behav, St Paul, MN 55108 USA. Univ Minnesota, Dept Appl Econ, St Paul, MN 55108 USA. Univ Nebraska, Dept Agron &amp;amp; Hort, Lincoln, NE 68583 USA. Stanford Univ, Dept Geol &amp;amp; Environm Sci, Stanford, CA 94305 USA. Stanford Univ, Ctr Environm Sci &amp;amp; Policy, Stanford, CA 94305 USA.&amp;#xD;Tilman, D (reprint author), Univ Minnesota, Dept Ecol Evolut &amp;amp; Behav, St Paul, MN 55108 USA.&lt;/auth-address&gt;&lt;rec-number&gt;132&lt;/rec-number&gt;&lt;last-updated-date format="utc"&gt;1355048645&lt;/last-updated-date&gt;&lt;accession-num&gt;WOS:000177305600053&lt;/accession-num&gt;&lt;electronic-resource-num&gt;10.1038/nature01014&lt;/electronic-resource-num&gt;&lt;volume&gt;418&lt;/volume&gt;&lt;/record&gt;&lt;/Cite&gt;&lt;/EndNote&gt;</w:instrText>
      </w:r>
      <w:r w:rsidRPr="00AA22EE">
        <w:fldChar w:fldCharType="separate"/>
      </w:r>
      <w:r w:rsidRPr="00AA22EE">
        <w:rPr>
          <w:noProof/>
        </w:rPr>
        <w:t>(Tilman et al. 2002)</w:t>
      </w:r>
      <w:r w:rsidRPr="00AA22EE">
        <w:fldChar w:fldCharType="end"/>
      </w:r>
      <w:r w:rsidRPr="00AA22EE">
        <w:t xml:space="preserve">.  Intensive agriculture has already incurred </w:t>
      </w:r>
      <w:r>
        <w:t xml:space="preserve">large scale </w:t>
      </w:r>
      <w:r w:rsidRPr="00AA22EE">
        <w:t>environmental impacts including degradation of approxima</w:t>
      </w:r>
      <w:r w:rsidR="00C75328">
        <w:t>tely 40% of agricultural soils</w:t>
      </w:r>
      <w:r w:rsidRPr="00AA22EE">
        <w:t xml:space="preserve">, reduced productivity of large areas of land due to salinization and toxicity </w:t>
      </w:r>
      <w:r w:rsidR="006149F4">
        <w:fldChar w:fldCharType="begin"/>
      </w:r>
      <w:r w:rsidR="006149F4">
        <w:instrText xml:space="preserve"> ADDIN ZOTERO_ITEM CSL_CITATION {"citationID":"2dkm2idja1","properties":{"formattedCitation":"{\\rtf (Vitousek {\\i{}et al.}, 1997)}","plainCitation":"(Vitousek et al., 1997)"},"citationItems":[{"id":1333,"uris":["http://zotero.org/users/local/d1gJDEOw/items/K9WN9F2R"],"uri":["http://zotero.org/users/local/d1gJDEOw/items/K9WN9F2R"],"itemData":{"id":1333,"type":"article-journal","title":"Human domination of Earth's ecosystems","container-title":"Science","page":"494-499","volume":"277","issue":"5325","archive_location":"WOS:A1997XM86700030","abstract":"Human alteration of Earth is substantial and growing. Between one-third and one-half of the land surface has been transformed by human action; the carbon dioxide concentration in the atmosphere has increased by nearly 30 percent since the beginning of the Industrial Revolution; more atmospheric nitrogen is fixed by humanity than by all natural terrestrial sources combined; more than half of all accessible surface fresh water is put to use by humanity; and about one-quarter of the bird species on Earth have been driven to extinction. By these and other standards, it is clear that we live on a human-dominated planet.","DOI":"10.1126/science.277.5325.494","ISSN":"0036-8075","shortTitle":"Human domination of Earth's ecosystems","author":[{"family":"Vitousek","given":"P. M."},{"family":"Mooney","given":"H. A."},{"family":"Lubchenco","given":"J."},{"family":"Melillo","given":"J. M."}],"issued":{"date-parts":[["1997",7]]}}}],"schema":"https://github.com/citation-style-language/schema/raw/master/csl-citation.json"} </w:instrText>
      </w:r>
      <w:r w:rsidR="006149F4">
        <w:fldChar w:fldCharType="separate"/>
      </w:r>
      <w:r w:rsidR="006149F4" w:rsidRPr="006149F4">
        <w:rPr>
          <w:rFonts w:cs="Times New Roman"/>
          <w:szCs w:val="24"/>
        </w:rPr>
        <w:t>(</w:t>
      </w:r>
      <w:proofErr w:type="spellStart"/>
      <w:r w:rsidR="006149F4" w:rsidRPr="006149F4">
        <w:rPr>
          <w:rFonts w:cs="Times New Roman"/>
          <w:szCs w:val="24"/>
        </w:rPr>
        <w:t>Vitousek</w:t>
      </w:r>
      <w:proofErr w:type="spellEnd"/>
      <w:r w:rsidR="006149F4" w:rsidRPr="006149F4">
        <w:rPr>
          <w:rFonts w:cs="Times New Roman"/>
          <w:szCs w:val="24"/>
        </w:rPr>
        <w:t xml:space="preserve"> </w:t>
      </w:r>
      <w:r w:rsidR="006149F4" w:rsidRPr="006149F4">
        <w:rPr>
          <w:rFonts w:cs="Times New Roman"/>
          <w:i/>
          <w:iCs/>
          <w:szCs w:val="24"/>
        </w:rPr>
        <w:t>et al.</w:t>
      </w:r>
      <w:r w:rsidR="006149F4" w:rsidRPr="006149F4">
        <w:rPr>
          <w:rFonts w:cs="Times New Roman"/>
          <w:szCs w:val="24"/>
        </w:rPr>
        <w:t>, 1997)</w:t>
      </w:r>
      <w:r w:rsidR="006149F4">
        <w:fldChar w:fldCharType="end"/>
      </w:r>
      <w:r w:rsidRPr="00AA22EE">
        <w:t xml:space="preserve"> and substantial biodiversity losses due to both habitat degradation and loss </w:t>
      </w:r>
      <w:r w:rsidRPr="00AA22EE">
        <w:fldChar w:fldCharType="begin"/>
      </w:r>
      <w:r w:rsidRPr="00AA22EE">
        <w:instrText xml:space="preserve"> ADDIN EN.CITE &lt;EndNote&gt;&lt;Cite&gt;&lt;Author&gt;Scherr&lt;/Author&gt;&lt;Year&gt;2008&lt;/Year&gt;&lt;IDText&gt;Biodiversity conservation and agricultural sustainability: towards a new paradigm of &amp;apos;ecoagriculture&amp;apos; landscapes&lt;/IDText&gt;&lt;DisplayText&gt;(Scherr and McNeely 2008)&lt;/DisplayText&gt;&lt;record&gt;&lt;dates&gt;&lt;pub-dates&gt;&lt;date&gt;Feb&lt;/date&gt;&lt;/pub-dates&gt;&lt;year&gt;2008&lt;/year&gt;&lt;/dates&gt;&lt;urls&gt;&lt;related-urls&gt;&lt;url&gt;&amp;lt;Go to ISI&amp;gt;://WOS:000252663100004&lt;/url&gt;&lt;/related-urls&gt;&lt;/urls&gt;&lt;isbn&gt;0962-8436&lt;/isbn&gt;&lt;titles&gt;&lt;title&gt;Biodiversity conservation and agricultural sustainability: towards a new paradigm of &amp;apos;ecoagriculture&amp;apos; landscapes&lt;/title&gt;&lt;secondary-title&gt;Philosophical Transactions of the Royal Society B-Biological Sciences&lt;/secondary-title&gt;&lt;/titles&gt;&lt;pages&gt;477-494&lt;/pages&gt;&lt;number&gt;1491&lt;/number&gt;&lt;contributors&gt;&lt;authors&gt;&lt;author&gt;Scherr, S. J.&lt;/author&gt;&lt;author&gt;McNeely, J. A.&lt;/author&gt;&lt;/authors&gt;&lt;/contributors&gt;&lt;added-date format="utc"&gt;1359649200&lt;/added-date&gt;&lt;ref-type name="Journal Article"&gt;17&lt;/ref-type&gt;&lt;rec-number&gt;270&lt;/rec-number&gt;&lt;last-updated-date format="utc"&gt;1359649200&lt;/last-updated-date&gt;&lt;accession-num&gt;WOS:000252663100004&lt;/accession-num&gt;&lt;electronic-resource-num&gt;10.1098/rstb.2007.2165&lt;/electronic-resource-num&gt;&lt;volume&gt;363&lt;/volume&gt;&lt;/record&gt;&lt;/Cite&gt;&lt;/EndNote&gt;</w:instrText>
      </w:r>
      <w:r w:rsidRPr="00AA22EE">
        <w:fldChar w:fldCharType="separate"/>
      </w:r>
      <w:r w:rsidRPr="00AA22EE">
        <w:rPr>
          <w:noProof/>
        </w:rPr>
        <w:t>(Scherr and McNeely 2008)</w:t>
      </w:r>
      <w:r w:rsidRPr="00AA22EE">
        <w:fldChar w:fldCharType="end"/>
      </w:r>
      <w:r w:rsidRPr="00AA22EE">
        <w:t xml:space="preserve">. Furthermore intensive agriculture causes harmful indirect effects, for example it is estimated that between 30% and 80% of nitrogen fertilisers are lost from agricultural soils leading to  pollution of both the atmosphere and water sources </w:t>
      </w:r>
      <w:r w:rsidRPr="00AA22EE">
        <w:fldChar w:fldCharType="begin"/>
      </w:r>
      <w:r w:rsidRPr="00AA22EE">
        <w:instrText xml:space="preserve"> ADDIN EN.CITE &lt;EndNote&gt;&lt;Cite&gt;&lt;Author&gt;Pretty&lt;/Author&gt;&lt;Year&gt;2008&lt;/Year&gt;&lt;IDText&gt;Agricultural sustainability: concepts, principles and evidence&lt;/IDText&gt;&lt;DisplayText&gt;(Pretty 2008)&lt;/DisplayText&gt;&lt;record&gt;&lt;dates&gt;&lt;pub-dates&gt;&lt;date&gt;Feb&lt;/date&gt;&lt;/pub-dates&gt;&lt;year&gt;2008&lt;/year&gt;&lt;/dates&gt;&lt;keywords&gt;&lt;keyword&gt;environmental goods and services&lt;/keyword&gt;&lt;keyword&gt;natural capital&lt;/keyword&gt;&lt;keyword&gt;social capital&lt;/keyword&gt;&lt;keyword&gt;&lt;/keyword&gt;&lt;keyword&gt;agroecology&lt;/keyword&gt;&lt;keyword&gt;carbon sequestration&lt;/keyword&gt;&lt;keyword&gt;pesticides&lt;/keyword&gt;&lt;keyword&gt;INTEGRATED PEST-MANAGEMENT&lt;/keyword&gt;&lt;keyword&gt;AGRI-ENVIRONMENT SCHEMES&lt;/keyword&gt;&lt;keyword&gt;&lt;/keyword&gt;&lt;keyword&gt;DEVELOPING-COUNTRIES&lt;/keyword&gt;&lt;keyword&gt;CONTINGENT VALUATION&lt;/keyword&gt;&lt;keyword&gt;ECOLOGICAL KNOWLEDGE&lt;/keyword&gt;&lt;keyword&gt;&lt;/keyword&gt;&lt;keyword&gt;ECONOMIC-EVALUATION&lt;/keyword&gt;&lt;keyword&gt;ECOSYSTEM SERVICES&lt;/keyword&gt;&lt;keyword&gt;RIGHT QUESTIONS&lt;/keyword&gt;&lt;keyword&gt;N-LOSSES&lt;/keyword&gt;&lt;keyword&gt;&lt;/keyword&gt;&lt;keyword&gt;SYSTEMS&lt;/keyword&gt;&lt;/keywords&gt;&lt;urls&gt;&lt;related-urls&gt;&lt;url&gt;&amp;lt;Go to ISI&amp;gt;://WOS:000252663100002&lt;/url&gt;&lt;/related-urls&gt;&lt;/urls&gt;&lt;isbn&gt;0962-8436&lt;/isbn&gt;&lt;work-type&gt;Review&lt;/work-type&gt;&lt;titles&gt;&lt;title&gt;Agricultural sustainability: concepts, principles and evidence&lt;/title&gt;&lt;secondary-title&gt;Philosophical Transactions of the Royal Society B-Biological Sciences&lt;/secondary-title&gt;&lt;alt-title&gt;Philos. Trans. R. Soc. B-Biol. Sci.&lt;/alt-title&gt;&lt;/titles&gt;&lt;pages&gt;447-465&lt;/pages&gt;&lt;number&gt;1491&lt;/number&gt;&lt;contributors&gt;&lt;authors&gt;&lt;author&gt;Pretty, J.&lt;/author&gt;&lt;/authors&gt;&lt;/contributors&gt;&lt;language&gt;English&lt;/language&gt;&lt;added-date format="utc"&gt;1359198273&lt;/added-date&gt;&lt;ref-type name="Journal Article"&gt;17&lt;/ref-type&gt;&lt;auth-address&gt;Pretty, J (reprint author), Univ Essex, Dept Biol Sci, Colchester CO4 3SQ, Essex, England.&lt;/auth-address&gt;&lt;rec-number&gt;199&lt;/rec-number&gt;&lt;last-updated-date format="utc"&gt;1359198273&lt;/last-updated-date&gt;&lt;accession-num&gt;WOS:000252663100002&lt;/accession-num&gt;&lt;electronic-resource-num&gt;10.1098/rstb.2007.2163&lt;/electronic-resource-num&gt;&lt;volume&gt;363&lt;/volume&gt;&lt;/record&gt;&lt;/Cite&gt;&lt;/EndNote&gt;</w:instrText>
      </w:r>
      <w:r w:rsidRPr="00AA22EE">
        <w:fldChar w:fldCharType="separate"/>
      </w:r>
      <w:r w:rsidRPr="00AA22EE">
        <w:rPr>
          <w:noProof/>
        </w:rPr>
        <w:t>(Pretty 2008)</w:t>
      </w:r>
      <w:r w:rsidRPr="00AA22EE">
        <w:fldChar w:fldCharType="end"/>
      </w:r>
      <w:r w:rsidRPr="00AA22EE">
        <w:t xml:space="preserve">. To prevent further environmental damage and ensure food security for future generations it is therefore imperative to find strategies to balance productivity with environmental sustainability </w:t>
      </w:r>
      <w:r w:rsidRPr="00AA22EE">
        <w:fldChar w:fldCharType="begin"/>
      </w:r>
      <w:r w:rsidRPr="00AA22EE">
        <w:instrText xml:space="preserve"> ADDIN EN.CITE &lt;EndNote&gt;&lt;Cite&gt;&lt;Author&gt;Foley&lt;/Author&gt;&lt;Year&gt;2005&lt;/Year&gt;&lt;IDText&gt;Global consequences of land use&lt;/IDText&gt;&lt;DisplayText&gt;(Foley et al. 2005)&lt;/DisplayText&gt;&lt;record&gt;&lt;dates&gt;&lt;pub-dates&gt;&lt;date&gt;Jul&lt;/date&gt;&lt;/pub-dates&gt;&lt;year&gt;2005&lt;/year&gt;&lt;/dates&gt;&lt;urls&gt;&lt;related-urls&gt;&lt;url&gt;&amp;lt;Go to ISI&amp;gt;://WOS:000230735200036&lt;/url&gt;&lt;/related-urls&gt;&lt;/urls&gt;&lt;isbn&gt;0036-8075&lt;/isbn&gt;&lt;titles&gt;&lt;title&gt;Global consequences of land use&lt;/title&gt;&lt;secondary-title&gt;Science&lt;/secondary-title&gt;&lt;/titles&gt;&lt;pages&gt;570-574&lt;/pages&gt;&lt;number&gt;5734&lt;/number&gt;&lt;contributors&gt;&lt;authors&gt;&lt;author&gt;Foley, J. A.&lt;/author&gt;&lt;author&gt;DeFries, R.&lt;/author&gt;&lt;author&gt;Asner, G. P.&lt;/author&gt;&lt;author&gt;Barford, C.&lt;/author&gt;&lt;author&gt;Bonan, G.&lt;/author&gt;&lt;author&gt;Carpenter, S. R.&lt;/author&gt;&lt;author&gt;Chapin, F. S.&lt;/author&gt;&lt;author&gt;Coe, M. T.&lt;/author&gt;&lt;author&gt;Daily, G. C.&lt;/author&gt;&lt;author&gt;Gibbs, H. K.&lt;/author&gt;&lt;author&gt;Helkowski, J. H.&lt;/author&gt;&lt;author&gt;Holloway, T.&lt;/author&gt;&lt;author&gt;Howard, E. A.&lt;/author&gt;&lt;author&gt;Kucharik, C. J.&lt;/author&gt;&lt;author&gt;Monfreda, C.&lt;/author&gt;&lt;author&gt;Patz, J. A.&lt;/author&gt;&lt;author&gt;Prentice, I. C.&lt;/author&gt;&lt;author&gt;Ramankutty, N.&lt;/author&gt;&lt;author&gt;Snyder, P. K.&lt;/author&gt;&lt;/authors&gt;&lt;/contributors&gt;&lt;added-date format="utc"&gt;1355050891&lt;/added-date&gt;&lt;ref-type name="Journal Article"&gt;17&lt;/ref-type&gt;&lt;rec-number&gt;133&lt;/rec-number&gt;&lt;last-updated-date format="utc"&gt;1355050891&lt;/last-updated-date&gt;&lt;accession-num&gt;WOS:000230735200036&lt;/accession-num&gt;&lt;electronic-resource-num&gt;10.1126/science.1111772&lt;/electronic-resource-num&gt;&lt;volume&gt;309&lt;/volume&gt;&lt;/record&gt;&lt;/Cite&gt;&lt;/EndNote&gt;</w:instrText>
      </w:r>
      <w:r w:rsidRPr="00AA22EE">
        <w:fldChar w:fldCharType="separate"/>
      </w:r>
      <w:r w:rsidRPr="00AA22EE">
        <w:rPr>
          <w:noProof/>
        </w:rPr>
        <w:t>(Foley et al. 2005)</w:t>
      </w:r>
      <w:r w:rsidRPr="00AA22EE">
        <w:fldChar w:fldCharType="end"/>
      </w:r>
      <w:r w:rsidRPr="00AA22EE">
        <w:t>.</w:t>
      </w:r>
    </w:p>
    <w:p w:rsidR="007E60E4" w:rsidRPr="00AA22EE" w:rsidRDefault="007E60E4" w:rsidP="00DC59CF">
      <w:r w:rsidRPr="00AA22EE">
        <w:t>Arbuscular mycorrhizal fungi (AM</w:t>
      </w:r>
      <w:r>
        <w:t>F</w:t>
      </w:r>
      <w:r w:rsidRPr="00AA22EE">
        <w:t xml:space="preserve">) have recently </w:t>
      </w:r>
      <w:r w:rsidR="000E2624">
        <w:t>been identified as one tool</w:t>
      </w:r>
      <w:r w:rsidRPr="00AA22EE">
        <w:t xml:space="preserve"> which could be used to improve agricultural sustainability </w:t>
      </w:r>
      <w:r w:rsidRPr="00AA22EE">
        <w:fldChar w:fldCharType="begin"/>
      </w:r>
      <w:r w:rsidRPr="00AA22EE">
        <w:instrText xml:space="preserve"> ADDIN EN.CITE &lt;EndNote&gt;&lt;Cite&gt;&lt;Author&gt;Fester&lt;/Author&gt;&lt;Year&gt;2011&lt;/Year&gt;&lt;IDText&gt;Progress and Challenges in Agricultural Applications of Arbuscular Mycorrhizal Fungi&lt;/IDText&gt;&lt;DisplayText&gt;(Fester and Sawers 2011)&lt;/DisplayText&gt;&lt;record&gt;&lt;urls&gt;&lt;related-urls&gt;&lt;url&gt;&amp;lt;Go to ISI&amp;gt;://WOS:000298323300003&lt;/url&gt;&lt;/related-urls&gt;&lt;/urls&gt;&lt;isbn&gt;0735-2689&lt;/isbn&gt;&lt;titles&gt;&lt;title&gt;Progress and Challenges in Agricultural Applications of Arbuscular Mycorrhizal Fungi&lt;/title&gt;&lt;secondary-title&gt;Critical Reviews in Plant Sciences&lt;/secondary-title&gt;&lt;/titles&gt;&lt;pages&gt;459-470&lt;/pages&gt;&lt;number&gt;5&lt;/number&gt;&lt;contributors&gt;&lt;authors&gt;&lt;author&gt;Fester, T.&lt;/author&gt;&lt;author&gt;Sawers, R.&lt;/author&gt;&lt;/authors&gt;&lt;/contributors&gt;&lt;added-date format="utc"&gt;1355092990&lt;/added-date&gt;&lt;ref-type name="Journal Article"&gt;17&lt;/ref-type&gt;&lt;dates&gt;&lt;year&gt;2011&lt;/year&gt;&lt;/dates&gt;&lt;rec-number&gt;157&lt;/rec-number&gt;&lt;last-updated-date format="utc"&gt;1355092990&lt;/last-updated-date&gt;&lt;accession-num&gt;WOS:000298323300003&lt;/accession-num&gt;&lt;electronic-resource-num&gt;10.1080/07352689.2011.605741&lt;/electronic-resource-num&gt;&lt;volume&gt;30&lt;/volume&gt;&lt;/record&gt;&lt;/Cite&gt;&lt;/EndNote&gt;</w:instrText>
      </w:r>
      <w:r w:rsidRPr="00AA22EE">
        <w:fldChar w:fldCharType="separate"/>
      </w:r>
      <w:r w:rsidRPr="00AA22EE">
        <w:rPr>
          <w:noProof/>
        </w:rPr>
        <w:t>(Fester and Sawers 2011)</w:t>
      </w:r>
      <w:r w:rsidRPr="00AA22EE">
        <w:fldChar w:fldCharType="end"/>
      </w:r>
      <w:r w:rsidRPr="00AA22EE">
        <w:t>. AM</w:t>
      </w:r>
      <w:r>
        <w:t>F</w:t>
      </w:r>
      <w:r w:rsidRPr="00AA22EE">
        <w:t xml:space="preserve"> form associations with host plant roots in a symbiosis in which the fungi receives photo-assimilates in exchange for essential nutrients such as phosphorus</w:t>
      </w:r>
      <w:r>
        <w:t>,</w:t>
      </w:r>
      <w:r w:rsidRPr="00AA22EE">
        <w:t xml:space="preserve"> which fungi are able to efficiently forage from the soil. AM</w:t>
      </w:r>
      <w:r>
        <w:t>F</w:t>
      </w:r>
      <w:r w:rsidRPr="00AA22EE">
        <w:t xml:space="preserve"> fungi belong to the phylum Glomeromycota</w:t>
      </w:r>
      <w:r w:rsidR="006149F4">
        <w:t xml:space="preserve"> </w:t>
      </w:r>
      <w:r w:rsidR="006149F4">
        <w:fldChar w:fldCharType="begin"/>
      </w:r>
      <w:r w:rsidR="0057400B">
        <w:instrText xml:space="preserve"> ADDIN ZOTERO_ITEM CSL_CITATION {"citationID":"264a61el2n","properties":{"formattedCitation":"{\\rtf (Sch\\uc0\\u252{}\\uc0\\u946{}ler {\\i{}et al.}, 2001)}","plainCitation":"(Schüβler et al., 2001)"},"citationItems":[{"id":1253,"uris":["http://zotero.org/users/local/d1gJDEOw/items/GR8P69PW"],"uri":["http://zotero.org/users/local/d1gJDEOw/items/GR8P69PW"],"itemData":{"id":1253,"type":"article-journal","title":"A new fungal phylum, the Glomeromycota: phylogeny and evolution","container-title":"Mycological Research","page":"1413-1421","volume":"105","archive_location":"WOS:000173613200004","abstract":"The ecologically and economically important arbuscular mycorrhizal (AM) fungi, crucial in the ecology and physiology of land plants, and the endocytobiotic fungus, Geosiphon pyriformis, are phylogenetically analysed by their small subunit (SSU) rRNA gene sequences. They can, from molecular, morphological and ecological characteristics, unequivocally be separated from all other major fungal groups in a monophyletic clade. Consequently they are removed from the polyphyletic Zygomycota, and placed into a new monophyletic phylum, the Glomeromycota. The recognition of this monophyletic group, which probably diverged from the same common ancestor as the Ascomycota and Basidiomycota, gives these fungi their proper status, and provides a basis for a new and natural systematics of these fascinating, yet largely hidden organisms, with three new orders (Archaeosporales, Paraglomerales, Diversisporales) described herein, Additionally, several clades resolve at family level; their formal description is in progress.","DOI":"10.1017/s0953756201005196","ISSN":"0953-7562","shortTitle":"A new fungal phylum, the Glomeromycota: phylogeny and evolution","author":[{"family":"Schüβler","given":"A."},{"family":"Schwarzott","given":"D."},{"family":"Walker","given":"C."}],"issued":{"date-parts":[["2001",12]]}}}],"schema":"https://github.com/citation-style-language/schema/raw/master/csl-citation.json"} </w:instrText>
      </w:r>
      <w:r w:rsidR="006149F4">
        <w:fldChar w:fldCharType="separate"/>
      </w:r>
      <w:r w:rsidR="0057400B" w:rsidRPr="00F00459">
        <w:rPr>
          <w:rFonts w:cs="Times New Roman"/>
          <w:szCs w:val="24"/>
        </w:rPr>
        <w:t>(</w:t>
      </w:r>
      <w:proofErr w:type="spellStart"/>
      <w:r w:rsidR="0057400B" w:rsidRPr="00F00459">
        <w:rPr>
          <w:rFonts w:cs="Times New Roman"/>
          <w:szCs w:val="24"/>
        </w:rPr>
        <w:t>Schü</w:t>
      </w:r>
      <w:proofErr w:type="spellEnd"/>
      <w:r w:rsidR="0057400B" w:rsidRPr="00F00459">
        <w:rPr>
          <w:rFonts w:cs="Times New Roman"/>
          <w:szCs w:val="24"/>
        </w:rPr>
        <w:t xml:space="preserve">βler </w:t>
      </w:r>
      <w:r w:rsidR="0057400B" w:rsidRPr="00F00459">
        <w:rPr>
          <w:rFonts w:cs="Times New Roman"/>
          <w:i/>
          <w:iCs/>
          <w:szCs w:val="24"/>
        </w:rPr>
        <w:t>et al.</w:t>
      </w:r>
      <w:r w:rsidR="0057400B" w:rsidRPr="00F00459">
        <w:rPr>
          <w:rFonts w:cs="Times New Roman"/>
          <w:szCs w:val="24"/>
        </w:rPr>
        <w:t>, 2001)</w:t>
      </w:r>
      <w:r w:rsidR="006149F4">
        <w:fldChar w:fldCharType="end"/>
      </w:r>
      <w:r w:rsidRPr="00AA22EE">
        <w:t xml:space="preserve"> and are an ancient association believed to have evolved 460 million years ago when plants first invaded land </w:t>
      </w:r>
      <w:r w:rsidR="006149F4">
        <w:fldChar w:fldCharType="begin"/>
      </w:r>
      <w:r w:rsidR="006149F4">
        <w:instrText xml:space="preserve"> ADDIN ZOTERO_ITEM CSL_CITATION {"citationID":"1h7av3dubv","properties":{"formattedCitation":"{\\rtf (Redecker {\\i{}et al.}, 2000)}","plainCitation":"(Redecker et al., 2000)"},"citationItems":[{"id":1205,"uris":["http://zotero.org/users/local/d1gJDEOw/items/AT4TI6HT"],"uri":["http://zotero.org/users/local/d1gJDEOw/items/AT4TI6HT"],"itemData":{"id":1205,"type":"article-journal","title":"Glomalean fungi from the Ordovician","container-title":"Science","page":"1920-1921","volume":"289","issue":"5486","archive_location":"WOS:000089355800041","abstract":"Fossilized fungal hyphae and spores from the Ordovician of Wisconsin (with an age of about 460 million years) strongly resemble modern arbuscular mycorrhizal fungi (Glomales, Zygomycetes), These fossils indicate that Glomales-like fungi were present at a time when the Land flora most likely only consisted of plants; on,the bryophytic Level. Thus, these fungi may have played a crucial role in facilitating the colonization of Land by plants, and the fossils support molecular estimates of fungal phylogeny that place the origin of the major groups of terrestrial fungi (Ascomycota, Basidiomycota, and Glomales) around 600 million years ago.","DOI":"10.1126/science.289.5486.1920","ISSN":"0036-8075","shortTitle":"Glomalean fungi from the Ordovician","author":[{"family":"Redecker","given":"D."},{"family":"Kodner","given":"R."},{"family":"Graham","given":"L. E."}],"issued":{"date-parts":[["2000",9]]}}}],"schema":"https://github.com/citation-style-language/schema/raw/master/csl-citation.json"} </w:instrText>
      </w:r>
      <w:r w:rsidR="006149F4">
        <w:fldChar w:fldCharType="separate"/>
      </w:r>
      <w:r w:rsidR="006149F4" w:rsidRPr="006149F4">
        <w:rPr>
          <w:rFonts w:cs="Times New Roman"/>
          <w:szCs w:val="24"/>
        </w:rPr>
        <w:t>(</w:t>
      </w:r>
      <w:proofErr w:type="spellStart"/>
      <w:r w:rsidR="006149F4" w:rsidRPr="006149F4">
        <w:rPr>
          <w:rFonts w:cs="Times New Roman"/>
          <w:szCs w:val="24"/>
        </w:rPr>
        <w:t>Redecker</w:t>
      </w:r>
      <w:proofErr w:type="spellEnd"/>
      <w:r w:rsidR="006149F4" w:rsidRPr="006149F4">
        <w:rPr>
          <w:rFonts w:cs="Times New Roman"/>
          <w:szCs w:val="24"/>
        </w:rPr>
        <w:t xml:space="preserve"> </w:t>
      </w:r>
      <w:r w:rsidR="006149F4" w:rsidRPr="006149F4">
        <w:rPr>
          <w:rFonts w:cs="Times New Roman"/>
          <w:i/>
          <w:iCs/>
          <w:szCs w:val="24"/>
        </w:rPr>
        <w:t>et al.</w:t>
      </w:r>
      <w:r w:rsidR="006149F4" w:rsidRPr="006149F4">
        <w:rPr>
          <w:rFonts w:cs="Times New Roman"/>
          <w:szCs w:val="24"/>
        </w:rPr>
        <w:t>, 2000)</w:t>
      </w:r>
      <w:r w:rsidR="006149F4">
        <w:fldChar w:fldCharType="end"/>
      </w:r>
      <w:r w:rsidRPr="00AA22EE">
        <w:t>. AM</w:t>
      </w:r>
      <w:r>
        <w:t>F</w:t>
      </w:r>
      <w:r w:rsidRPr="00AA22EE">
        <w:t xml:space="preserve"> naturally form associations with over 80% of vascular plants and are found in all ecosystems where higher plants exist </w:t>
      </w:r>
      <w:r w:rsidR="006149F4">
        <w:fldChar w:fldCharType="begin"/>
      </w:r>
      <w:r w:rsidR="006149F4">
        <w:instrText xml:space="preserve"> ADDIN ZOTERO_ITEM CSL_CITATION {"citationID":"d8du6h5ef","properties":{"formattedCitation":"{\\rtf (Opik {\\i{}et al.}, 2006)}","plainCitation":"(Opik et al., 2006)"},"citationItems":[{"id":1167,"uris":["http://zotero.org/users/local/d1gJDEOw/items/C3UPDMZX"],"uri":["http://zotero.org/users/local/d1gJDEOw/items/C3UPDMZX"],"itemData":{"id":1167,"type":"article-journal","title":"Composition of root-colonizing arbuscular mycorrhizal fungal communities in different ecosystems around the globe","container-title":"Journal of Ecology","page":"778-790","volume":"94","issue":"4","archive_location":"WOS:000237972700006","abstract":"1 Arbuscular mycorrhizal (AM) fungi are obligate root symbionts that are present in most terrestrial ecosystems and have roles in plant mineral nutrition, carbon cycling and biotic interactions. In this work, 26 publications were surveyed that report on the occurrence of natural root-colonizing AM fungi identified using rDNA region sequences. A total of 52 host plant species were investigated. Sixteen publications provided data enabling a comparison to be made of AM fungal taxon richness and community composition across 36 host plant species and 25 locations. Ninety-five fungal taxa (small subunit rRNA gene sequence types) were involved, 49 of which were recorded from at least two study sites, and 65 from more than one host plant species. 2 The number of AM fungal taxa per host plant species differed between habitat types: a significantly higher richness was found in tropical forests (18.2 fungal taxa per plant species), followed by grasslands (8.3), temperate forests (5.6) and habitats under anthropogenic influence (arable fields and polluted sites, 5.2). 3 AM fungal communities exhibit differing compositions in broadly defined habitat types: tropical forests, temperate forests and habitats under anthropogenic influence. Grassland locations around the world host heterogeneous AM fungal communities. 4 A number of AM fungi had a global distribution, including sequence types related to the Glomus intraradices/fasciculatum group, G. mosseae, G. sp. UY1225 and G. hoi, as well as the Glomus and Scutellospora types of unknown taxonomic affiliation. Widespread taxa occur in both natural and anthropogenic (disturbed) habitats, and may show high local abundance. However, about 50% of taxa have been recorded from only a single site. 5 The current global analysis of AM fungal communities suggests that soil micro-organisms may exhibit different distribution patterns, resulting in a high variability of taxon richness and composition between particular ecosystems.","DOI":"10.1111/j.1365-2745.2006.01136.x","ISSN":"0022-0477","shortTitle":"Composition of root-colonizing arbuscular mycorrhizal fungal communities in different ecosystems around the globe","author":[{"family":"Opik","given":"M."},{"family":"Moora","given":"M."},{"family":"Liira","given":"J."},{"family":"Zobel","given":"M."}],"issued":{"date-parts":[["2006",7]]}}}],"schema":"https://github.com/citation-style-language/schema/raw/master/csl-citation.json"} </w:instrText>
      </w:r>
      <w:r w:rsidR="006149F4">
        <w:fldChar w:fldCharType="separate"/>
      </w:r>
      <w:r w:rsidR="006149F4" w:rsidRPr="006149F4">
        <w:rPr>
          <w:rFonts w:cs="Times New Roman"/>
          <w:szCs w:val="24"/>
        </w:rPr>
        <w:t>(</w:t>
      </w:r>
      <w:proofErr w:type="spellStart"/>
      <w:r w:rsidR="006149F4" w:rsidRPr="006149F4">
        <w:rPr>
          <w:rFonts w:cs="Times New Roman"/>
          <w:szCs w:val="24"/>
        </w:rPr>
        <w:t>Opik</w:t>
      </w:r>
      <w:proofErr w:type="spellEnd"/>
      <w:r w:rsidR="006149F4" w:rsidRPr="006149F4">
        <w:rPr>
          <w:rFonts w:cs="Times New Roman"/>
          <w:szCs w:val="24"/>
        </w:rPr>
        <w:t xml:space="preserve"> </w:t>
      </w:r>
      <w:r w:rsidR="006149F4" w:rsidRPr="006149F4">
        <w:rPr>
          <w:rFonts w:cs="Times New Roman"/>
          <w:i/>
          <w:iCs/>
          <w:szCs w:val="24"/>
        </w:rPr>
        <w:t>et al.</w:t>
      </w:r>
      <w:r w:rsidR="006149F4" w:rsidRPr="006149F4">
        <w:rPr>
          <w:rFonts w:cs="Times New Roman"/>
          <w:szCs w:val="24"/>
        </w:rPr>
        <w:t>, 2006)</w:t>
      </w:r>
      <w:r w:rsidR="006149F4">
        <w:fldChar w:fldCharType="end"/>
      </w:r>
      <w:r w:rsidRPr="00AA22EE">
        <w:t xml:space="preserve">. </w:t>
      </w:r>
      <w:r w:rsidR="000E2624" w:rsidRPr="00AA22EE">
        <w:t xml:space="preserve">Arbuscular mycorrhizal fungi are obligate </w:t>
      </w:r>
      <w:proofErr w:type="spellStart"/>
      <w:r w:rsidR="000E2624" w:rsidRPr="00AA22EE">
        <w:t>biotrophs</w:t>
      </w:r>
      <w:proofErr w:type="spellEnd"/>
      <w:r w:rsidR="000E2624" w:rsidRPr="00AA22EE">
        <w:t xml:space="preserve"> which depend entirely upon their host plant for photosynthetically derived carbohydrates </w:t>
      </w:r>
      <w:r w:rsidR="000E2624">
        <w:t>.</w:t>
      </w:r>
      <w:r w:rsidRPr="00AA22EE">
        <w:t>In addition to nutrient provision, AM</w:t>
      </w:r>
      <w:r>
        <w:t>F</w:t>
      </w:r>
      <w:r w:rsidRPr="00AA22EE">
        <w:t xml:space="preserve"> are able to improve host plant health and vigour by providing a range of important non nutritional benefits including substantially increased resistance to disease and pathogens </w:t>
      </w:r>
      <w:r w:rsidR="006149F4">
        <w:fldChar w:fldCharType="begin"/>
      </w:r>
      <w:r w:rsidR="006149F4">
        <w:instrText xml:space="preserve"> ADDIN ZOTERO_ITEM CSL_CITATION {"citationID":"pg61jod7b","properties":{"formattedCitation":"{\\rtf (Jung {\\i{}et al.}, 2012)}","plainCitation":"(Jung et al., 2012)"},"citationItems":[{"id":73,"uris":["http://zotero.org/users/local/d1gJDEOw/items/CIKUHM33"],"uri":["http://zotero.org/users/local/d1gJDEOw/items/CIKUHM33"],"itemData":{"id":73,"type":"article-journal","title":"Mycorrhiza-Induced Resistance and Priming of Plant Defenses","container-title":"Journal of Chemical Ecology","page":"651-664","volume":"38","issue":"6","abstract":"Symbioses between plants and beneficial soil microorganisms like arbuscular-mycorrhizal fungi (AMF) are known to promote plant growth and help plants to cope with biotic and abiotic stresses. Profound physiological changes take place in the host plant upon root colonization by AMF affecting the interactions with a wide range of organisms below- and above-ground. Protective effects of the symbiosis against pathogens, pests, and parasitic plants have been described for many plant species, including agriculturally important crop varieties. Besides mechanisms such as improved plant nutrition and competition, experimental evidence supports a major role of plant defenses in the observed protection. During mycorrhiza establishment, modulation of plant defense responses occurs thus achieving a functional symbiosis. As a consequence of this modulation, a mild, but effective activation of the plant immune responses seems to occur, not only locally but also systemically. This activation leads to a primed state of the plant that allows a more efficient activation of defense mechanisms in response to attack by potential enemies. Here, we give an overview of the impact on interactions between mycorrhizal plants and pathogens, herbivores, and parasitic plants, and we summarize the current knowledge of the underlying mechanisms. We focus on the priming of jasmonate-regulated plant defense mechanisms that play a central role in the induction of resistance by arbuscular mycorrhizas.","DOI":"10.1007/s10886-012-0134-6","ISSN":"1573-1561","journalAbbreviation":"Journal of Chemical Ecology","author":[{"family":"Jung","given":"Sabine C."},{"family":"Martinez-Medina","given":"Ainhoa"},{"family":"Lopez-Raez","given":"Juan A."},{"family":"Pozo","given":"Maria J."}],"issued":{"date-parts":[["2012"]]}}}],"schema":"https://github.com/citation-style-language/schema/raw/master/csl-citation.json"} </w:instrText>
      </w:r>
      <w:r w:rsidR="006149F4">
        <w:fldChar w:fldCharType="separate"/>
      </w:r>
      <w:r w:rsidR="006149F4" w:rsidRPr="006149F4">
        <w:rPr>
          <w:rFonts w:cs="Times New Roman"/>
          <w:szCs w:val="24"/>
        </w:rPr>
        <w:t xml:space="preserve">(Jung </w:t>
      </w:r>
      <w:r w:rsidR="006149F4" w:rsidRPr="006149F4">
        <w:rPr>
          <w:rFonts w:cs="Times New Roman"/>
          <w:i/>
          <w:iCs/>
          <w:szCs w:val="24"/>
        </w:rPr>
        <w:t>et al.</w:t>
      </w:r>
      <w:r w:rsidR="006149F4" w:rsidRPr="006149F4">
        <w:rPr>
          <w:rFonts w:cs="Times New Roman"/>
          <w:szCs w:val="24"/>
        </w:rPr>
        <w:t>, 2012)</w:t>
      </w:r>
      <w:r w:rsidR="006149F4">
        <w:fldChar w:fldCharType="end"/>
      </w:r>
      <w:r w:rsidRPr="00AA22EE">
        <w:t xml:space="preserve"> tolerance to drought and other adverse soil conditions </w:t>
      </w:r>
      <w:r w:rsidR="007A30D0">
        <w:fldChar w:fldCharType="begin"/>
      </w:r>
      <w:r w:rsidR="007A30D0">
        <w:instrText xml:space="preserve"> ADDIN ZOTERO_ITEM CSL_CITATION {"citationID":"10n2kmkg1l","properties":{"formattedCitation":"{\\rtf (Aug\\uc0\\u233{}, 2004; Daei {\\i{}et al.}, 2009)}","plainCitation":"(Augé, 2004; Daei et al., 2009)"},"citationItems":[{"id":145,"uris":["http://zotero.org/users/local/d1gJDEOw/items/AUICBQE2"],"uri":["http://zotero.org/users/local/d1gJDEOw/items/AUICBQE2"],"itemData":{"id":145,"type":"article-journal","title":"Arbuscular mycorrhizae and soil/plant water relations","container-title":"Canadian Journal of Soil Science","page":"373-381","volume":"84","issue":"4","source":"Web of Science","ISSN":"0008-4271","note":"WOS:000226685500004","journalAbbreviation":"Can. J. Soil Sci.","language":"English","author":[{"family":"Augé","given":"R. M."}],"issued":{"date-parts":[["2004",12]]}}},{"id":146,"uris":["http://zotero.org/users/local/d1gJDEOw/items/2PG4ETTF"],"uri":["http://zotero.org/users/local/d1gJDEOw/items/2PG4ETTF"],"itemData":{"id":146,"type":"article-journal","title":"Alleviation of salinity stress on wheat yield, yield components, and nutrient uptake using arbuscular mycorrhizal fungi under field conditions","container-title":"Journal of Plant Physiology","page":"617-625","volume":"166","issue":"6","source":"ScienceDirect","abstract":"Summary\nWe conducted this study because of the importance of salinity in many parts of the world, and because almost all research regarding the effects of arbuscular mycorrhiza (AM) on plant growth under salinity have been conducted under greenhouse conditions. The hypothesis was that, with respect to the great abilities of AM fungi under stress, they are able to alleviate salinity stress under field conditions. Hence, the objectives were to evaluate the effects of different species of arbuscular mycorrhizal fungi on: (1) the yield and yield components of different wheat cultivars, and (2) nutrient uptake of different wheat genotypes under field saline conditions. The soil salinity of 7.41 dS/m and three AM species including Glomus etunicatum, G. mosseae and G. intraradices and wheat genotypes of Roshan, Kavir and a mutated line of Tabasi were tested. The electrical conductivity of the irrigation water was 13.87 dS/m. Under salinity, AM species significantly increased the growth and nutrient uptake of the mutated Tabasi line compared with the other genotypes, especially in comparison to the Kavir genotype. The mycorrhizal Tabasi genotype resulted in the lowest concentrations of Na+ and Cl−. The influence of different species of AM on enhancing plant growth under salinity was observed in the following order: Glomus etunicatum&amp;gt;G. mosseae&amp;gt;G. intraradices. The symbiosis of Glomus etunicatum and G. intraradices with the Tabasi mutated line resulted in the highest (42.08%) and the lowest (7.55%) increases in wheat dry weight, respectively. The highest (38.3%) and the lowest (4.5%) grain yield increases were related to the symbiosis of Tabasi mutated line with Glomus etunicatum and G. intraradices, respectively. Although different species of AM can be very beneficial to wheat plants under salinity stress, it is obvious from the results of this research that Glomus etunicatum can perform more efficiently under such conditions compared with other AM species. This indicates the great importance of selecting the right combination of AM species and host plant to make cultivation under salinity even more likely.","DOI":"10.1016/j.jplph.2008.09.013","ISSN":"0176-1617","journalAbbreviation":"Journal of Plant Physiology","author":[{"family":"Daei","given":"G."},{"family":"Ardekani","given":"M. R."},{"family":"Rejali","given":"F."},{"family":"Teimuri","given":"S."},{"family":"Miransari","given":"M."}],"issued":{"date-parts":[["2009",4,1]]}}}],"schema":"https://github.com/citation-style-language/schema/raw/master/csl-citation.json"} </w:instrText>
      </w:r>
      <w:r w:rsidR="007A30D0">
        <w:fldChar w:fldCharType="separate"/>
      </w:r>
      <w:r w:rsidR="007A30D0" w:rsidRPr="00F00459">
        <w:rPr>
          <w:rFonts w:cs="Times New Roman"/>
          <w:szCs w:val="24"/>
        </w:rPr>
        <w:t xml:space="preserve">(Augé, 2004; </w:t>
      </w:r>
      <w:proofErr w:type="spellStart"/>
      <w:r w:rsidR="007A30D0" w:rsidRPr="00F00459">
        <w:rPr>
          <w:rFonts w:cs="Times New Roman"/>
          <w:szCs w:val="24"/>
        </w:rPr>
        <w:t>Daei</w:t>
      </w:r>
      <w:proofErr w:type="spellEnd"/>
      <w:r w:rsidR="007A30D0" w:rsidRPr="00F00459">
        <w:rPr>
          <w:rFonts w:cs="Times New Roman"/>
          <w:szCs w:val="24"/>
        </w:rPr>
        <w:t xml:space="preserve"> </w:t>
      </w:r>
      <w:r w:rsidR="007A30D0" w:rsidRPr="00F00459">
        <w:rPr>
          <w:rFonts w:cs="Times New Roman"/>
          <w:i/>
          <w:iCs/>
          <w:szCs w:val="24"/>
        </w:rPr>
        <w:t>et al.</w:t>
      </w:r>
      <w:r w:rsidR="007A30D0" w:rsidRPr="00F00459">
        <w:rPr>
          <w:rFonts w:cs="Times New Roman"/>
          <w:szCs w:val="24"/>
        </w:rPr>
        <w:t>, 2009)</w:t>
      </w:r>
      <w:r w:rsidR="007A30D0">
        <w:fldChar w:fldCharType="end"/>
      </w:r>
      <w:r w:rsidRPr="00AA22EE">
        <w:t xml:space="preserve"> and improved competitive ability over non mycorrhizal plants </w:t>
      </w:r>
      <w:r w:rsidRPr="00AA22EE">
        <w:fldChar w:fldCharType="begin"/>
      </w:r>
      <w:r w:rsidRPr="00AA22EE">
        <w:instrText xml:space="preserve"> ADDIN EN.CITE &lt;EndNote&gt;&lt;Cite&gt;&lt;Author&gt;Cameron&lt;/Author&gt;&lt;Year&gt;2010&lt;/Year&gt;&lt;IDText&gt;Arbuscular mycorrhizal fungi as (agro)ecosystem engineers&lt;/IDText&gt;&lt;DisplayText&gt;(Cameron 2010)&lt;/DisplayText&gt;&lt;record&gt;&lt;dates&gt;&lt;pub-dates&gt;&lt;date&gt;Aug&lt;/date&gt;&lt;/pub-dates&gt;&lt;year&gt;2010&lt;/year&gt;&lt;/dates&gt;&lt;urls&gt;&lt;related-urls&gt;&lt;url&gt;&amp;lt;Go to ISI&amp;gt;://WOS:000280089400001&lt;/url&gt;&lt;/related-urls&gt;&lt;/urls&gt;&lt;isbn&gt;0032-079X&lt;/isbn&gt;&lt;titles&gt;&lt;title&gt;Arbuscular mycorrhizal fungi as (agro)ecosystem engineers&lt;/title&gt;&lt;secondary-title&gt;Plant and Soil&lt;/secondary-title&gt;&lt;/titles&gt;&lt;pages&gt;1-5&lt;/pages&gt;&lt;number&gt;1-2&lt;/number&gt;&lt;contributors&gt;&lt;authors&gt;&lt;author&gt;Cameron, D. D.&lt;/author&gt;&lt;/authors&gt;&lt;/contributors&gt;&lt;added-date format="utc"&gt;1359676598&lt;/added-date&gt;&lt;ref-type name="Journal Article"&gt;17&lt;/ref-type&gt;&lt;rec-number&gt;271&lt;/rec-number&gt;&lt;last-updated-date format="utc"&gt;1359676598&lt;/last-updated-date&gt;&lt;accession-num&gt;WOS:000280089400001&lt;/accession-num&gt;&lt;electronic-resource-num&gt;10.1007/s11104-010-0361-y&lt;/electronic-resource-num&gt;&lt;volume&gt;333&lt;/volume&gt;&lt;/record&gt;&lt;/Cite&gt;&lt;/EndNote&gt;</w:instrText>
      </w:r>
      <w:r w:rsidRPr="00AA22EE">
        <w:fldChar w:fldCharType="separate"/>
      </w:r>
      <w:r w:rsidRPr="00AA22EE">
        <w:rPr>
          <w:noProof/>
        </w:rPr>
        <w:t>(Cameron 2010)</w:t>
      </w:r>
      <w:r w:rsidRPr="00AA22EE">
        <w:fldChar w:fldCharType="end"/>
      </w:r>
      <w:r w:rsidRPr="00AA22EE">
        <w:t xml:space="preserve">. However, although AM have the potential to substantially improve crop health in a number of ways, in reality crop plants are rarely able to benefit from AM as standard practices of intensive agriculture including high application of chemicals such as inorganic fertilisers and fungicides in addition to physical soil disturbance by </w:t>
      </w:r>
      <w:r w:rsidRPr="00AA22EE">
        <w:lastRenderedPageBreak/>
        <w:t xml:space="preserve">activities such as tillage, are known to severely reduce the abundance diversity and functioning of AM within agricultural soils </w:t>
      </w:r>
      <w:r w:rsidRPr="00AA22EE">
        <w:fldChar w:fldCharType="begin"/>
      </w:r>
      <w:r w:rsidRPr="00AA22EE">
        <w:instrText xml:space="preserve"> ADDIN EN.CITE &lt;EndNote&gt;&lt;Cite&gt;&lt;Author&gt;Fester&lt;/Author&gt;&lt;Year&gt;2011&lt;/Year&gt;&lt;IDText&gt;Progress and Challenges in Agricultural Applications of Arbuscular Mycorrhizal Fungi&lt;/IDText&gt;&lt;DisplayText&gt;(Fester and Sawers 2011)&lt;/DisplayText&gt;&lt;record&gt;&lt;urls&gt;&lt;related-urls&gt;&lt;url&gt;&amp;lt;Go to ISI&amp;gt;://WOS:000298323300003&lt;/url&gt;&lt;/related-urls&gt;&lt;/urls&gt;&lt;isbn&gt;0735-2689&lt;/isbn&gt;&lt;titles&gt;&lt;title&gt;Progress and Challenges in Agricultural Applications of Arbuscular Mycorrhizal Fungi&lt;/title&gt;&lt;secondary-title&gt;Critical Reviews in Plant Sciences&lt;/secondary-title&gt;&lt;/titles&gt;&lt;pages&gt;459-470&lt;/pages&gt;&lt;number&gt;5&lt;/number&gt;&lt;contributors&gt;&lt;authors&gt;&lt;author&gt;Fester, T.&lt;/author&gt;&lt;author&gt;Sawers, R.&lt;/author&gt;&lt;/authors&gt;&lt;/contributors&gt;&lt;added-date format="utc"&gt;1355092990&lt;/added-date&gt;&lt;ref-type name="Journal Article"&gt;17&lt;/ref-type&gt;&lt;dates&gt;&lt;year&gt;2011&lt;/year&gt;&lt;/dates&gt;&lt;rec-number&gt;157&lt;/rec-number&gt;&lt;last-updated-date format="utc"&gt;1355092990&lt;/last-updated-date&gt;&lt;accession-num&gt;WOS:000298323300003&lt;/accession-num&gt;&lt;electronic-resource-num&gt;10.1080/07352689.2011.605741&lt;/electronic-resource-num&gt;&lt;volume&gt;30&lt;/volume&gt;&lt;/record&gt;&lt;/Cite&gt;&lt;/EndNote&gt;</w:instrText>
      </w:r>
      <w:r w:rsidRPr="00AA22EE">
        <w:fldChar w:fldCharType="separate"/>
      </w:r>
      <w:r w:rsidRPr="00AA22EE">
        <w:rPr>
          <w:noProof/>
        </w:rPr>
        <w:t>(Fester and Sawers 2011)</w:t>
      </w:r>
      <w:r w:rsidRPr="00AA22EE">
        <w:fldChar w:fldCharType="end"/>
      </w:r>
      <w:r w:rsidRPr="00AA22EE">
        <w:t>.</w:t>
      </w:r>
    </w:p>
    <w:p w:rsidR="007E60E4" w:rsidRPr="00AA22EE" w:rsidRDefault="007E60E4" w:rsidP="00DC59CF">
      <w:r w:rsidRPr="00AA22EE">
        <w:t xml:space="preserve">The UK cider industry currently contributes an annual </w:t>
      </w:r>
      <w:r w:rsidR="0055532F">
        <w:t>£</w:t>
      </w:r>
      <w:r w:rsidRPr="00AA22EE">
        <w:t xml:space="preserve">0.5 billion to the UK economy with over 600 million litres of cider produced each year </w:t>
      </w:r>
      <w:r w:rsidR="000E2624">
        <w:fldChar w:fldCharType="begin"/>
      </w:r>
      <w:r w:rsidR="000E2624">
        <w:instrText xml:space="preserve"> ADDIN ZOTERO_ITEM CSL_CITATION {"citationID":"1u9s5t778d","properties":{"formattedCitation":"(NACM, 2016)","plainCitation":"(NACM, 2016)"},"citationItems":[{"id":778,"uris":["http://zotero.org/users/local/d1gJDEOw/items/5X8A2FBM"],"uri":["http://zotero.org/users/local/d1gJDEOw/items/5X8A2FBM"],"itemData":{"id":778,"type":"webpage","title":"UK Cider Market | The National Association of Cider Makers","URL":"http://cideruk.com/uk-cider-market/","author":[{"family":"NACM","given":""}],"issued":{"date-parts":[["2016"]]},"accessed":{"date-parts":[["2016",12,18]]}}}],"schema":"https://github.com/citation-style-language/schema/raw/master/csl-citation.json"} </w:instrText>
      </w:r>
      <w:r w:rsidR="000E2624">
        <w:fldChar w:fldCharType="separate"/>
      </w:r>
      <w:r w:rsidR="000E2624" w:rsidRPr="000E2624">
        <w:rPr>
          <w:rFonts w:cs="Times New Roman"/>
        </w:rPr>
        <w:t>(NACM, 2016)</w:t>
      </w:r>
      <w:r w:rsidR="000E2624">
        <w:fldChar w:fldCharType="end"/>
      </w:r>
      <w:r w:rsidRPr="00AA22EE">
        <w:t xml:space="preserve"> and cider apple orchards occupying more than 5,300 hectares of land in the UK </w:t>
      </w:r>
      <w:r w:rsidR="000E2624">
        <w:fldChar w:fldCharType="begin"/>
      </w:r>
      <w:r w:rsidR="000E2624">
        <w:instrText xml:space="preserve"> ADDIN ZOTERO_ITEM CSL_CITATION {"citationID":"fr86v3tij","properties":{"formattedCitation":"(DEFRA, 2014)","plainCitation":"(DEFRA, 2014)"},"citationItems":[{"id":797,"uris":["http://zotero.org/users/local/d1gJDEOw/items/JDFEKGU6"],"uri":["http://zotero.org/users/local/d1gJDEOw/items/JDFEKGU6"],"itemData":{"id":797,"type":"article","title":"Basic horticultural statistics 2014","author":[{"family":"DEFRA","given":""}],"issued":{"date-parts":[["2014"]]}}}],"schema":"https://github.com/citation-style-language/schema/raw/master/csl-citation.json"} </w:instrText>
      </w:r>
      <w:r w:rsidR="000E2624">
        <w:fldChar w:fldCharType="separate"/>
      </w:r>
      <w:r w:rsidR="000E2624" w:rsidRPr="000E2624">
        <w:rPr>
          <w:rFonts w:cs="Times New Roman"/>
        </w:rPr>
        <w:t>(DEFRA, 2014)</w:t>
      </w:r>
      <w:r w:rsidR="000E2624">
        <w:fldChar w:fldCharType="end"/>
      </w:r>
      <w:r w:rsidR="000E2624">
        <w:t xml:space="preserve"> Currently intensive</w:t>
      </w:r>
      <w:r w:rsidRPr="00AA22EE">
        <w:t xml:space="preserve"> orchard management is heavily reliant upon high inputs of chemicals such as fungicides and pesticides which are known to have negative environmental impacts including detrimental effects on biodiversity and pollution of water and non-target land </w:t>
      </w:r>
      <w:r w:rsidR="006149F4">
        <w:fldChar w:fldCharType="begin"/>
      </w:r>
      <w:r w:rsidR="006149F4">
        <w:instrText xml:space="preserve"> ADDIN ZOTERO_ITEM CSL_CITATION {"citationID":"11mvvnsdgq","properties":{"formattedCitation":"{\\rtf (Tilman {\\i{}et al.}, 2002)}","plainCitation":"(Tilman et al., 2002)"},"citationItems":[{"id":114,"uris":["http://zotero.org/users/local/d1gJDEOw/items/7UZ489J3"],"uri":["http://zotero.org/users/local/d1gJDEOw/items/7UZ489J3"],"itemData":{"id":114,"type":"article-journal","title":"Agricultural sustainability and intensive production practices","container-title":"Nature","page":"671-677","volume":"418","issue":"6898","DOI":"10.1038/nature01014","ISSN":"0028-0836","journalAbbreviation":"Nature","author":[{"family":"Tilman","given":"David"},{"family":"Cassman","given":"Kenneth G."},{"family":"Matson","given":"Pamela A."},{"family":"Naylor","given":"Rosamond"},{"family":"Polasky","given":"Stephen"}],"issued":{"date-parts":[["2002",8,8]]}}}],"schema":"https://github.com/citation-style-language/schema/raw/master/csl-citation.json"} </w:instrText>
      </w:r>
      <w:r w:rsidR="006149F4">
        <w:fldChar w:fldCharType="separate"/>
      </w:r>
      <w:r w:rsidR="006149F4" w:rsidRPr="006149F4">
        <w:rPr>
          <w:rFonts w:cs="Times New Roman"/>
          <w:szCs w:val="24"/>
        </w:rPr>
        <w:t>(</w:t>
      </w:r>
      <w:proofErr w:type="spellStart"/>
      <w:r w:rsidR="006149F4" w:rsidRPr="006149F4">
        <w:rPr>
          <w:rFonts w:cs="Times New Roman"/>
          <w:szCs w:val="24"/>
        </w:rPr>
        <w:t>Tilman</w:t>
      </w:r>
      <w:proofErr w:type="spellEnd"/>
      <w:r w:rsidR="006149F4" w:rsidRPr="006149F4">
        <w:rPr>
          <w:rFonts w:cs="Times New Roman"/>
          <w:szCs w:val="24"/>
        </w:rPr>
        <w:t xml:space="preserve"> </w:t>
      </w:r>
      <w:r w:rsidR="006149F4" w:rsidRPr="006149F4">
        <w:rPr>
          <w:rFonts w:cs="Times New Roman"/>
          <w:i/>
          <w:iCs/>
          <w:szCs w:val="24"/>
        </w:rPr>
        <w:t>et al.</w:t>
      </w:r>
      <w:r w:rsidR="006149F4" w:rsidRPr="006149F4">
        <w:rPr>
          <w:rFonts w:cs="Times New Roman"/>
          <w:szCs w:val="24"/>
        </w:rPr>
        <w:t>, 2002)</w:t>
      </w:r>
      <w:r w:rsidR="006149F4">
        <w:fldChar w:fldCharType="end"/>
      </w:r>
      <w:r w:rsidRPr="00AA22EE">
        <w:t>. Furthermore, incr</w:t>
      </w:r>
      <w:r w:rsidR="000E2624">
        <w:t>eased price of inputs and</w:t>
      </w:r>
      <w:r w:rsidRPr="00AA22EE">
        <w:t xml:space="preserve"> enforcement of new legislation limiting the use of key pesticides including the main fungicides used to control the fungal disease apple scab has increased the urgency to find alternatives to chemical inpu</w:t>
      </w:r>
      <w:r w:rsidR="000E2624">
        <w:t>ts (Regulation (EC) 1107/2009).</w:t>
      </w:r>
    </w:p>
    <w:p w:rsidR="007E60E4" w:rsidRPr="00AA22EE" w:rsidRDefault="007E60E4" w:rsidP="007E60E4">
      <w:pPr>
        <w:pStyle w:val="Heading2"/>
        <w:rPr>
          <w:rFonts w:cs="Times New Roman"/>
        </w:rPr>
      </w:pPr>
      <w:bookmarkStart w:id="10" w:name="_Toc463208973"/>
      <w:bookmarkStart w:id="11" w:name="_Toc469854998"/>
      <w:bookmarkStart w:id="12" w:name="_Toc469855998"/>
      <w:bookmarkStart w:id="13" w:name="_Toc469931907"/>
      <w:bookmarkStart w:id="14" w:name="_Toc469982229"/>
      <w:r w:rsidRPr="00AA22EE">
        <w:rPr>
          <w:rFonts w:cs="Times New Roman"/>
        </w:rPr>
        <w:t>Arbuscular mycorrhizal fungi</w:t>
      </w:r>
      <w:bookmarkEnd w:id="10"/>
      <w:bookmarkEnd w:id="11"/>
      <w:bookmarkEnd w:id="12"/>
      <w:bookmarkEnd w:id="13"/>
      <w:bookmarkEnd w:id="14"/>
    </w:p>
    <w:p w:rsidR="007E60E4" w:rsidRPr="00AA22EE" w:rsidRDefault="007E60E4" w:rsidP="007E60E4">
      <w:pPr>
        <w:pStyle w:val="Heading3"/>
        <w:rPr>
          <w:rFonts w:cs="Times New Roman"/>
        </w:rPr>
      </w:pPr>
      <w:bookmarkStart w:id="15" w:name="_Toc463208974"/>
      <w:bookmarkStart w:id="16" w:name="_Toc469854999"/>
      <w:bookmarkStart w:id="17" w:name="_Toc469855999"/>
      <w:bookmarkStart w:id="18" w:name="_Toc469931908"/>
      <w:bookmarkStart w:id="19" w:name="_Toc469982230"/>
      <w:r w:rsidRPr="00AA22EE">
        <w:rPr>
          <w:rFonts w:cs="Times New Roman"/>
        </w:rPr>
        <w:t>Nutrient acquisition</w:t>
      </w:r>
      <w:bookmarkEnd w:id="15"/>
      <w:bookmarkEnd w:id="16"/>
      <w:bookmarkEnd w:id="17"/>
      <w:bookmarkEnd w:id="18"/>
      <w:bookmarkEnd w:id="19"/>
    </w:p>
    <w:p w:rsidR="007E60E4" w:rsidRPr="00AA22EE" w:rsidRDefault="007E60E4" w:rsidP="007E60E4">
      <w:pPr>
        <w:pStyle w:val="Heading4"/>
        <w:numPr>
          <w:ilvl w:val="3"/>
          <w:numId w:val="1"/>
        </w:numPr>
      </w:pPr>
      <w:r w:rsidRPr="00AA22EE">
        <w:t>Nutrient foraging</w:t>
      </w:r>
    </w:p>
    <w:p w:rsidR="007E60E4" w:rsidRDefault="007E60E4" w:rsidP="00DC59CF">
      <w:r>
        <w:t xml:space="preserve">Arbuscular mycorrhizal fungi </w:t>
      </w:r>
      <w:r w:rsidRPr="00AA22EE">
        <w:t xml:space="preserve">exhibit a number of properties which allow them to efficiently exploit soil nutrients and improve plant nutrition. </w:t>
      </w:r>
      <w:r>
        <w:rPr>
          <w:highlight w:val="yellow"/>
        </w:rPr>
        <w:fldChar w:fldCharType="begin"/>
      </w:r>
      <w:r>
        <w:instrText xml:space="preserve"> REF _Ref469838008 \h </w:instrText>
      </w:r>
      <w:r>
        <w:rPr>
          <w:highlight w:val="yellow"/>
        </w:rPr>
      </w:r>
      <w:r>
        <w:rPr>
          <w:highlight w:val="yellow"/>
        </w:rPr>
        <w:fldChar w:fldCharType="separate"/>
      </w:r>
      <w:r w:rsidR="00E0714D" w:rsidRPr="00AA22EE">
        <w:rPr>
          <w:rFonts w:cs="Times New Roman"/>
        </w:rPr>
        <w:t xml:space="preserve">Table </w:t>
      </w:r>
      <w:r w:rsidR="00E0714D">
        <w:rPr>
          <w:rFonts w:cs="Times New Roman"/>
          <w:noProof/>
        </w:rPr>
        <w:t>1</w:t>
      </w:r>
      <w:r w:rsidR="00E0714D">
        <w:rPr>
          <w:rFonts w:cs="Times New Roman"/>
        </w:rPr>
        <w:t>.</w:t>
      </w:r>
      <w:r w:rsidR="00E0714D">
        <w:rPr>
          <w:rFonts w:cs="Times New Roman"/>
          <w:noProof/>
        </w:rPr>
        <w:t>1</w:t>
      </w:r>
      <w:r>
        <w:rPr>
          <w:highlight w:val="yellow"/>
        </w:rPr>
        <w:fldChar w:fldCharType="end"/>
      </w:r>
      <w:r>
        <w:t xml:space="preserve"> </w:t>
      </w:r>
      <w:r w:rsidRPr="00AA22EE">
        <w:t>provides a summary of the physiological characteristics of AM</w:t>
      </w:r>
      <w:r>
        <w:t>F</w:t>
      </w:r>
      <w:r w:rsidRPr="00AA22EE">
        <w:t xml:space="preserve"> hyphae which make them superior to roots in terms of soil exploration and nutrient capture.  AM</w:t>
      </w:r>
      <w:r>
        <w:t>F</w:t>
      </w:r>
      <w:r w:rsidRPr="00AA22EE">
        <w:t xml:space="preserve"> are able to produce extensive hyphal networks</w:t>
      </w:r>
      <w:r w:rsidR="0098644D">
        <w:t>,</w:t>
      </w:r>
      <w:r w:rsidRPr="00AA22EE">
        <w:t xml:space="preserve"> for example it has been shown that one cubic centimetre of grassland pasture soil may contain up to 111m of </w:t>
      </w:r>
      <w:proofErr w:type="spellStart"/>
      <w:r w:rsidRPr="00AA22EE">
        <w:t>extraradical</w:t>
      </w:r>
      <w:proofErr w:type="spellEnd"/>
      <w:r w:rsidRPr="00AA22EE">
        <w:t xml:space="preserve"> hyphae </w:t>
      </w:r>
      <w:r w:rsidR="00775E9F">
        <w:fldChar w:fldCharType="begin"/>
      </w:r>
      <w:r w:rsidR="00775E9F">
        <w:instrText xml:space="preserve"> ADDIN ZOTERO_ITEM CSL_CITATION {"citationID":"cb3uc16sn","properties":{"formattedCitation":"{\\rtf (Miller {\\i{}et al.}, 1995)}","plainCitation":"(Miller et al., 1995)"},"citationItems":[{"id":1120,"uris":["http://zotero.org/users/local/d1gJDEOw/items/GG9BP9S3"],"uri":["http://zotero.org/users/local/d1gJDEOw/items/GG9BP9S3"],"itemData":{"id":1120,"type":"article-journal","title":"EXTERNAL HYPHAL PRODUCTION OF VESICULAR-ARBUSCULAR MYCORRHIZAL FUNGI IN PASTURE AND TALLGRASS PRAIRIE COMMUNITIES","container-title":"Oecologia","page":"17-23","volume":"103","issue":"1","archive_location":"WOS:A1995RJ29400003","abstract":"External hyphae of vesicular-arbuscular mycorrhizal (VAM) fungi were quantified over a growing season in a reconstructed tallgrass prairie and an ungrazed cool-season pasture. In both sites, hyphal lengths increased throughout the growing season. Peak external hyphal lengths were 111 m cm(-3) of soil in the prairie and 81 m cm(-3) of soil in the pasture. These hyphal lengths calculate to external hyphal dry weights of 457 mu g cm(-3) and 339 mu g cm(-3) of soil for prairie and pasture communities, respectively. The relationships among external hyphal length, root characteristics, soil P and soil moisture were also determined. Measures of gross root morphology [e.g., specific root length (SRL) and root mass] have a strong association with external hyphal length. Over the course of the study, both grassland communities experienced a major drought event in late spring. During this period a reduction in SRL occurred in both the pasture and prairie without a measured reduction in external hyphal length. Recovery for both the pasture and prairie occurred not by increasing SRL, but rather by increasing external hyphal length. This study suggests that growth is coordinated between VAM hyphae and root morphology, which in turn, are constrained by plant community composition and soil nutrient and moisture conditions.","DOI":"10.1007/bf00328420","ISSN":"0029-8549","shortTitle":"EXTERNAL HYPHAL PRODUCTION OF VESICULAR-ARBUSCULAR MYCORRHIZAL FUNGI IN PASTURE AND TALLGRASS PRAIRIE COMMUNITIES","journalAbbreviation":"Oecologia","language":"English","author":[{"family":"Miller","given":"R. M."},{"family":"Reinhardt","given":"D. R."},{"family":"Jastrow","given":"J. D."}],"issued":{"date-parts":[["1995",7]]}}}],"schema":"https://github.com/citation-style-language/schema/raw/master/csl-citation.json"} </w:instrText>
      </w:r>
      <w:r w:rsidR="00775E9F">
        <w:fldChar w:fldCharType="separate"/>
      </w:r>
      <w:r w:rsidR="00775E9F" w:rsidRPr="00775E9F">
        <w:rPr>
          <w:rFonts w:cs="Times New Roman"/>
          <w:szCs w:val="24"/>
        </w:rPr>
        <w:t xml:space="preserve">(Miller </w:t>
      </w:r>
      <w:r w:rsidR="00775E9F" w:rsidRPr="00775E9F">
        <w:rPr>
          <w:rFonts w:cs="Times New Roman"/>
          <w:i/>
          <w:iCs/>
          <w:szCs w:val="24"/>
        </w:rPr>
        <w:t>et al.</w:t>
      </w:r>
      <w:r w:rsidR="00775E9F" w:rsidRPr="00775E9F">
        <w:rPr>
          <w:rFonts w:cs="Times New Roman"/>
          <w:szCs w:val="24"/>
        </w:rPr>
        <w:t>, 1995)</w:t>
      </w:r>
      <w:r w:rsidR="00775E9F">
        <w:fldChar w:fldCharType="end"/>
      </w:r>
      <w:r w:rsidRPr="00AA22EE">
        <w:t xml:space="preserve"> accounting for 20-30% of the microbial biomass of soil and up to 15% of soil organic carbon </w:t>
      </w:r>
      <w:r w:rsidRPr="00AA22EE">
        <w:fldChar w:fldCharType="begin"/>
      </w:r>
      <w:r w:rsidRPr="00AA22EE">
        <w:instrText xml:space="preserve"> ADDIN EN.CITE &lt;EndNote&gt;&lt;Cite&gt;&lt;Author&gt;Leake&lt;/Author&gt;&lt;Year&gt;2004&lt;/Year&gt;&lt;IDText&gt;Networks of power and influence: the role of mycorrhizal mycelium in controlling plant communities and agroecosystem functioning&lt;/IDText&gt;&lt;DisplayText&gt;(Leake et al. 2004)&lt;/DisplayText&gt;&lt;record&gt;&lt;dates&gt;&lt;pub-dates&gt;&lt;date&gt;Aug&lt;/date&gt;&lt;/pub-dates&gt;&lt;year&gt;2004&lt;/year&gt;&lt;/dates&gt;&lt;urls&gt;&lt;related-urls&gt;&lt;url&gt;&amp;lt;Go to ISI&amp;gt;://WOS:000223859200003&lt;/url&gt;&lt;/related-urls&gt;&lt;/urls&gt;&lt;isbn&gt;0008-4026&lt;/isbn&gt;&lt;titles&gt;&lt;title&gt;Networks of power and influence: the role of mycorrhizal mycelium in controlling plant communities and agroecosystem functioning&lt;/title&gt;&lt;secondary-title&gt;Canadian Journal of Botany-Revue Canadienne De Botanique&lt;/secondary-title&gt;&lt;/titles&gt;&lt;pages&gt;1016-1045&lt;/pages&gt;&lt;number&gt;8&lt;/number&gt;&lt;contributors&gt;&lt;authors&gt;&lt;author&gt;Leake, J. R.&lt;/author&gt;&lt;author&gt;Johnson, D.&lt;/author&gt;&lt;author&gt;Donnelly, D. P.&lt;/author&gt;&lt;author&gt;Muckle, G. E.&lt;/author&gt;&lt;author&gt;Boddy, L.&lt;/author&gt;&lt;author&gt;Read, D. J.&lt;/author&gt;&lt;/authors&gt;&lt;/contributors&gt;&lt;added-date format="utc"&gt;1355137712&lt;/added-date&gt;&lt;ref-type name="Journal Article"&gt;17&lt;/ref-type&gt;&lt;rec-number&gt;174&lt;/rec-number&gt;&lt;last-updated-date format="utc"&gt;1355137712&lt;/last-updated-date&gt;&lt;accession-num&gt;WOS:000223859200003&lt;/accession-num&gt;&lt;electronic-resource-num&gt;10.1139/b04-060&lt;/electronic-resource-num&gt;&lt;volume&gt;82&lt;/volume&gt;&lt;/record&gt;&lt;/Cite&gt;&lt;/EndNote&gt;</w:instrText>
      </w:r>
      <w:r w:rsidRPr="00AA22EE">
        <w:fldChar w:fldCharType="separate"/>
      </w:r>
      <w:r w:rsidRPr="00AA22EE">
        <w:rPr>
          <w:noProof/>
        </w:rPr>
        <w:t>(Leake et al. 2004)</w:t>
      </w:r>
      <w:r w:rsidRPr="00AA22EE">
        <w:fldChar w:fldCharType="end"/>
      </w:r>
      <w:r w:rsidRPr="00AA22EE">
        <w:t>. The fine structure of this extensive hyphal network allows a large volume of soil to be exploited and at a l</w:t>
      </w:r>
      <w:r w:rsidR="00DC59CF">
        <w:t>ower carbon cost than by roots (</w:t>
      </w:r>
      <w:r w:rsidR="00DC59CF">
        <w:fldChar w:fldCharType="begin"/>
      </w:r>
      <w:r w:rsidR="00DC59CF">
        <w:instrText xml:space="preserve"> REF _Ref469851815 \h </w:instrText>
      </w:r>
      <w:r w:rsidR="00DC59CF">
        <w:fldChar w:fldCharType="separate"/>
      </w:r>
      <w:r w:rsidR="00E0714D" w:rsidRPr="00AA22EE">
        <w:rPr>
          <w:rFonts w:cs="Times New Roman"/>
        </w:rPr>
        <w:t xml:space="preserve">Figure </w:t>
      </w:r>
      <w:r w:rsidR="00E0714D">
        <w:rPr>
          <w:rFonts w:cs="Times New Roman"/>
          <w:noProof/>
        </w:rPr>
        <w:t>1</w:t>
      </w:r>
      <w:r w:rsidR="00E0714D">
        <w:rPr>
          <w:rFonts w:cs="Times New Roman"/>
        </w:rPr>
        <w:t>.</w:t>
      </w:r>
      <w:r w:rsidR="00E0714D">
        <w:rPr>
          <w:rFonts w:cs="Times New Roman"/>
          <w:noProof/>
        </w:rPr>
        <w:t>1</w:t>
      </w:r>
      <w:r w:rsidR="00DC59CF">
        <w:fldChar w:fldCharType="end"/>
      </w:r>
      <w:r w:rsidR="00DC59CF">
        <w:t>).</w:t>
      </w:r>
      <w:r w:rsidRPr="00AA22EE">
        <w:t xml:space="preserve"> Additionally, hyphae are able to grow further and more rapidly than root hairs, extending into the soil as far as 25cm and therefore increasing soil exploration and nutrient capture. Nutrient capture may also be aided by induction of increased root branching and lateral spread by AM colonised roots </w:t>
      </w:r>
      <w:r w:rsidR="00CA4E34">
        <w:fldChar w:fldCharType="begin"/>
      </w:r>
      <w:r w:rsidR="00CA4E34">
        <w:instrText xml:space="preserve"> ADDIN ZOTERO_ITEM CSL_CITATION {"citationID":"2iia0b72hg","properties":{"formattedCitation":"{\\rtf (Schellenbaum {\\i{}et al.}, 1991)}","plainCitation":"(Schellenbaum et al., 1991)"},"citationItems":[{"id":1243,"uris":["http://zotero.org/users/local/d1gJDEOw/items/CEUXJFG7"],"uri":["http://zotero.org/users/local/d1gJDEOw/items/CEUXJFG7"],"itemData":{"id":1243,"type":"article-journal","title":"INFLUENCE OF ENDOMYCORRHIZAL INFECTION ON ROOT MORPHOLOGY IN A MICROPROPAGATED WOODY PLANT-SPECIES (VITIS-VINIFERA L)","container-title":"Annals of Botany","page":"135-141","volume":"68","issue":"2","archive_location":"WOS:A1991GC34700005","ISSN":"0305-7364","shortTitle":"INFLUENCE OF ENDOMYCORRHIZAL INFECTION ON ROOT MORPHOLOGY IN A MICROPROPAGATED WOODY PLANT-SPECIES (VITIS-VINIFERA L)","author":[{"family":"Schellenbaum","given":"L."},{"family":"Berta","given":"G."},{"family":"Ravolanirina","given":"F."},{"family":"Tisserant","given":"B."},{"family":"Gianinazzi","given":"S."},{"family":"Fitter","given":"A. H."}],"issued":{"date-parts":[["1991",8]]}}}],"schema":"https://github.com/citation-style-language/schema/raw/master/csl-citation.json"} </w:instrText>
      </w:r>
      <w:r w:rsidR="00CA4E34">
        <w:fldChar w:fldCharType="separate"/>
      </w:r>
      <w:r w:rsidR="00CA4E34" w:rsidRPr="00CA4E34">
        <w:rPr>
          <w:rFonts w:cs="Times New Roman"/>
          <w:szCs w:val="24"/>
        </w:rPr>
        <w:t>(</w:t>
      </w:r>
      <w:proofErr w:type="spellStart"/>
      <w:r w:rsidR="00CA4E34" w:rsidRPr="00CA4E34">
        <w:rPr>
          <w:rFonts w:cs="Times New Roman"/>
          <w:szCs w:val="24"/>
        </w:rPr>
        <w:t>Schellenbaum</w:t>
      </w:r>
      <w:proofErr w:type="spellEnd"/>
      <w:r w:rsidR="00CA4E34" w:rsidRPr="00CA4E34">
        <w:rPr>
          <w:rFonts w:cs="Times New Roman"/>
          <w:szCs w:val="24"/>
        </w:rPr>
        <w:t xml:space="preserve"> </w:t>
      </w:r>
      <w:r w:rsidR="00CA4E34" w:rsidRPr="00CA4E34">
        <w:rPr>
          <w:rFonts w:cs="Times New Roman"/>
          <w:i/>
          <w:iCs/>
          <w:szCs w:val="24"/>
        </w:rPr>
        <w:t>et al.</w:t>
      </w:r>
      <w:r w:rsidR="00CA4E34" w:rsidRPr="00CA4E34">
        <w:rPr>
          <w:rFonts w:cs="Times New Roman"/>
          <w:szCs w:val="24"/>
        </w:rPr>
        <w:t>, 1991)</w:t>
      </w:r>
      <w:r w:rsidR="00CA4E34">
        <w:fldChar w:fldCharType="end"/>
      </w:r>
      <w:r w:rsidRPr="00AA22EE">
        <w:t>. Structurally, the diameter of h</w:t>
      </w:r>
      <w:r>
        <w:t>yphae which may be as small as 1</w:t>
      </w:r>
      <w:r w:rsidRPr="00AA22EE">
        <w:t>-10 µm enables hyphae to penetrate soil pores which are inaccessible to root hairs</w:t>
      </w:r>
      <w:r w:rsidR="00CA4E34">
        <w:t xml:space="preserve"> </w:t>
      </w:r>
      <w:r w:rsidR="00CA4E34">
        <w:fldChar w:fldCharType="begin"/>
      </w:r>
      <w:r w:rsidR="00CA4E34">
        <w:instrText xml:space="preserve"> ADDIN ZOTERO_ITEM CSL_CITATION {"citationID":"2dcbpeba34","properties":{"formattedCitation":"(Smith &amp; Smith, 2012)","plainCitation":"(Smith &amp; Smith, 2012)"},"citationItems":[{"id":1281,"uris":["http://zotero.org/users/local/d1gJDEOw/items/VI46VZHK"],"uri":["http://zotero.org/users/local/d1gJDEOw/items/VI46VZHK"],"itemData":{"id":1281,"type":"article-journal","title":"Fresh perspectives on the roles of arbuscular mycorrhizal fungi in plant nutrition and growth","container-title":"Mycologia","page":"1-13","volume":"104","issue":"1","archive_location":"WOS:000299352000001","abstract":"Recent research on arbuscular mycorrhizas has demonstrated that AM fungi play a significant role in plant: phosphorus (P) uptake, regardless of whether the plant responds positively to colonization in terms of growth or P content. Here we focus particularly on implications of this finding for consideration of the balance between organic carbon (C) use by the fungi and P delivery (i.e. the C P trade between the symbionts). Positive growth responses to arbuscular mycorrhizal (AM) colonization are attributed frequently to increased P uptake via the fungus, which results in relief of P deficiency and increased growth. Zero AM responses, compared with non-mycorrhizal (NM) plants, have conventionally been attributed to failure of the fungi to deliver P to the plants. Negative responses, combined with excessive C use, have been attributed to this failure. The fungi were viewed as parasites. Demonstration that the AM pathway of P uptake operates in such plants indicates that direct P uptake by the roots is reduced and that the fungi are not parasites but mutualists because they deliver P as well as using C. We suggest that poor plant growth is the result of P deficiency because AM fungi lower the amount of P taken up directly by roots but the AM uptake of P does compensate for the reduction. The implications of interplay between direct root. uptake and AM fungal uptake of P also include increased tolerance of AM plants to toxins such as arsenate and increased success when competing with NM plants. Finally we discuss the new information on C P trade in the context of control of the symbiosis by the fungus or the plant, including new information (from NM plants) on sugar transport and on the role of sucrose in the signaling network involved in responses of plants to P deprivation.","DOI":"10.3852/11-229","ISSN":"0027-5514","shortTitle":"Fresh perspectives on the roles of arbuscular mycorrhizal fungi in plant nutrition and growth","journalAbbreviation":"Mycologia","language":"English","author":[{"family":"Smith","given":"S. E."},{"family":"Smith","given":"F. A."}],"issued":{"date-parts":[["2012",1]]}}}],"schema":"https://github.com/citation-style-language/schema/raw/master/csl-citation.json"} </w:instrText>
      </w:r>
      <w:r w:rsidR="00CA4E34">
        <w:fldChar w:fldCharType="separate"/>
      </w:r>
      <w:r w:rsidR="00CA4E34" w:rsidRPr="00CA4E34">
        <w:rPr>
          <w:rFonts w:cs="Times New Roman"/>
        </w:rPr>
        <w:t>(Smith &amp; Smith, 2012)</w:t>
      </w:r>
      <w:r w:rsidR="00CA4E34">
        <w:fldChar w:fldCharType="end"/>
      </w:r>
      <w:r w:rsidRPr="00AA22EE">
        <w:t xml:space="preserve">. Furthermore it has been demonstrated that mycelium are  able to respond to soil pore size by adjusting hyphal diameter </w:t>
      </w:r>
      <w:r w:rsidRPr="00AA22EE">
        <w:fldChar w:fldCharType="begin"/>
      </w:r>
      <w:r w:rsidRPr="00AA22EE">
        <w:instrText xml:space="preserve"> ADDIN EN.CITE &lt;EndNote&gt;&lt;Cite&gt;&lt;Author&gt;Drew&lt;/Author&gt;&lt;Year&gt;2003&lt;/Year&gt;&lt;IDText&gt;Beyond the rhizosphere: growth and function of arbuscular mycorrhizal external hyphae in sands of varying pore sizes&lt;/IDText&gt;&lt;DisplayText&gt;(Drew et al. 2003)&lt;/DisplayText&gt;&lt;record&gt;&lt;dates&gt;&lt;pub-dates&gt;&lt;date&gt;Apr&lt;/date&gt;&lt;/pub-dates&gt;&lt;year&gt;2003&lt;/year&gt;&lt;/dates&gt;&lt;urls&gt;&lt;related-urls&gt;&lt;url&gt;&amp;lt;Go to ISI&amp;gt;://WOS:000181818900011&lt;/url&gt;&lt;/related-urls&gt;&lt;/urls&gt;&lt;isbn&gt;0032-079X&lt;/isbn&gt;&lt;titles&gt;&lt;title&gt;Beyond the rhizosphere: growth and function of arbuscular mycorrhizal external hyphae in sands of varying pore sizes&lt;/title&gt;&lt;secondary-title&gt;Plant and Soil&lt;/secondary-title&gt;&lt;/titles&gt;&lt;pages&gt;105-114&lt;/pages&gt;&lt;number&gt;1&lt;/number&gt;&lt;contributors&gt;&lt;authors&gt;&lt;author&gt;Drew, E. A.&lt;/author&gt;&lt;author&gt;Murray, R. S.&lt;/author&gt;&lt;author&gt;Smith, S. E.&lt;/author&gt;&lt;author&gt;Jakobsen, I.&lt;/author&gt;&lt;/authors&gt;&lt;/contributors&gt;&lt;added-date format="utc"&gt;1355096842&lt;/added-date&gt;&lt;ref-type name="Journal Article"&gt;17&lt;/ref-type&gt;&lt;rec-number&gt;168&lt;/rec-number&gt;&lt;last-updated-date format="utc"&gt;1355096842&lt;/last-updated-date&gt;&lt;accession-num&gt;WOS:000181818900011&lt;/accession-num&gt;&lt;electronic-resource-num&gt;10.1023/a:1022932414788&lt;/electronic-resource-num&gt;&lt;volume&gt;251&lt;/volume&gt;&lt;/record&gt;&lt;/Cite&gt;&lt;/EndNote&gt;</w:instrText>
      </w:r>
      <w:r w:rsidRPr="00AA22EE">
        <w:fldChar w:fldCharType="separate"/>
      </w:r>
      <w:r w:rsidRPr="00AA22EE">
        <w:rPr>
          <w:noProof/>
        </w:rPr>
        <w:t>(Drew et al. 2003)</w:t>
      </w:r>
      <w:r w:rsidRPr="00AA22EE">
        <w:fldChar w:fldCharType="end"/>
      </w:r>
      <w:r w:rsidRPr="00AA22EE">
        <w:t xml:space="preserve"> and that AM fungi are able to respond to </w:t>
      </w:r>
      <w:proofErr w:type="spellStart"/>
      <w:r w:rsidRPr="00AA22EE">
        <w:t>heterogenous</w:t>
      </w:r>
      <w:proofErr w:type="spellEnd"/>
      <w:r w:rsidRPr="00AA22EE">
        <w:t xml:space="preserve"> nutrient distribution in soils with proliferation of hyphae in </w:t>
      </w:r>
      <w:r w:rsidR="0098644D">
        <w:t>response to nutrient availability</w:t>
      </w:r>
      <w:r w:rsidRPr="00AA22EE">
        <w:t xml:space="preserve"> </w:t>
      </w:r>
      <w:r w:rsidRPr="00AA22EE">
        <w:fldChar w:fldCharType="begin">
          <w:fldData xml:space="preserve">PEVuZE5vdGU+PENpdGU+PEF1dGhvcj5DYXZhZ25hcm88L0F1dGhvcj48WWVhcj4yMDA1PC9ZZWFy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</w:fldData>
        </w:fldChar>
      </w:r>
      <w:r w:rsidRPr="00AA22EE">
        <w:instrText xml:space="preserve"> ADDIN EN.CITE </w:instrText>
      </w:r>
      <w:r w:rsidRPr="00AA22EE">
        <w:fldChar w:fldCharType="begin">
          <w:fldData xml:space="preserve">PEVuZE5vdGU+PENpdGU+PEF1dGhvcj5DYXZhZ25hcm88L0F1dGhvcj48WWVhcj4yMDA1PC9ZZWFy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</w:fldData>
        </w:fldChar>
      </w:r>
      <w:r w:rsidRPr="00AA22EE">
        <w:instrText xml:space="preserve"> ADDIN EN.CITE.DATA </w:instrText>
      </w:r>
      <w:r w:rsidRPr="00AA22EE">
        <w:fldChar w:fldCharType="end"/>
      </w:r>
      <w:r w:rsidRPr="00AA22EE">
        <w:fldChar w:fldCharType="separate"/>
      </w:r>
      <w:r w:rsidRPr="00AA22EE">
        <w:rPr>
          <w:noProof/>
        </w:rPr>
        <w:t>(Cavagnaro et al. 2005)</w:t>
      </w:r>
      <w:r w:rsidRPr="00AA22EE">
        <w:fldChar w:fldCharType="end"/>
      </w:r>
      <w:r w:rsidR="00DC59CF">
        <w:t>.</w:t>
      </w:r>
    </w:p>
    <w:p w:rsidR="0009776A" w:rsidRDefault="0009776A" w:rsidP="00DC59CF"/>
    <w:p w:rsidR="0009776A" w:rsidRDefault="0009776A" w:rsidP="00DC59CF"/>
    <w:p w:rsidR="0009776A" w:rsidRDefault="0009776A" w:rsidP="00DC59CF"/>
    <w:p w:rsidR="00312289" w:rsidRDefault="00312289" w:rsidP="00DC59CF"/>
    <w:p w:rsidR="00312289" w:rsidRPr="00AA22EE" w:rsidRDefault="00312289" w:rsidP="00DC59CF"/>
    <w:p w:rsidR="007E60E4" w:rsidRPr="002D314A" w:rsidRDefault="002D314A" w:rsidP="002D314A">
      <w:pPr>
        <w:pStyle w:val="Caption"/>
        <w:rPr>
          <w:rFonts w:cs="Times New Roman"/>
        </w:rPr>
      </w:pPr>
      <w:bookmarkStart w:id="20" w:name="_Ref469838008"/>
      <w:bookmarkStart w:id="21" w:name="_Toc469868569"/>
      <w:r w:rsidRPr="00AA22EE">
        <w:rPr>
          <w:rFonts w:cs="Times New Roman"/>
        </w:rPr>
        <w:t xml:space="preserve">Table </w:t>
      </w:r>
      <w:r>
        <w:rPr>
          <w:rFonts w:cs="Times New Roman"/>
        </w:rPr>
        <w:fldChar w:fldCharType="begin"/>
      </w:r>
      <w:r>
        <w:rPr>
          <w:rFonts w:cs="Times New Roman"/>
        </w:rPr>
        <w:instrText xml:space="preserve"> STYLEREF 1 \s </w:instrText>
      </w:r>
      <w:r>
        <w:rPr>
          <w:rFonts w:cs="Times New Roman"/>
        </w:rPr>
        <w:fldChar w:fldCharType="separate"/>
      </w:r>
      <w:r w:rsidR="00E0714D">
        <w:rPr>
          <w:rFonts w:cs="Times New Roman"/>
          <w:noProof/>
        </w:rPr>
        <w:t>1</w:t>
      </w:r>
      <w:r>
        <w:rPr>
          <w:rFonts w:cs="Times New Roman"/>
        </w:rPr>
        <w:fldChar w:fldCharType="end"/>
      </w:r>
      <w:r>
        <w:rPr>
          <w:rFonts w:cs="Times New Roman"/>
        </w:rPr>
        <w:t>.</w:t>
      </w:r>
      <w:r>
        <w:rPr>
          <w:rFonts w:cs="Times New Roman"/>
        </w:rPr>
        <w:fldChar w:fldCharType="begin"/>
      </w:r>
      <w:r>
        <w:rPr>
          <w:rFonts w:cs="Times New Roman"/>
        </w:rPr>
        <w:instrText xml:space="preserve"> SEQ Table \* ARABIC \s 1 </w:instrText>
      </w:r>
      <w:r>
        <w:rPr>
          <w:rFonts w:cs="Times New Roman"/>
        </w:rPr>
        <w:fldChar w:fldCharType="separate"/>
      </w:r>
      <w:r w:rsidR="00E0714D">
        <w:rPr>
          <w:rFonts w:cs="Times New Roman"/>
          <w:noProof/>
        </w:rPr>
        <w:t>1</w:t>
      </w:r>
      <w:r>
        <w:rPr>
          <w:rFonts w:cs="Times New Roman"/>
        </w:rPr>
        <w:fldChar w:fldCharType="end"/>
      </w:r>
      <w:bookmarkEnd w:id="20"/>
      <w:r w:rsidRPr="00AA22EE">
        <w:rPr>
          <w:rFonts w:cs="Times New Roman"/>
        </w:rPr>
        <w:t xml:space="preserve"> Comparison between plant roots and the hyphae of arbuscular mycorrhizal fungi. (Adapted from </w:t>
      </w:r>
      <w:r w:rsidR="00CF5BD0">
        <w:rPr>
          <w:rFonts w:cs="Times New Roman"/>
        </w:rPr>
        <w:fldChar w:fldCharType="begin"/>
      </w:r>
      <w:r w:rsidR="00CF5BD0">
        <w:rPr>
          <w:rFonts w:cs="Times New Roman"/>
        </w:rPr>
        <w:instrText xml:space="preserve"> ADDIN ZOTERO_ITEM CSL_CITATION {"citationID":"2gk9d40pp6","properties":{"formattedCitation":"{\\rtf (Smith {\\i{}et al.}, 2009)}","plainCitation":"(Smith et al., 2009)"},"citationItems":[{"id":1265,"uris":["http://zotero.org/users/local/d1gJDEOw/items/AGWG82DC"],"uri":["http://zotero.org/users/local/d1gJDEOw/items/AGWG82DC"],"itemData":{"id":1265,"type":"article-journal","title":"More than a carbon economy: nutrient trade and ecological sustainability in facultative arbuscular mycorrhizal symbioses","container-title":"New Phytologist","page":"347-358","volume":"182","issue":"2","archive_location":"WOS:000264635400009","abstract":"Symbiosis is well recognized as a major force in plant ecology and evolution. However, there is considerable uncertainty about the functional, ecological and evolutionary benefits of the very widespread facultative arbuscular mycorrhizal ( AM) associations, in which the plants can grow and reproduce whether or not they are colonized by AM fungi. Here we address the significance of new research findings that are overturning conventional views that facultative AM associations can be likened to parasitic fungus-plant associations. Specifically, we address the occurrence and importance of phosphate uptake via AM fungi that does not result in increases in total phosphorus ( P) uptake or in plant growth, and possible signalling between AM fungi and plants that can result in plant growth depressions even when fungal colonization remains very low. We conclude that, depending on the individual AM fungi that are present, the role of facultative AM associations in the field, especially in relation to plant competition, may be much more subtle than has been previously envisaged.","DOI":"10.1111/j.1469-8137.2008.02753.x","ISSN":"0028-646X","shortTitle":"More than a carbon economy: nutrient trade and ecological sustainability in facultative arbuscular mycorrhizal symbioses","journalAbbreviation":"New Phytol.","language":"English","author":[{"family":"Smith","given":"F. A."},{"family":"Grace","given":"E. J."},{"family":"Smith","given":"S. E."}],"issued":{"date-parts":[["2009"]]}}}],"schema":"https://github.com/citation-style-language/schema/raw/master/csl-citation.json"} </w:instrText>
      </w:r>
      <w:r w:rsidR="00CF5BD0">
        <w:rPr>
          <w:rFonts w:cs="Times New Roman"/>
        </w:rPr>
        <w:fldChar w:fldCharType="separate"/>
      </w:r>
      <w:r w:rsidR="00CF5BD0" w:rsidRPr="00CF5BD0">
        <w:rPr>
          <w:rFonts w:cs="Times New Roman"/>
          <w:szCs w:val="24"/>
        </w:rPr>
        <w:t xml:space="preserve">Smith </w:t>
      </w:r>
      <w:r w:rsidR="00CF5BD0" w:rsidRPr="00CF5BD0">
        <w:rPr>
          <w:rFonts w:cs="Times New Roman"/>
          <w:i/>
          <w:iCs w:val="0"/>
          <w:szCs w:val="24"/>
        </w:rPr>
        <w:t>et al.</w:t>
      </w:r>
      <w:r w:rsidR="00CF5BD0" w:rsidRPr="00CF5BD0">
        <w:rPr>
          <w:rFonts w:cs="Times New Roman"/>
          <w:szCs w:val="24"/>
        </w:rPr>
        <w:t>, 2009)</w:t>
      </w:r>
      <w:r w:rsidR="00CF5BD0">
        <w:rPr>
          <w:rFonts w:cs="Times New Roman"/>
        </w:rPr>
        <w:fldChar w:fldCharType="end"/>
      </w:r>
      <w:bookmarkEnd w:id="21"/>
      <w:r w:rsidR="00CF5BD0" w:rsidRPr="002D314A">
        <w:rPr>
          <w:rFonts w:cs="Times New Roman"/>
        </w:rPr>
        <w:t xml:space="preserve"> </w:t>
      </w:r>
    </w:p>
    <w:tbl>
      <w:tblPr>
        <w:tblStyle w:val="TableGrid"/>
        <w:tblpPr w:leftFromText="180" w:rightFromText="180" w:vertAnchor="text" w:horzAnchor="margin" w:tblpXSpec="center" w:tblpY="-7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2"/>
        <w:gridCol w:w="2251"/>
        <w:gridCol w:w="2206"/>
      </w:tblGrid>
      <w:tr w:rsidR="007E60E4" w:rsidRPr="00AA22EE" w:rsidTr="007E60E4">
        <w:tc>
          <w:tcPr>
            <w:tcW w:w="4022" w:type="dxa"/>
            <w:tcBorders>
              <w:top w:val="single" w:sz="4" w:space="0" w:color="auto"/>
              <w:bottom w:val="single" w:sz="4" w:space="0" w:color="auto"/>
            </w:tcBorders>
          </w:tcPr>
          <w:p w:rsidR="007E60E4" w:rsidRPr="00AA22EE" w:rsidRDefault="007E60E4" w:rsidP="007E60E4">
            <w:pPr>
              <w:contextualSpacing/>
              <w:rPr>
                <w:rFonts w:cs="Times New Roman"/>
                <w:b/>
                <w:sz w:val="20"/>
                <w:szCs w:val="20"/>
              </w:rPr>
            </w:pPr>
            <w:r w:rsidRPr="00AA22EE">
              <w:rPr>
                <w:rFonts w:cs="Times New Roman"/>
                <w:b/>
                <w:sz w:val="20"/>
                <w:szCs w:val="20"/>
              </w:rPr>
              <w:t>Parameter</w:t>
            </w:r>
          </w:p>
        </w:tc>
        <w:tc>
          <w:tcPr>
            <w:tcW w:w="2251" w:type="dxa"/>
            <w:tcBorders>
              <w:top w:val="single" w:sz="4" w:space="0" w:color="auto"/>
              <w:bottom w:val="single" w:sz="4" w:space="0" w:color="auto"/>
            </w:tcBorders>
          </w:tcPr>
          <w:p w:rsidR="007E60E4" w:rsidRPr="00AA22EE" w:rsidRDefault="007E60E4" w:rsidP="007E60E4">
            <w:pPr>
              <w:contextualSpacing/>
              <w:rPr>
                <w:rFonts w:cs="Times New Roman"/>
                <w:b/>
                <w:sz w:val="20"/>
                <w:szCs w:val="20"/>
              </w:rPr>
            </w:pPr>
            <w:r w:rsidRPr="00AA22EE">
              <w:rPr>
                <w:rFonts w:cs="Times New Roman"/>
                <w:b/>
                <w:sz w:val="20"/>
                <w:szCs w:val="20"/>
              </w:rPr>
              <w:t>Roots</w:t>
            </w:r>
          </w:p>
        </w:tc>
        <w:tc>
          <w:tcPr>
            <w:tcW w:w="2206" w:type="dxa"/>
            <w:tcBorders>
              <w:top w:val="single" w:sz="4" w:space="0" w:color="auto"/>
              <w:bottom w:val="single" w:sz="4" w:space="0" w:color="auto"/>
            </w:tcBorders>
          </w:tcPr>
          <w:p w:rsidR="007E60E4" w:rsidRPr="00AA22EE" w:rsidRDefault="007E60E4" w:rsidP="007E60E4">
            <w:pPr>
              <w:contextualSpacing/>
              <w:rPr>
                <w:rFonts w:cs="Times New Roman"/>
                <w:b/>
                <w:sz w:val="20"/>
                <w:szCs w:val="20"/>
              </w:rPr>
            </w:pPr>
            <w:r w:rsidRPr="00AA22EE">
              <w:rPr>
                <w:rFonts w:cs="Times New Roman"/>
                <w:b/>
                <w:sz w:val="20"/>
                <w:szCs w:val="20"/>
              </w:rPr>
              <w:t>Hyphae</w:t>
            </w:r>
          </w:p>
        </w:tc>
      </w:tr>
      <w:tr w:rsidR="007E60E4" w:rsidRPr="00AA22EE" w:rsidTr="007E60E4">
        <w:tc>
          <w:tcPr>
            <w:tcW w:w="4022" w:type="dxa"/>
            <w:tcBorders>
              <w:top w:val="single" w:sz="4" w:space="0" w:color="auto"/>
            </w:tcBorders>
          </w:tcPr>
          <w:p w:rsidR="007E60E4" w:rsidRPr="00AA22EE" w:rsidRDefault="007E60E4" w:rsidP="007E60E4">
            <w:pPr>
              <w:contextualSpacing/>
              <w:rPr>
                <w:rFonts w:cs="Times New Roman"/>
                <w:sz w:val="20"/>
                <w:szCs w:val="20"/>
              </w:rPr>
            </w:pPr>
            <w:r w:rsidRPr="00AA22EE">
              <w:rPr>
                <w:rFonts w:cs="Times New Roman"/>
                <w:sz w:val="20"/>
                <w:szCs w:val="20"/>
              </w:rPr>
              <w:t>Diameter</w:t>
            </w:r>
          </w:p>
        </w:tc>
        <w:tc>
          <w:tcPr>
            <w:tcW w:w="2251" w:type="dxa"/>
            <w:tcBorders>
              <w:top w:val="single" w:sz="4" w:space="0" w:color="auto"/>
            </w:tcBorders>
          </w:tcPr>
          <w:p w:rsidR="007E60E4" w:rsidRPr="00AA22EE" w:rsidRDefault="007E60E4" w:rsidP="007E60E4">
            <w:pPr>
              <w:contextualSpacing/>
              <w:rPr>
                <w:rFonts w:cs="Times New Roman"/>
                <w:sz w:val="20"/>
                <w:szCs w:val="20"/>
              </w:rPr>
            </w:pPr>
            <w:r w:rsidRPr="00AA22EE">
              <w:rPr>
                <w:rFonts w:cs="Times New Roman"/>
                <w:sz w:val="20"/>
                <w:szCs w:val="20"/>
              </w:rPr>
              <w:t>&gt;300 µm</w:t>
            </w:r>
            <w:r w:rsidRPr="00AA22EE">
              <w:rPr>
                <w:rFonts w:cs="Times New Roman"/>
                <w:sz w:val="20"/>
                <w:szCs w:val="20"/>
                <w:vertAlign w:val="superscript"/>
              </w:rPr>
              <w:t>a</w:t>
            </w:r>
          </w:p>
        </w:tc>
        <w:tc>
          <w:tcPr>
            <w:tcW w:w="2206" w:type="dxa"/>
            <w:tcBorders>
              <w:top w:val="single" w:sz="4" w:space="0" w:color="auto"/>
            </w:tcBorders>
          </w:tcPr>
          <w:p w:rsidR="007E60E4" w:rsidRPr="00AA22EE" w:rsidRDefault="007E60E4" w:rsidP="007E60E4">
            <w:pPr>
              <w:contextualSpacing/>
              <w:rPr>
                <w:rFonts w:cs="Times New Roman"/>
                <w:sz w:val="20"/>
                <w:szCs w:val="20"/>
              </w:rPr>
            </w:pPr>
            <w:r>
              <w:rPr>
                <w:rFonts w:cs="Times New Roman"/>
                <w:sz w:val="20"/>
                <w:szCs w:val="20"/>
              </w:rPr>
              <w:t>1</w:t>
            </w:r>
            <w:r w:rsidRPr="00AA22EE">
              <w:rPr>
                <w:rFonts w:cs="Times New Roman"/>
                <w:sz w:val="20"/>
                <w:szCs w:val="20"/>
              </w:rPr>
              <w:t>-20 µm</w:t>
            </w:r>
          </w:p>
        </w:tc>
      </w:tr>
      <w:tr w:rsidR="007E60E4" w:rsidRPr="00AA22EE" w:rsidTr="007E60E4">
        <w:tc>
          <w:tcPr>
            <w:tcW w:w="4022" w:type="dxa"/>
          </w:tcPr>
          <w:p w:rsidR="007E60E4" w:rsidRPr="00AA22EE" w:rsidRDefault="007E60E4" w:rsidP="007E60E4">
            <w:pPr>
              <w:contextualSpacing/>
              <w:rPr>
                <w:rFonts w:cs="Times New Roman"/>
                <w:sz w:val="20"/>
                <w:szCs w:val="20"/>
              </w:rPr>
            </w:pPr>
            <w:r w:rsidRPr="00AA22EE">
              <w:rPr>
                <w:rFonts w:cs="Times New Roman"/>
                <w:sz w:val="20"/>
                <w:szCs w:val="20"/>
              </w:rPr>
              <w:t xml:space="preserve">Length density in </w:t>
            </w:r>
            <w:proofErr w:type="spellStart"/>
            <w:r w:rsidRPr="00AA22EE">
              <w:rPr>
                <w:rFonts w:cs="Times New Roman"/>
                <w:sz w:val="20"/>
                <w:szCs w:val="20"/>
              </w:rPr>
              <w:t>soil</w:t>
            </w:r>
            <w:r w:rsidRPr="00AA22EE">
              <w:rPr>
                <w:rFonts w:cs="Times New Roman"/>
                <w:sz w:val="20"/>
                <w:szCs w:val="20"/>
                <w:vertAlign w:val="superscript"/>
              </w:rPr>
              <w:t>a</w:t>
            </w:r>
            <w:proofErr w:type="spellEnd"/>
          </w:p>
        </w:tc>
        <w:tc>
          <w:tcPr>
            <w:tcW w:w="2251" w:type="dxa"/>
          </w:tcPr>
          <w:p w:rsidR="007E60E4" w:rsidRPr="00AA22EE" w:rsidRDefault="007E60E4" w:rsidP="007E60E4">
            <w:pPr>
              <w:contextualSpacing/>
              <w:rPr>
                <w:rFonts w:cs="Times New Roman"/>
                <w:sz w:val="20"/>
                <w:szCs w:val="20"/>
              </w:rPr>
            </w:pPr>
            <w:r w:rsidRPr="00AA22EE">
              <w:rPr>
                <w:rFonts w:cs="Times New Roman"/>
                <w:sz w:val="20"/>
                <w:szCs w:val="20"/>
              </w:rPr>
              <w:t>&lt;0.10 m/g</w:t>
            </w:r>
          </w:p>
        </w:tc>
        <w:tc>
          <w:tcPr>
            <w:tcW w:w="2206" w:type="dxa"/>
          </w:tcPr>
          <w:p w:rsidR="007E60E4" w:rsidRPr="00AA22EE" w:rsidRDefault="007E60E4" w:rsidP="007E60E4">
            <w:pPr>
              <w:contextualSpacing/>
              <w:rPr>
                <w:rFonts w:cs="Times New Roman"/>
                <w:sz w:val="20"/>
                <w:szCs w:val="20"/>
              </w:rPr>
            </w:pPr>
            <w:r w:rsidRPr="00AA22EE">
              <w:rPr>
                <w:rFonts w:cs="Times New Roman"/>
                <w:sz w:val="20"/>
                <w:szCs w:val="20"/>
              </w:rPr>
              <w:t>2-40m/g</w:t>
            </w:r>
          </w:p>
        </w:tc>
      </w:tr>
      <w:tr w:rsidR="007E60E4" w:rsidRPr="00AA22EE" w:rsidTr="007E60E4">
        <w:tc>
          <w:tcPr>
            <w:tcW w:w="4022" w:type="dxa"/>
          </w:tcPr>
          <w:p w:rsidR="007E60E4" w:rsidRPr="00AA22EE" w:rsidRDefault="007E60E4" w:rsidP="007E60E4">
            <w:pPr>
              <w:contextualSpacing/>
              <w:rPr>
                <w:rFonts w:cs="Times New Roman"/>
                <w:sz w:val="20"/>
                <w:szCs w:val="20"/>
              </w:rPr>
            </w:pPr>
            <w:r w:rsidRPr="00AA22EE">
              <w:rPr>
                <w:rFonts w:cs="Times New Roman"/>
                <w:sz w:val="20"/>
                <w:szCs w:val="20"/>
              </w:rPr>
              <w:t>Influence away from root</w:t>
            </w:r>
          </w:p>
        </w:tc>
        <w:tc>
          <w:tcPr>
            <w:tcW w:w="2251" w:type="dxa"/>
          </w:tcPr>
          <w:p w:rsidR="007E60E4" w:rsidRPr="00AA22EE" w:rsidRDefault="007E60E4" w:rsidP="007E60E4">
            <w:pPr>
              <w:contextualSpacing/>
              <w:rPr>
                <w:rFonts w:cs="Times New Roman"/>
                <w:sz w:val="20"/>
                <w:szCs w:val="20"/>
              </w:rPr>
            </w:pPr>
            <w:r w:rsidRPr="00AA22EE">
              <w:rPr>
                <w:rFonts w:cs="Times New Roman"/>
                <w:sz w:val="20"/>
                <w:szCs w:val="20"/>
              </w:rPr>
              <w:t xml:space="preserve">0.3cm </w:t>
            </w:r>
          </w:p>
        </w:tc>
        <w:tc>
          <w:tcPr>
            <w:tcW w:w="2206" w:type="dxa"/>
          </w:tcPr>
          <w:p w:rsidR="007E60E4" w:rsidRPr="00AA22EE" w:rsidRDefault="007E60E4" w:rsidP="007E60E4">
            <w:pPr>
              <w:contextualSpacing/>
              <w:rPr>
                <w:rFonts w:cs="Times New Roman"/>
                <w:sz w:val="20"/>
                <w:szCs w:val="20"/>
              </w:rPr>
            </w:pPr>
            <w:r w:rsidRPr="00AA22EE">
              <w:rPr>
                <w:rFonts w:cs="Times New Roman"/>
                <w:sz w:val="20"/>
                <w:szCs w:val="20"/>
              </w:rPr>
              <w:t>25.0cm</w:t>
            </w:r>
          </w:p>
        </w:tc>
      </w:tr>
      <w:tr w:rsidR="007E60E4" w:rsidRPr="00AA22EE" w:rsidTr="007E60E4">
        <w:tc>
          <w:tcPr>
            <w:tcW w:w="4022" w:type="dxa"/>
            <w:tcBorders>
              <w:bottom w:val="single" w:sz="4" w:space="0" w:color="auto"/>
            </w:tcBorders>
          </w:tcPr>
          <w:p w:rsidR="007E60E4" w:rsidRPr="00AA22EE" w:rsidRDefault="007E60E4" w:rsidP="007E60E4">
            <w:pPr>
              <w:contextualSpacing/>
              <w:rPr>
                <w:rFonts w:cs="Times New Roman"/>
                <w:sz w:val="20"/>
                <w:szCs w:val="20"/>
              </w:rPr>
            </w:pPr>
            <w:r w:rsidRPr="00AA22EE">
              <w:rPr>
                <w:rFonts w:cs="Times New Roman"/>
                <w:sz w:val="20"/>
                <w:szCs w:val="20"/>
              </w:rPr>
              <w:t>Inter-root or inter-hyphal distance</w:t>
            </w:r>
          </w:p>
        </w:tc>
        <w:tc>
          <w:tcPr>
            <w:tcW w:w="2251" w:type="dxa"/>
            <w:tcBorders>
              <w:bottom w:val="single" w:sz="4" w:space="0" w:color="auto"/>
            </w:tcBorders>
          </w:tcPr>
          <w:p w:rsidR="007E60E4" w:rsidRPr="00AA22EE" w:rsidRDefault="007E60E4" w:rsidP="007E60E4">
            <w:pPr>
              <w:contextualSpacing/>
              <w:rPr>
                <w:rFonts w:cs="Times New Roman"/>
                <w:sz w:val="20"/>
                <w:szCs w:val="20"/>
              </w:rPr>
            </w:pPr>
            <w:r w:rsidRPr="00AA22EE">
              <w:rPr>
                <w:rFonts w:cs="Times New Roman"/>
                <w:sz w:val="20"/>
                <w:szCs w:val="20"/>
              </w:rPr>
              <w:t>2.0 cm</w:t>
            </w:r>
          </w:p>
        </w:tc>
        <w:tc>
          <w:tcPr>
            <w:tcW w:w="2206" w:type="dxa"/>
            <w:tcBorders>
              <w:bottom w:val="single" w:sz="4" w:space="0" w:color="auto"/>
            </w:tcBorders>
          </w:tcPr>
          <w:p w:rsidR="007E60E4" w:rsidRPr="00AA22EE" w:rsidRDefault="007E60E4" w:rsidP="007E60E4">
            <w:pPr>
              <w:contextualSpacing/>
              <w:rPr>
                <w:rFonts w:cs="Times New Roman"/>
                <w:sz w:val="20"/>
                <w:szCs w:val="20"/>
              </w:rPr>
            </w:pPr>
            <w:r w:rsidRPr="00AA22EE">
              <w:rPr>
                <w:rFonts w:cs="Times New Roman"/>
                <w:sz w:val="20"/>
                <w:szCs w:val="20"/>
              </w:rPr>
              <w:t>0.13cm</w:t>
            </w:r>
          </w:p>
        </w:tc>
      </w:tr>
      <w:tr w:rsidR="007E60E4" w:rsidRPr="00AA22EE" w:rsidTr="007E60E4">
        <w:tc>
          <w:tcPr>
            <w:tcW w:w="8479" w:type="dxa"/>
            <w:gridSpan w:val="3"/>
            <w:tcBorders>
              <w:top w:val="single" w:sz="4" w:space="0" w:color="auto"/>
            </w:tcBorders>
          </w:tcPr>
          <w:p w:rsidR="007E60E4" w:rsidRPr="00AA22EE" w:rsidRDefault="007E60E4" w:rsidP="007E60E4">
            <w:pPr>
              <w:contextualSpacing/>
              <w:rPr>
                <w:rFonts w:cs="Times New Roman"/>
              </w:rPr>
            </w:pPr>
            <w:proofErr w:type="spellStart"/>
            <w:r w:rsidRPr="00AA22EE">
              <w:rPr>
                <w:rFonts w:cs="Times New Roman"/>
                <w:vertAlign w:val="superscript"/>
              </w:rPr>
              <w:t>a</w:t>
            </w:r>
            <w:proofErr w:type="spellEnd"/>
            <w:r w:rsidRPr="00AA22EE">
              <w:rPr>
                <w:rFonts w:cs="Times New Roman"/>
                <w:vertAlign w:val="superscript"/>
              </w:rPr>
              <w:t xml:space="preserve"> </w:t>
            </w:r>
            <w:r w:rsidRPr="00AA22EE">
              <w:rPr>
                <w:rFonts w:cs="Times New Roman"/>
                <w:sz w:val="16"/>
                <w:szCs w:val="16"/>
              </w:rPr>
              <w:t>Excluding root hairs which have a diameter of approximately 10 µm</w:t>
            </w:r>
          </w:p>
        </w:tc>
      </w:tr>
    </w:tbl>
    <w:p w:rsidR="007E60E4" w:rsidRPr="00AA22EE" w:rsidRDefault="00DB47FF" w:rsidP="007E60E4">
      <w:pPr>
        <w:pStyle w:val="Heading4"/>
        <w:numPr>
          <w:ilvl w:val="3"/>
          <w:numId w:val="1"/>
        </w:numPr>
      </w:pPr>
      <w:r>
        <w:t>Phosphorus</w:t>
      </w:r>
      <w:r w:rsidR="007E60E4" w:rsidRPr="00AA22EE">
        <w:t xml:space="preserve"> </w:t>
      </w:r>
    </w:p>
    <w:p w:rsidR="007E60E4" w:rsidRPr="00AA22EE" w:rsidRDefault="007E60E4" w:rsidP="00DC59CF">
      <w:r w:rsidRPr="00AA22EE">
        <w:t>The ability of AM</w:t>
      </w:r>
      <w:r w:rsidR="000E2624">
        <w:t>F</w:t>
      </w:r>
      <w:r w:rsidRPr="00AA22EE">
        <w:t xml:space="preserve"> to improve host plant </w:t>
      </w:r>
      <w:r w:rsidR="00361D64">
        <w:t>phosphorus</w:t>
      </w:r>
      <w:r w:rsidRPr="00AA22EE">
        <w:t xml:space="preserve"> nutrition is most nota</w:t>
      </w:r>
      <w:r w:rsidR="0098644D">
        <w:t>ble of all nutritional benefits</w:t>
      </w:r>
      <w:r w:rsidR="007E5487">
        <w:t xml:space="preserve"> </w:t>
      </w:r>
      <w:r w:rsidR="007E5487">
        <w:fldChar w:fldCharType="begin"/>
      </w:r>
      <w:r w:rsidR="006B3935">
        <w:instrText xml:space="preserve"> ADDIN ZOTERO_ITEM CSL_CITATION {"citationID":"1fbmej453m","properties":{"formattedCitation":"(Smith &amp; Read, 2008)","plainCitation":"(Smith &amp; Read, 2008)"},"citationItems":[{"id":366,"uris":["http://zotero.org/users/local/d1gJDEOw/items/QCZ7TGSK"],"uri":["http://zotero.org/users/local/d1gJDEOw/items/QCZ7TGSK"],"itemData":{"id":366,"type":"book","title":"Mycorrhizal Symbiosis","publisher":"Academic Press","publisher-place":"London","source":"ScienceDirect","event-place":"London","URL":"http://www.sciencedirect.com/science/article/pii/B9780123705266500027","ISBN":"978-0-12-370526-6","author":[{"family":"Smith","given":"Sally E."},{"family":"Read","given":"David"}],"issued":{"date-parts":[["2008"]]},"accessed":{"date-parts":[["2016",9,27]]}}}],"schema":"https://github.com/citation-style-language/schema/raw/master/csl-citation.json"} </w:instrText>
      </w:r>
      <w:r w:rsidR="007E5487">
        <w:fldChar w:fldCharType="separate"/>
      </w:r>
      <w:r w:rsidR="006B3935" w:rsidRPr="006B3935">
        <w:rPr>
          <w:rFonts w:cs="Times New Roman"/>
        </w:rPr>
        <w:t>(Smith &amp; Read, 2008)</w:t>
      </w:r>
      <w:r w:rsidR="007E5487">
        <w:fldChar w:fldCharType="end"/>
      </w:r>
      <w:r w:rsidR="0098644D">
        <w:t>.</w:t>
      </w:r>
      <w:r w:rsidRPr="00AA22EE">
        <w:t xml:space="preserve"> Plant roots are able to actively uptake labile forms of inorganic P mainly in the form of orthophosphate </w:t>
      </w:r>
      <w:r w:rsidR="00DB47FF">
        <w:t>from the soil solution, h</w:t>
      </w:r>
      <w:r w:rsidRPr="00AA22EE">
        <w:t>owever labile plant available P often accounts for only a minor fraction of total soil phosphorus</w:t>
      </w:r>
      <w:r>
        <w:t>,</w:t>
      </w:r>
      <w:r w:rsidRPr="00AA22EE">
        <w:t xml:space="preserve"> with plants often unable to access the majority of the phosphorus within soils which is in an organic form or b</w:t>
      </w:r>
      <w:r w:rsidR="00DB47FF">
        <w:t xml:space="preserve">ound within insoluble compounds </w:t>
      </w:r>
      <w:r w:rsidR="00CA4E34">
        <w:fldChar w:fldCharType="begin"/>
      </w:r>
      <w:r w:rsidR="00CA4E34">
        <w:instrText xml:space="preserve"> ADDIN ZOTERO_ITEM CSL_CITATION {"citationID":"h72h6f9oa","properties":{"formattedCitation":"{\\rtf (Richardson {\\i{}et al.}, 2011)}","plainCitation":"(Richardson et al., 2011)"},"citationItems":[{"id":1209,"uris":["http://zotero.org/users/local/d1gJDEOw/items/QV6CWZ8Q"],"uri":["http://zotero.org/users/local/d1gJDEOw/items/QV6CWZ8Q"],"itemData":{"id":1209,"type":"article-journal","title":"Plant and microbial strategies to improve the phosphorus efficiency of agriculture","container-title":"Plant and Soil","page":"121-156","volume":"349","issue":"1-2","archive_location":"WOS:000297738400009","abstract":"Agricultural production is often limited by low phosphorus (P) availability. In developing countries, which have limited access to P fertiliser, there is a need to develop plants that are more efficient at low soil P. In fertilised and intensive systems, P-efficient plants are required to minimise inefficient use of P-inputs and to reduce potential for loss of P to the environment. Three strategies by which plants and microorganisms may improve P-use efficiency are outlined: (i) Root-foraging strategies that improve P acquisition by lowering the critical P requirement of plant growth and allowing agriculture to operate at lower levels of soil P; (ii) P-mining strategies to enhance the desorption, solubilisation or mineralisation of P from sparingly-available sources in soil using root exudates (organic anions, phosphatases), and (iii) improving internal P-utilisation efficiency through the use of plants that yield more per unit of P uptake. We critically review evidence that more P-efficient plants can be developed by modifying root growth and architecture, through manipulation of root exudates or by managing plant-microbial associations such as arbuscular mycorrhizal fungi and microbial inoculants. Opportunities to develop P-efficient plants through breeding or genetic modification are described and issues that may limit success including potential trade-offs and trait interactions are discussed. Whilst demonstrable progress has been made by selecting plants for root morphological traits, the potential for manipulating root physiological traits or selecting plants for low internal P concentration has yet to be realised.","DOI":"10.1007/s11104-011-0950-4","ISSN":"0032-079X","shortTitle":"Plant and microbial strategies to improve the phosphorus efficiency of agriculture","author":[{"family":"Richardson","given":"A. E."},{"family":"Lynch","given":"J. P."},{"family":"Ryan","given":"P. R."},{"family":"Delhaize","given":"E."},{"family":"Smith","given":"F. A."},{"family":"Smith","given":"S. E."},{"family":"Harvey","given":"P. R."},{"family":"Ryan","given":"M. H."},{"family":"Veneklaas","given":"E. J."},{"family":"Lambers","given":"H."},{"family":"Oberson","given":"A."},{"family":"Culvenor","given":"R. A."},{"family":"Simpson","given":"R. J."}],"issued":{"date-parts":[["2011",12]]}}}],"schema":"https://github.com/citation-style-language/schema/raw/master/csl-citation.json"} </w:instrText>
      </w:r>
      <w:r w:rsidR="00CA4E34">
        <w:fldChar w:fldCharType="separate"/>
      </w:r>
      <w:r w:rsidR="00CA4E34" w:rsidRPr="00CA4E34">
        <w:rPr>
          <w:rFonts w:cs="Times New Roman"/>
          <w:szCs w:val="24"/>
        </w:rPr>
        <w:t xml:space="preserve">(Richardson </w:t>
      </w:r>
      <w:r w:rsidR="00CA4E34" w:rsidRPr="00CA4E34">
        <w:rPr>
          <w:rFonts w:cs="Times New Roman"/>
          <w:i/>
          <w:iCs/>
          <w:szCs w:val="24"/>
        </w:rPr>
        <w:t>et al.</w:t>
      </w:r>
      <w:r w:rsidR="00CA4E34" w:rsidRPr="00CA4E34">
        <w:rPr>
          <w:rFonts w:cs="Times New Roman"/>
          <w:szCs w:val="24"/>
        </w:rPr>
        <w:t>, 2011)</w:t>
      </w:r>
      <w:r w:rsidR="00CA4E34">
        <w:fldChar w:fldCharType="end"/>
      </w:r>
      <w:r w:rsidR="007E5487">
        <w:t>. Uptake</w:t>
      </w:r>
      <w:r w:rsidRPr="00AA22EE">
        <w:t xml:space="preserve"> of orthophosphate from the rhizosphere by plant roots can lead to the formation of P depletion zones around roots due to the slow rate of diffusion of orthophosphate ions wit</w:t>
      </w:r>
      <w:r w:rsidR="007E5487">
        <w:t>hin solution</w:t>
      </w:r>
      <w:r w:rsidR="00DB47FF">
        <w:t xml:space="preserve">. </w:t>
      </w:r>
      <w:r w:rsidRPr="00AA22EE">
        <w:t>AMF hyphae have</w:t>
      </w:r>
      <w:r w:rsidR="00884BA9">
        <w:t xml:space="preserve"> a smaller diameter than roots </w:t>
      </w:r>
      <w:r w:rsidRPr="00AA22EE">
        <w:t xml:space="preserve">and for this reason depletion zones around hyphae occur to a </w:t>
      </w:r>
      <w:r>
        <w:t>lesser extent thus enabling improved P uptake by hyphae</w:t>
      </w:r>
      <w:r w:rsidR="008D1957">
        <w:t xml:space="preserve"> </w:t>
      </w:r>
      <w:r w:rsidR="008D1957">
        <w:fldChar w:fldCharType="begin"/>
      </w:r>
      <w:r w:rsidR="008D1957">
        <w:instrText xml:space="preserve"> ADDIN ZOTERO_ITEM CSL_CITATION {"citationID":"2ksqbc3fsf","properties":{"formattedCitation":"{\\rtf (Grant {\\i{}et al.}, 2005)}","plainCitation":"(Grant et al., 2005)"},"citationItems":[{"id":984,"uris":["http://zotero.org/users/local/d1gJDEOw/items/RAN4IDJ3"],"uri":["http://zotero.org/users/local/d1gJDEOw/items/RAN4IDJ3"],"itemData":{"id":984,"type":"article-journal","title":"Soil and fertilizer phosphorus: Effects on plant P supply and mycorrhizal development","container-title":"Canadian Journal of Plant Science","page":"3-14","volume":"85","issue":"1","archive_location":"WOS:000228426900002","abstract":"Plants require adequate P from the very early stages of growth for optimum crop production. Phosphorus supply to the crop is affected by soil P, P fertilizer management and by soil and environmental conditions influencing P phytoavailability and root growth. Phosphorus uptake in many crops is improved by associations with arbuscular mycorrhizal fungi. Cropping system and long-term input of P through fertilizers and manures can influence the amount and phytoavailability of P in the system and the development of mycorrhizal associations. Optimum yield potential requires an adequate P supply to the crop from the soil or from P additions. Where early-season P supply is low, P fertilization may improve P nutrition and crop yield potential. Alternately, under low-P conditions, encouragement of arbuscular mycorrhizal associations may enhance P uptake by crops early in the growing season, improving crop yield potential and replacing starter fertilizer P applications. Soil P supply that exceeds P requirements of the crop may preclude mycorrhizal development. To encourage arbuscular mycorrhizal association, threshold levels of soil solution P that restrict mycorrhizal development must not be exceeded. Sustainable P management practices must be applied both in conventional and in alternative biologically based agricultural systems.","ISSN":"0008-4220","shortTitle":"Soil and fertilizer phosphorus: Effects on plant P supply and mycorrhizal development","author":[{"family":"Grant","given":"C."},{"family":"Bittman","given":"S."},{"family":"Montreal","given":"M."},{"family":"Plenchette","given":"C."},{"family":"Morel","given":"C."}],"issued":{"date-parts":[["2005",1]]}}}],"schema":"https://github.com/citation-style-language/schema/raw/master/csl-citation.json"} </w:instrText>
      </w:r>
      <w:r w:rsidR="008D1957">
        <w:fldChar w:fldCharType="separate"/>
      </w:r>
      <w:r w:rsidR="008D1957" w:rsidRPr="008D1957">
        <w:rPr>
          <w:rFonts w:cs="Times New Roman"/>
          <w:szCs w:val="24"/>
        </w:rPr>
        <w:t xml:space="preserve">(Grant </w:t>
      </w:r>
      <w:r w:rsidR="008D1957" w:rsidRPr="008D1957">
        <w:rPr>
          <w:rFonts w:cs="Times New Roman"/>
          <w:i/>
          <w:iCs/>
          <w:szCs w:val="24"/>
        </w:rPr>
        <w:t>et al.</w:t>
      </w:r>
      <w:r w:rsidR="008D1957" w:rsidRPr="008D1957">
        <w:rPr>
          <w:rFonts w:cs="Times New Roman"/>
          <w:szCs w:val="24"/>
        </w:rPr>
        <w:t>, 2005)</w:t>
      </w:r>
      <w:r w:rsidR="008D1957">
        <w:fldChar w:fldCharType="end"/>
      </w:r>
      <w:r w:rsidR="00DB47FF">
        <w:t>. R</w:t>
      </w:r>
      <w:r>
        <w:t>apid</w:t>
      </w:r>
      <w:r w:rsidRPr="00AA22EE">
        <w:t xml:space="preserve"> turnover of </w:t>
      </w:r>
      <w:r>
        <w:t xml:space="preserve">AMF </w:t>
      </w:r>
      <w:r w:rsidRPr="00AA22EE">
        <w:t>hyphae</w:t>
      </w:r>
      <w:r>
        <w:t xml:space="preserve"> </w:t>
      </w:r>
      <w:r w:rsidR="00DB47FF">
        <w:t>may also help</w:t>
      </w:r>
      <w:r w:rsidRPr="00AA22EE">
        <w:t xml:space="preserve"> avoid depletion zone formation by allowing fungi to respond to P availability within soils. Inorganic P released by microbial mineralization rapidly becomes immobil</w:t>
      </w:r>
      <w:r w:rsidR="00DB47FF">
        <w:t xml:space="preserve">ized or </w:t>
      </w:r>
      <w:proofErr w:type="spellStart"/>
      <w:r w:rsidR="00DB47FF">
        <w:t>sorbed</w:t>
      </w:r>
      <w:proofErr w:type="spellEnd"/>
      <w:r w:rsidR="00DB47FF">
        <w:t xml:space="preserve"> onto minerals however</w:t>
      </w:r>
      <w:r w:rsidRPr="00AA22EE">
        <w:t xml:space="preserve"> active foraging by AM fungi increases the competitive ability of </w:t>
      </w:r>
      <w:r w:rsidR="00DB47FF">
        <w:t>plants to acquire P</w:t>
      </w:r>
      <w:r w:rsidRPr="00AA22EE">
        <w:t xml:space="preserve">. </w:t>
      </w:r>
    </w:p>
    <w:p w:rsidR="007E60E4" w:rsidRPr="00AA22EE" w:rsidRDefault="007E5487" w:rsidP="007E60E4">
      <w:pPr>
        <w:pStyle w:val="ListParagraph"/>
        <w:keepNext/>
        <w:ind w:left="360"/>
        <w:rPr>
          <w:rFonts w:cs="Times New Roman"/>
        </w:rPr>
      </w:pPr>
      <w:r>
        <w:rPr>
          <w:rFonts w:cs="Times New Roman"/>
          <w:noProof/>
          <w:lang w:eastAsia="en-GB"/>
        </w:rPr>
        <w:lastRenderedPageBreak/>
        <w:drawing>
          <wp:inline distT="0" distB="0" distL="0" distR="0">
            <wp:extent cx="4226869" cy="3136605"/>
            <wp:effectExtent l="0" t="0" r="254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ycorrhiza_structure.png"/>
                    <pic:cNvPicPr/>
                  </pic:nvPicPr>
                  <pic:blipFill rotWithShape="1">
                    <a:blip r:embed="rId11">
                      <a:extLst>
                        <a:ext uri="{28A0092B-C50C-407E-A947-70E740481C1C}">
                          <a14:useLocalDpi xmlns:a14="http://schemas.microsoft.com/office/drawing/2010/main" val="0"/>
                        </a:ext>
                      </a:extLst>
                    </a:blip>
                    <a:srcRect l="16304" t="6740" r="21020" b="10567"/>
                    <a:stretch/>
                  </pic:blipFill>
                  <pic:spPr bwMode="auto">
                    <a:xfrm>
                      <a:off x="0" y="0"/>
                      <a:ext cx="4246605" cy="3151251"/>
                    </a:xfrm>
                    <a:prstGeom prst="rect">
                      <a:avLst/>
                    </a:prstGeom>
                    <a:ln>
                      <a:noFill/>
                    </a:ln>
                    <a:extLst>
                      <a:ext uri="{53640926-AAD7-44D8-BBD7-CCE9431645EC}">
                        <a14:shadowObscured xmlns:a14="http://schemas.microsoft.com/office/drawing/2010/main"/>
                      </a:ext>
                    </a:extLst>
                  </pic:spPr>
                </pic:pic>
              </a:graphicData>
            </a:graphic>
          </wp:inline>
        </w:drawing>
      </w:r>
    </w:p>
    <w:p w:rsidR="00C75328" w:rsidRDefault="007E60E4" w:rsidP="007E60E4">
      <w:pPr>
        <w:pStyle w:val="Caption"/>
        <w:rPr>
          <w:rFonts w:cs="Times New Roman"/>
        </w:rPr>
      </w:pPr>
      <w:bookmarkStart w:id="22" w:name="_Ref469851815"/>
      <w:bookmarkStart w:id="23" w:name="_Toc469982756"/>
      <w:r w:rsidRPr="00AA22EE">
        <w:rPr>
          <w:rFonts w:cs="Times New Roman"/>
        </w:rPr>
        <w:t xml:space="preserve">Figure </w:t>
      </w:r>
      <w:r w:rsidR="00DC59CF">
        <w:rPr>
          <w:rFonts w:cs="Times New Roman"/>
        </w:rPr>
        <w:fldChar w:fldCharType="begin"/>
      </w:r>
      <w:r w:rsidR="00DC59CF">
        <w:rPr>
          <w:rFonts w:cs="Times New Roman"/>
        </w:rPr>
        <w:instrText xml:space="preserve"> STYLEREF 1 \s </w:instrText>
      </w:r>
      <w:r w:rsidR="00DC59CF">
        <w:rPr>
          <w:rFonts w:cs="Times New Roman"/>
        </w:rPr>
        <w:fldChar w:fldCharType="separate"/>
      </w:r>
      <w:r w:rsidR="00E0714D">
        <w:rPr>
          <w:rFonts w:cs="Times New Roman"/>
          <w:noProof/>
        </w:rPr>
        <w:t>1</w:t>
      </w:r>
      <w:r w:rsidR="00DC59CF">
        <w:rPr>
          <w:rFonts w:cs="Times New Roman"/>
        </w:rPr>
        <w:fldChar w:fldCharType="end"/>
      </w:r>
      <w:r w:rsidR="00DC59CF">
        <w:rPr>
          <w:rFonts w:cs="Times New Roman"/>
        </w:rPr>
        <w:t>.</w:t>
      </w:r>
      <w:r w:rsidR="00DC59CF">
        <w:rPr>
          <w:rFonts w:cs="Times New Roman"/>
        </w:rPr>
        <w:fldChar w:fldCharType="begin"/>
      </w:r>
      <w:r w:rsidR="00DC59CF">
        <w:rPr>
          <w:rFonts w:cs="Times New Roman"/>
        </w:rPr>
        <w:instrText xml:space="preserve"> SEQ Figure \* ARABIC \s 1 </w:instrText>
      </w:r>
      <w:r w:rsidR="00DC59CF">
        <w:rPr>
          <w:rFonts w:cs="Times New Roman"/>
        </w:rPr>
        <w:fldChar w:fldCharType="separate"/>
      </w:r>
      <w:r w:rsidR="00E0714D">
        <w:rPr>
          <w:rFonts w:cs="Times New Roman"/>
          <w:noProof/>
        </w:rPr>
        <w:t>1</w:t>
      </w:r>
      <w:r w:rsidR="00DC59CF">
        <w:rPr>
          <w:rFonts w:cs="Times New Roman"/>
        </w:rPr>
        <w:fldChar w:fldCharType="end"/>
      </w:r>
      <w:bookmarkEnd w:id="22"/>
      <w:r w:rsidRPr="00AA22EE">
        <w:rPr>
          <w:rFonts w:cs="Times New Roman"/>
        </w:rPr>
        <w:t xml:space="preserve"> Simplified anatomy of </w:t>
      </w:r>
      <w:r w:rsidR="007E5487">
        <w:rPr>
          <w:rFonts w:cs="Times New Roman"/>
        </w:rPr>
        <w:t>arbuscular mycorrhizal fungal structures</w:t>
      </w:r>
      <w:r w:rsidR="006D3F7A">
        <w:rPr>
          <w:rFonts w:cs="Times New Roman"/>
        </w:rPr>
        <w:t xml:space="preserve"> within a colonised plant root</w:t>
      </w:r>
      <w:r w:rsidR="007E5487">
        <w:rPr>
          <w:rFonts w:cs="Times New Roman"/>
        </w:rPr>
        <w:t xml:space="preserve">. </w:t>
      </w:r>
      <w:r w:rsidRPr="00AA22EE">
        <w:rPr>
          <w:rFonts w:cs="Times New Roman"/>
        </w:rPr>
        <w:t xml:space="preserve">Adapted from </w:t>
      </w:r>
      <w:r w:rsidR="00775E9F">
        <w:rPr>
          <w:rFonts w:cs="Times New Roman"/>
        </w:rPr>
        <w:fldChar w:fldCharType="begin"/>
      </w:r>
      <w:r w:rsidR="00775E9F">
        <w:rPr>
          <w:rFonts w:cs="Times New Roman"/>
        </w:rPr>
        <w:instrText xml:space="preserve"> ADDIN ZOTERO_ITEM CSL_CITATION {"citationID":"1g346fv4vo","properties":{"formattedCitation":"(Brundette, 2008)","plainCitation":"(Brundette, 2008)"},"citationItems":[{"id":876,"uris":["http://zotero.org/users/local/d1gJDEOw/items/B759E7WS"],"uri":["http://zotero.org/users/local/d1gJDEOw/items/B759E7WS"],"itemData":{"id":876,"type":"webpage","title":"Mycorrhizal Associations: The Web Resource. Section 4 Arbuscular mycorrhizas","shortTitle":"Mycorrhizal Associations: The Web Resource. Section 4 Arbuscular mycorrhizas","author":[{"literal":"Brundette"}],"issued":{"date-parts":[["2008"]]},"accessed":{"date-parts":[["2013",1,1]]}}}],"schema":"https://github.com/citation-style-language/schema/raw/master/csl-citation.json"} </w:instrText>
      </w:r>
      <w:r w:rsidR="00775E9F">
        <w:rPr>
          <w:rFonts w:cs="Times New Roman"/>
        </w:rPr>
        <w:fldChar w:fldCharType="separate"/>
      </w:r>
      <w:proofErr w:type="spellStart"/>
      <w:r w:rsidR="00775E9F" w:rsidRPr="00775E9F">
        <w:rPr>
          <w:rFonts w:cs="Times New Roman"/>
        </w:rPr>
        <w:t>Brundette</w:t>
      </w:r>
      <w:proofErr w:type="spellEnd"/>
      <w:r w:rsidR="00775E9F" w:rsidRPr="00775E9F">
        <w:rPr>
          <w:rFonts w:cs="Times New Roman"/>
        </w:rPr>
        <w:t>, 2008)</w:t>
      </w:r>
      <w:r w:rsidR="00775E9F">
        <w:rPr>
          <w:rFonts w:cs="Times New Roman"/>
        </w:rPr>
        <w:fldChar w:fldCharType="end"/>
      </w:r>
      <w:r w:rsidRPr="00AA22EE">
        <w:rPr>
          <w:rFonts w:cs="Times New Roman"/>
        </w:rPr>
        <w:fldChar w:fldCharType="begin"/>
      </w:r>
      <w:r w:rsidRPr="00AA22EE">
        <w:rPr>
          <w:rFonts w:cs="Times New Roman"/>
        </w:rPr>
        <w:instrText xml:space="preserve"> ADDIN EN.CITE &lt;EndNote&gt;&lt;Cite&gt;&lt;Author&gt;Brundette&lt;/Author&gt;&lt;Year&gt;2008&lt;/Year&gt;&lt;IDText&gt;Mycorrhizal Associations: The Web Resource. Section 4 Arbuscular mycorrhizas&lt;/IDText&gt;&lt;DisplayText&gt;(Brundette 2008)&lt;/DisplayText&gt;&lt;record&gt;&lt;titles&gt;&lt;title&gt;Mycorrhizal Associations: The Web Resource. Section 4 Arbuscular mycorrhizas&lt;/title&gt;&lt;/titles&gt;&lt;number&gt;01.01.2013&lt;/number&gt;&lt;contributors&gt;&lt;authors&gt;&lt;author&gt;Brundette&lt;/author&gt;&lt;/authors&gt;&lt;/contributors&gt;&lt;added-date format="utc"&gt;1359690224&lt;/added-date&gt;&lt;pub-location&gt;http://mycorrhizas.info/vam.html#&lt;/pub-location&gt;&lt;ref-type name="Web Page"&gt;12&lt;/ref-type&gt;&lt;dates&gt;&lt;year&gt;2008&lt;/year&gt;&lt;/dates&gt;&lt;rec-number&gt;272&lt;/rec-number&gt;&lt;last-updated-date format="utc"&gt;1359690364&lt;/last-updated-date&gt;&lt;volume&gt;2013&lt;/volume&gt;&lt;/record&gt;&lt;/Cite&gt;&lt;/EndNote&gt;</w:instrText>
      </w:r>
      <w:r w:rsidRPr="00AA22EE">
        <w:rPr>
          <w:rFonts w:cs="Times New Roman"/>
        </w:rPr>
        <w:fldChar w:fldCharType="end"/>
      </w:r>
      <w:r w:rsidR="006D3F7A">
        <w:rPr>
          <w:rFonts w:cs="Times New Roman"/>
        </w:rPr>
        <w:t>.</w:t>
      </w:r>
      <w:bookmarkEnd w:id="23"/>
    </w:p>
    <w:p w:rsidR="007E60E4" w:rsidRPr="00C75328" w:rsidRDefault="007E60E4" w:rsidP="00C75328">
      <w:pPr>
        <w:spacing w:line="259" w:lineRule="auto"/>
        <w:jc w:val="left"/>
        <w:rPr>
          <w:rFonts w:cs="Times New Roman"/>
          <w:iCs/>
          <w:sz w:val="20"/>
          <w:szCs w:val="18"/>
        </w:rPr>
      </w:pPr>
    </w:p>
    <w:p w:rsidR="007E60E4" w:rsidRPr="00AA22EE" w:rsidRDefault="007E60E4" w:rsidP="007E60E4">
      <w:pPr>
        <w:pStyle w:val="Heading4"/>
        <w:numPr>
          <w:ilvl w:val="3"/>
          <w:numId w:val="1"/>
        </w:numPr>
        <w:rPr>
          <w:sz w:val="20"/>
          <w:szCs w:val="20"/>
        </w:rPr>
      </w:pPr>
      <w:r w:rsidRPr="00AA22EE">
        <w:t>Nitrogen</w:t>
      </w:r>
    </w:p>
    <w:p w:rsidR="007E60E4" w:rsidRPr="000F7D57" w:rsidRDefault="007E60E4" w:rsidP="00DC59CF">
      <w:r w:rsidRPr="00AA22EE">
        <w:t>Like plants, AM</w:t>
      </w:r>
      <w:r w:rsidR="006D3F7A">
        <w:t>F</w:t>
      </w:r>
      <w:r w:rsidRPr="00AA22EE">
        <w:t xml:space="preserve"> are able to access nitrate (NO</w:t>
      </w:r>
      <w:r w:rsidRPr="00AA22EE">
        <w:rPr>
          <w:vertAlign w:val="subscript"/>
        </w:rPr>
        <w:t>3</w:t>
      </w:r>
      <w:r w:rsidRPr="00AA22EE">
        <w:rPr>
          <w:vertAlign w:val="superscript"/>
        </w:rPr>
        <w:t>-</w:t>
      </w:r>
      <w:r w:rsidRPr="00AA22EE">
        <w:t>) and ammonium (NH</w:t>
      </w:r>
      <w:r w:rsidRPr="00AA22EE">
        <w:rPr>
          <w:vertAlign w:val="subscript"/>
        </w:rPr>
        <w:t>4</w:t>
      </w:r>
      <w:r w:rsidRPr="00AA22EE">
        <w:rPr>
          <w:vertAlign w:val="superscript"/>
        </w:rPr>
        <w:t>+</w:t>
      </w:r>
      <w:r w:rsidRPr="00AA22EE">
        <w:t>) however AM</w:t>
      </w:r>
      <w:r w:rsidR="006D3F7A">
        <w:t>F</w:t>
      </w:r>
      <w:r w:rsidRPr="00AA22EE">
        <w:t xml:space="preserve"> are also able to access N from organic sources </w:t>
      </w:r>
      <w:r w:rsidR="00DB47FF">
        <w:fldChar w:fldCharType="begin"/>
      </w:r>
      <w:r w:rsidR="00290532">
        <w:instrText xml:space="preserve"> ADDIN ZOTERO_ITEM CSL_CITATION {"citationID":"1s0rjf2v00","properties":{"formattedCitation":"(Hodge &amp; Fitter, 2010)","plainCitation":"(Hodge &amp; Fitter, 2010)"},"citationItems":[{"id":1376,"uris":["http://zotero.org/users/local/d1gJDEOw/items/7Z2PAU7H"],"uri":["http://zotero.org/users/local/d1gJDEOw/items/7Z2PAU7H"],"itemData":{"id":1376,"type":"article-journal","title":"Substantial nitrogen acquisition by arbuscular mycorrhizal fungi from organic material has implications for N cycling","container-title":"Proceedings of the National Academy of Sciences of the United States of America","page":"13754-13759","volume":"107","issue":"31","source":"PubMed Central","abstract":"Arbuscular mycorrhizal (AM) fungi are obligate biotrophs that acquire carbon (C) solely from host plants. AM fungi can proliferate hyphae in, and acquire nitrogen (N) from, organic matter. Although they can transfer some of that N to plants, we tested the hypothesis that organic matter is an important N source for the AM fungi themselves. We grew pairs of plants with and without the AM fungus Glomus hoi in microcosms that allowed only the fungus access to a 15N/13C-labeled organic patch; in some cases, one plant was shaded to reduce C supply to the fungus. The fungal hyphae proliferated vigorously in the patch, irrespective of shading, and increased plant growth and N content; </w:instrText>
      </w:r>
      <w:r w:rsidR="00290532">
        <w:rPr>
          <w:rFonts w:ascii="Cambria Math" w:hAnsi="Cambria Math" w:cs="Cambria Math"/>
        </w:rPr>
        <w:instrText>∼</w:instrText>
      </w:r>
      <w:r w:rsidR="00290532">
        <w:instrText xml:space="preserve">3% of plant N came from the patch. The extraradical mycelium of the fungus was N-rich (3–5% N) and up to 31% of fungal N came from the patch, confirming the hypothesis. The fungus acquired N as decomposition products, because hyphae were not 13C-enriched. In a second experiment, hyphae of both G. hoi and Glomus mosseae that exploited an organic material patch were also better able to colonize a new host plant, demonstrating a fungal growth response. These findings show that AM fungi can obtain substantial amounts of N from decomposing organic materials and can enhance their fitness as a result. The large biomass and high N demand of AM fungi means that they represent a global N pool equivalent in magnitude to fine roots and play a substantial and hitherto overlooked role in the nitrogen cycle.","DOI":"10.1073/pnas.1005874107","ISSN":"0027-8424","note":"PMID: 20631302\nPMCID: PMC2922220","journalAbbreviation":"Proc Natl Acad Sci U S A","author":[{"family":"Hodge","given":"Angela"},{"family":"Fitter","given":"Alastair H."}],"issued":{"date-parts":[["2010",8,3]]}}}],"schema":"https://github.com/citation-style-language/schema/raw/master/csl-citation.json"} </w:instrText>
      </w:r>
      <w:r w:rsidR="00DB47FF">
        <w:fldChar w:fldCharType="separate"/>
      </w:r>
      <w:r w:rsidR="00290532" w:rsidRPr="00290532">
        <w:rPr>
          <w:rFonts w:cs="Times New Roman"/>
        </w:rPr>
        <w:t>(Hodge &amp; Fitter, 2010)</w:t>
      </w:r>
      <w:r w:rsidR="00DB47FF">
        <w:fldChar w:fldCharType="end"/>
      </w:r>
      <w:r w:rsidRPr="00AA22EE">
        <w:fldChar w:fldCharType="begin">
          <w:fldData xml:space="preserve">PEVuZE5vdGU+PENpdGU+PEF1dGhvcj5MZWlnaDwvQXV0aG9yPjxZZWFyPjIwMDk8L1llYXI+PElE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</w:fldData>
        </w:fldChar>
      </w:r>
      <w:r w:rsidRPr="00AA22EE">
        <w:instrText xml:space="preserve"> ADDIN EN.CITE </w:instrText>
      </w:r>
      <w:r w:rsidRPr="00AA22EE">
        <w:fldChar w:fldCharType="begin">
          <w:fldData xml:space="preserve">PEVuZE5vdGU+PENpdGU+PEF1dGhvcj5MZWlnaDwvQXV0aG9yPjxZZWFyPjIwMDk8L1llYXI+PElE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</w:fldData>
        </w:fldChar>
      </w:r>
      <w:r w:rsidRPr="00AA22EE">
        <w:instrText xml:space="preserve"> ADDIN EN.CITE.DATA </w:instrText>
      </w:r>
      <w:r w:rsidRPr="00AA22EE">
        <w:fldChar w:fldCharType="end"/>
      </w:r>
      <w:r w:rsidRPr="00AA22EE">
        <w:fldChar w:fldCharType="end"/>
      </w:r>
      <w:r w:rsidR="00DB47FF" w:rsidRPr="00AA22EE">
        <w:t xml:space="preserve"> </w:t>
      </w:r>
      <w:r w:rsidRPr="00AA22EE">
        <w:t>. Both ammonium and nitrogen are relatively mobile within the soil solution preventing the formation of N depletion zones to the same extent of those for phosphorus however although abundance and mobility of soil N is</w:t>
      </w:r>
      <w:r w:rsidR="00290532">
        <w:t xml:space="preserve"> higher than that of P, plants have a great N requirement therefore host plant access to N via AMF is nutritionally important.</w:t>
      </w:r>
      <w:r w:rsidRPr="00AA22EE">
        <w:t xml:space="preserve"> </w:t>
      </w:r>
    </w:p>
    <w:p w:rsidR="007E60E4" w:rsidRPr="00AA22EE" w:rsidRDefault="007E60E4" w:rsidP="007E60E4">
      <w:pPr>
        <w:pStyle w:val="Heading4"/>
        <w:numPr>
          <w:ilvl w:val="3"/>
          <w:numId w:val="1"/>
        </w:numPr>
      </w:pPr>
      <w:r w:rsidRPr="00AA22EE">
        <w:t xml:space="preserve">Micronutrients </w:t>
      </w:r>
    </w:p>
    <w:p w:rsidR="007E60E4" w:rsidRPr="00AA22EE" w:rsidRDefault="0098644D" w:rsidP="00DC59CF">
      <w:r>
        <w:t>Arbuscular mycorrhizal</w:t>
      </w:r>
      <w:r w:rsidR="007E60E4" w:rsidRPr="00AA22EE">
        <w:t xml:space="preserve"> fungi </w:t>
      </w:r>
      <w:r w:rsidR="007E60E4">
        <w:t>may also improve</w:t>
      </w:r>
      <w:r w:rsidR="007E60E4" w:rsidRPr="00AA22EE">
        <w:t xml:space="preserve"> host plant nutrition of essential micronutrients including Cu, Zn, Fe and K.  Beneficial effects of AM upon Zn and Cu uptake have been most studied of all micronutrients. Like P, plant Zn uptake in soils is usually limited by the low rate of Zn diffusion within soils and notable improvement in Zn nutrition of AM plants have been explained by the beneficial effect of AM on soil nutrient exploitation by hyphae. Zn uptake by AM is slower than that of P however Zn requirements are also much lower.  Studies show that AM association may help alleviate Zn deficiencies</w:t>
      </w:r>
      <w:r w:rsidR="00775E9F">
        <w:t xml:space="preserve"> </w:t>
      </w:r>
      <w:r w:rsidR="00775E9F">
        <w:fldChar w:fldCharType="begin"/>
      </w:r>
      <w:r w:rsidR="00775E9F">
        <w:instrText xml:space="preserve"> ADDIN ZOTERO_ITEM CSL_CITATION {"citationID":"1oob8pes8f","properties":{"formattedCitation":"(Cavagnaro, 2008)","plainCitation":"(Cavagnaro, 2008)"},"citationItems":[{"id":885,"uris":["http://zotero.org/users/local/d1gJDEOw/items/7V7BCX2X"],"uri":["http://zotero.org/users/local/d1gJDEOw/items/7V7BCX2X"],"itemData":{"id":885,"type":"article-journal","title":"The role of arbuscular mycorrhizas in improving plant zinc nutrition under low soil zinc concentrations: a review","container-title":"Plant and Soil","page":"315-325","volume":"304","issue":"1-2","archive_location":"WOS:000253216200026","abstract":"Many of the world's soils are zinc (Zn) deficient. Consequently, many crops experience reduced growth, yield and tissue Zn concentrations. Reduced concentrations of Zn in the edible portions of crops have important implications for human Zn nutrition; this is a cause of global concern. Most terrestrial plant species form arbuscular mycorrhizas (AM) with a relatively limited number of specialized soil fungi. Arbuscular mycorrhizal fungi (AMF) can take up nutrients, including Zn, and transfer them to the plant, thereby enhancing plant nutrition. Under high soil Zn concentrations the formation of AM can also 'protect' against the accumulation of Zn in plant tissues to high concentrations. Here, a short review focusing on the role of AM in enhancing plant Zn nutrition, principally under low soil Zn concentrations, is presented. Effects of Zn on the colonisation of roots by AMF, direct uptake of Zn by AMF, the role of AM in the Zn nutrition of field grown plants, and emerging aspects of Zn molecular physiology of AM, are explored. Emergent knowledge gaps are identified and discussed in the context of potential future research.","DOI":"10.1007/s11104-008-9559-7","ISSN":"0032-079X","shortTitle":"The role of arbuscular mycorrhizas in improving plant zinc nutrition under low soil zinc concentrations: a review","author":[{"family":"Cavagnaro","given":"T. R."}],"issued":{"date-parts":[["2008",3]]}}}],"schema":"https://github.com/citation-style-language/schema/raw/master/csl-citation.json"} </w:instrText>
      </w:r>
      <w:r w:rsidR="00775E9F">
        <w:fldChar w:fldCharType="separate"/>
      </w:r>
      <w:r w:rsidR="00775E9F" w:rsidRPr="00775E9F">
        <w:rPr>
          <w:rFonts w:cs="Times New Roman"/>
        </w:rPr>
        <w:t>(</w:t>
      </w:r>
      <w:proofErr w:type="spellStart"/>
      <w:r w:rsidR="00775E9F" w:rsidRPr="00775E9F">
        <w:rPr>
          <w:rFonts w:cs="Times New Roman"/>
        </w:rPr>
        <w:t>Cavagnaro</w:t>
      </w:r>
      <w:proofErr w:type="spellEnd"/>
      <w:r w:rsidR="00775E9F" w:rsidRPr="00775E9F">
        <w:rPr>
          <w:rFonts w:cs="Times New Roman"/>
        </w:rPr>
        <w:t>, 2008)</w:t>
      </w:r>
      <w:r w:rsidR="00775E9F">
        <w:fldChar w:fldCharType="end"/>
      </w:r>
      <w:r w:rsidR="007E60E4" w:rsidRPr="00AA22EE">
        <w:t xml:space="preserve"> and the positive relationship between hyphal length and Zn and P uptake has demonstrated the importance of AM in uptake of these nutrients </w:t>
      </w:r>
      <w:r w:rsidR="007E60E4" w:rsidRPr="00AA22EE">
        <w:fldChar w:fldCharType="begin"/>
      </w:r>
      <w:r w:rsidR="007E60E4" w:rsidRPr="00AA22EE">
        <w:instrText xml:space="preserve"> ADDIN EN.CITE &lt;EndNote&gt;&lt;Cite&gt;&lt;Author&gt;Jansa&lt;/Author&gt;&lt;Year&gt;2003&lt;/Year&gt;&lt;IDText&gt;Long-distance transport of P and Zn through the hyphae of an arbuscular mycorrhizal fungus in symbiosis with maize&lt;/IDText&gt;&lt;DisplayText&gt;(Jansa, Mozafar and Frossard 2003a)&lt;/DisplayText&gt;&lt;record&gt;&lt;dates&gt;&lt;pub-dates&gt;&lt;date&gt;Jul-Oct&lt;/date&gt;&lt;/pub-dates&gt;&lt;year&gt;2003&lt;/year&gt;&lt;/dates&gt;&lt;urls&gt;&lt;related-urls&gt;&lt;url&gt;&amp;lt;Go to ISI&amp;gt;://WOS:000185005600011&lt;/url&gt;&lt;/related-urls&gt;&lt;/urls&gt;&lt;isbn&gt;0249-5627&lt;/isbn&gt;&lt;titles&gt;&lt;title&gt;Long-distance transport of P and Zn through the hyphae of an arbuscular mycorrhizal fungus in symbiosis with maize&lt;/title&gt;&lt;secondary-title&gt;Agronomie&lt;/secondary-title&gt;&lt;/titles&gt;&lt;pages&gt;481-488&lt;/pages&gt;&lt;number&gt;5-6&lt;/number&gt;&lt;contributors&gt;&lt;authors&gt;&lt;author&gt;Jansa, J.&lt;/author&gt;&lt;author&gt;Mozafar, A.&lt;/author&gt;&lt;author&gt;Frossard, E.&lt;/author&gt;&lt;/authors&gt;&lt;/contributors&gt;&lt;added-date format="utc"&gt;1359333021&lt;/added-date&gt;&lt;ref-type name="Journal Article"&gt;17&lt;/ref-type&gt;&lt;rec-number&gt;224&lt;/rec-number&gt;&lt;last-updated-date format="utc"&gt;1359333021&lt;/last-updated-date&gt;&lt;accession-num&gt;WOS:000185005600011&lt;/accession-num&gt;&lt;electronic-resource-num&gt;10.1051/agro:2003013&lt;/electronic-resource-num&gt;&lt;volume&gt;23&lt;/volume&gt;&lt;/record&gt;&lt;/Cite&gt;&lt;/EndNote&gt;</w:instrText>
      </w:r>
      <w:r w:rsidR="007E60E4" w:rsidRPr="00AA22EE">
        <w:fldChar w:fldCharType="separate"/>
      </w:r>
      <w:r w:rsidR="007E60E4" w:rsidRPr="00AA22EE">
        <w:rPr>
          <w:noProof/>
        </w:rPr>
        <w:t>(Jansa, Mozafar and Frossard 2003a)</w:t>
      </w:r>
      <w:r w:rsidR="007E60E4" w:rsidRPr="00AA22EE">
        <w:fldChar w:fldCharType="end"/>
      </w:r>
      <w:r w:rsidR="007E60E4" w:rsidRPr="00AA22EE">
        <w:t xml:space="preserve">. However effects upon micronutrients are not always positive and in several studies </w:t>
      </w:r>
      <w:proofErr w:type="spellStart"/>
      <w:r w:rsidR="007E60E4" w:rsidRPr="00AA22EE">
        <w:t>Mn</w:t>
      </w:r>
      <w:proofErr w:type="spellEnd"/>
      <w:r w:rsidR="007E60E4" w:rsidRPr="00AA22EE">
        <w:t xml:space="preserve"> nutrition of AM plants has been found to be reduced </w:t>
      </w:r>
      <w:r w:rsidR="006D3F7A">
        <w:t>in comparison to non AM plants</w:t>
      </w:r>
      <w:r w:rsidR="00775E9F">
        <w:t xml:space="preserve"> </w:t>
      </w:r>
      <w:r w:rsidR="00775E9F">
        <w:fldChar w:fldCharType="begin"/>
      </w:r>
      <w:r w:rsidR="00775E9F">
        <w:instrText xml:space="preserve"> ADDIN ZOTERO_ITEM CSL_CITATION {"citationID":"27l9jr68dt","properties":{"formattedCitation":"(Zuccarini &amp; Okurowska, 2008)","plainCitation":"(Zuccarini &amp; Okurowska, 2008)"},"citationItems":[{"id":1374,"uris":["http://zotero.org/users/local/d1gJDEOw/items/FTB92K5X"],"uri":["http://zotero.org/users/local/d1gJDEOw/items/FTB92K5X"],"itemData":{"id":1374,"type":"article-journal","title":"Effects of mycorrhizal colonization and fertilization on growth and photosynthesis of sweet basil under salt stress","container-title":"Journal of Plant Nutrition","page":"497-513","volume":"31","issue":"3","archive_location":"WOS:000255275300007","abstract":"A greenhouse experiment was conducted to investigate the effects of inoculation with an arbuscular mycorrhizal fungus (AMF) and of different levels of fertilization on growth, photosynthetic efficiency, and ion uptake by sweet basil (Ocimum basilicum L.) in conditions of saline stress. Eight different treatments were compared, deriving from the factorial combination of two levels of fertilization, two levels of salinity of the irrigation water and the presence or absence of mycorrhizal colonization, performed with a crude inoculum of Glomus intraradices Schenck and Smith. Salinity significantly reduced growth and fluorescence level of plants, and higher sodium (Na) and chloride (Cl) contents in both roots and shoots were associated with these phenomena, while potassium (K) was slightly reduced. Both mycorrhizal inoculation and high fertilization acted in the direction of reducing the symptoms of salinity stress by increasing growth and fluorescence. Mycorrhizal colonization showed generally more pronounced effects than a high application rate of fertilizer. The simultaneous application of colonization and high fertilization provided higher tolerance to salinity than one single factor, but the combined effect was less than proportional to the sum of the separate effects. In particular, the differences in growth and photochemical efficiency between inoculated and uninoculated plants under salt stress were significantly reduced by the contemporary presence of additional fertilization. The rate of root colonization by the mycorrhizal fungus was significantly reduced by both saline irrigation and high fertilization.","DOI":"10.1080/01904160801895027","ISSN":"0190-4167","shortTitle":"Effects of mycorrhizal colonization and fertilization on growth and photosynthesis of sweet basil under salt stress","author":[{"family":"Zuccarini","given":"P."},{"family":"Okurowska","given":"P."}],"issued":{"date-parts":[["2008"]]}}}],"schema":"https://github.com/citation-style-language/schema/raw/master/csl-citation.json"} </w:instrText>
      </w:r>
      <w:r w:rsidR="00775E9F">
        <w:fldChar w:fldCharType="separate"/>
      </w:r>
      <w:r w:rsidR="00775E9F" w:rsidRPr="00775E9F">
        <w:rPr>
          <w:rFonts w:cs="Times New Roman"/>
        </w:rPr>
        <w:t>(</w:t>
      </w:r>
      <w:proofErr w:type="spellStart"/>
      <w:r w:rsidR="00775E9F" w:rsidRPr="00775E9F">
        <w:rPr>
          <w:rFonts w:cs="Times New Roman"/>
        </w:rPr>
        <w:t>Zuccarini</w:t>
      </w:r>
      <w:proofErr w:type="spellEnd"/>
      <w:r w:rsidR="00775E9F" w:rsidRPr="00775E9F">
        <w:rPr>
          <w:rFonts w:cs="Times New Roman"/>
        </w:rPr>
        <w:t xml:space="preserve"> &amp; </w:t>
      </w:r>
      <w:proofErr w:type="spellStart"/>
      <w:r w:rsidR="00775E9F" w:rsidRPr="00775E9F">
        <w:rPr>
          <w:rFonts w:cs="Times New Roman"/>
        </w:rPr>
        <w:t>Okurowska</w:t>
      </w:r>
      <w:proofErr w:type="spellEnd"/>
      <w:r w:rsidR="00775E9F" w:rsidRPr="00775E9F">
        <w:rPr>
          <w:rFonts w:cs="Times New Roman"/>
        </w:rPr>
        <w:t>, 2008)</w:t>
      </w:r>
      <w:r w:rsidR="00775E9F">
        <w:fldChar w:fldCharType="end"/>
      </w:r>
      <w:r w:rsidR="007E60E4" w:rsidRPr="00AA22EE">
        <w:t>.</w:t>
      </w:r>
    </w:p>
    <w:p w:rsidR="007E60E4" w:rsidRPr="00AA22EE" w:rsidRDefault="002707ED" w:rsidP="007E60E4">
      <w:pPr>
        <w:pStyle w:val="Heading4"/>
        <w:numPr>
          <w:ilvl w:val="3"/>
          <w:numId w:val="1"/>
        </w:numPr>
      </w:pPr>
      <w:r>
        <w:lastRenderedPageBreak/>
        <w:t xml:space="preserve"> </w:t>
      </w:r>
      <w:r w:rsidR="007E60E4" w:rsidRPr="00AA22EE">
        <w:t>Nutrition and growth responses with AM</w:t>
      </w:r>
    </w:p>
    <w:p w:rsidR="007E60E4" w:rsidRPr="000F7D57" w:rsidRDefault="007E60E4" w:rsidP="00DC59CF">
      <w:r w:rsidRPr="00AA22EE">
        <w:t>Although beneficial effect of AM for plant nutrition and growth are widely reported, it is important to note that mycorrhizal association does not always result in a positive growth response by plants. On the contrary, plant growth responses to AM may range from highl</w:t>
      </w:r>
      <w:r w:rsidR="002707ED">
        <w:t>y positive to negative and</w:t>
      </w:r>
      <w:r w:rsidRPr="00AA22EE">
        <w:t xml:space="preserve"> are </w:t>
      </w:r>
      <w:r w:rsidR="00290532">
        <w:t>taxa</w:t>
      </w:r>
      <w:r w:rsidRPr="00AA22EE">
        <w:t xml:space="preserve"> specific </w:t>
      </w:r>
      <w:r w:rsidRPr="00AA22EE">
        <w:fldChar w:fldCharType="begin">
          <w:fldData xml:space="preserve">PEVuZE5vdGU+PENpdGU+PEF1dGhvcj5LbGlyb25vbW9zPC9BdXRob3I+PFllYXI+MjAwMzwvWWVh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</w:fldData>
        </w:fldChar>
      </w:r>
      <w:r w:rsidRPr="00AA22EE">
        <w:instrText xml:space="preserve"> ADDIN EN.CITE </w:instrText>
      </w:r>
      <w:r w:rsidRPr="00AA22EE">
        <w:fldChar w:fldCharType="begin">
          <w:fldData xml:space="preserve">PEVuZE5vdGU+PENpdGU+PEF1dGhvcj5LbGlyb25vbW9zPC9BdXRob3I+PFllYXI+MjAwMzwvWWVh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</w:fldData>
        </w:fldChar>
      </w:r>
      <w:r w:rsidRPr="00AA22EE">
        <w:instrText xml:space="preserve"> ADDIN EN.CITE.DATA </w:instrText>
      </w:r>
      <w:r w:rsidRPr="00AA22EE">
        <w:fldChar w:fldCharType="end"/>
      </w:r>
      <w:r w:rsidRPr="00AA22EE">
        <w:fldChar w:fldCharType="separate"/>
      </w:r>
      <w:r w:rsidR="00290532">
        <w:rPr>
          <w:noProof/>
        </w:rPr>
        <w:t>(Klironomos 2003</w:t>
      </w:r>
      <w:r w:rsidRPr="00AA22EE">
        <w:rPr>
          <w:noProof/>
        </w:rPr>
        <w:t>)</w:t>
      </w:r>
      <w:r w:rsidRPr="00AA22EE">
        <w:fldChar w:fldCharType="end"/>
      </w:r>
      <w:r w:rsidRPr="00AA22EE">
        <w:t>. Furthermore the interactions between plant and fungi are sensitive to environmental conditions such as nutrient availability which may adjust the balance between mutualism and parasitism. For example beneficial effects of AM</w:t>
      </w:r>
      <w:r w:rsidR="00290532">
        <w:t>F</w:t>
      </w:r>
      <w:r w:rsidRPr="00AA22EE">
        <w:t xml:space="preserve"> are known to decrease with improved nutrient availability</w:t>
      </w:r>
      <w:r w:rsidR="00775E9F">
        <w:t xml:space="preserve"> </w:t>
      </w:r>
      <w:r w:rsidR="00775E9F">
        <w:fldChar w:fldCharType="begin"/>
      </w:r>
      <w:r w:rsidR="00775E9F">
        <w:instrText xml:space="preserve"> ADDIN ZOTERO_ITEM CSL_CITATION {"citationID":"1ibu14d4eu","properties":{"formattedCitation":"(Collins &amp; Foster, 2009)","plainCitation":"(Collins &amp; Foster, 2009)"},"citationItems":[{"id":895,"uris":["http://zotero.org/users/local/d1gJDEOw/items/4XPPMJ94"],"uri":["http://zotero.org/users/local/d1gJDEOw/items/4XPPMJ94"],"itemData":{"id":895,"type":"article-journal","title":"Community-level consequences of mycorrhizae depend on phosphorus availability","container-title":"Ecology","page":"2567-2576","volume":"90","issue":"9","archive_location":"WOS:000269025700024","abstract":"In grasslands, arbuscular mycorrhizal fungi (AMF) mediate plant diversity; whether AMF increase or decrease diversity depends on the relative mycotrophy in dominant vs. subordinate plants. In this study we investigated whether soil nutrient levels also influence the ability of AMF to mediate plant species coexistence. First, we developed a conceptual model that predicts the influence of AMF on diversity along a soil nutrient gradient for plant communities dominated by mycotrophic and non-mycotrophic species. To test these predictions, we manipulated phosphorus to create a soil nutrient gradient for mesocosm communities composed of native prairie grasses and then compared community properties for mesocosms with and without AMF. We found that, where P was limiting, AMF increased plant diversity and productivity, and also altered community structure; however, at high P, AMF had little influence on aboveground communities. Compositional differences among treatments were due largely to a trade-off in the relative abundance of C(3) vs. C(4) species. Our study emphasizes how environmental constraints on mutualisms may govern community-and ecosystem-level properties.","DOI":"10.1890/08-1560.1","ISSN":"0012-9658","shortTitle":"Community-level consequences of mycorrhizae depend on phosphorus availability","author":[{"family":"Collins","given":"C. D."},{"family":"Foster","given":"B. L."}],"issued":{"date-parts":[["2009",9]]}}}],"schema":"https://github.com/citation-style-language/schema/raw/master/csl-citation.json"} </w:instrText>
      </w:r>
      <w:r w:rsidR="00775E9F">
        <w:fldChar w:fldCharType="separate"/>
      </w:r>
      <w:r w:rsidR="00775E9F" w:rsidRPr="00775E9F">
        <w:rPr>
          <w:rFonts w:cs="Times New Roman"/>
        </w:rPr>
        <w:t>(Collins &amp; Foster, 2009)</w:t>
      </w:r>
      <w:r w:rsidR="00775E9F">
        <w:fldChar w:fldCharType="end"/>
      </w:r>
      <w:r w:rsidRPr="00AA22EE">
        <w:t xml:space="preserve"> and in fertile soils AM</w:t>
      </w:r>
      <w:r>
        <w:t>F</w:t>
      </w:r>
      <w:r w:rsidRPr="00AA22EE">
        <w:t xml:space="preserve"> may even have a  negative effect due to </w:t>
      </w:r>
      <w:r w:rsidR="00290532">
        <w:t xml:space="preserve"> net </w:t>
      </w:r>
      <w:r w:rsidRPr="00AA22EE">
        <w:t>carbon drain</w:t>
      </w:r>
      <w:r w:rsidR="00775E9F">
        <w:t xml:space="preserve"> </w:t>
      </w:r>
      <w:r w:rsidR="00775E9F">
        <w:fldChar w:fldCharType="begin"/>
      </w:r>
      <w:r w:rsidR="00775E9F">
        <w:instrText xml:space="preserve"> ADDIN ZOTERO_ITEM CSL_CITATION {"citationID":"24mgdnnon1","properties":{"formattedCitation":"{\\rtf (Smith {\\i{}et al.}, 2009)}","plainCitation":"(Smith et al., 2009)"},"citationItems":[{"id":1265,"uris":["http://zotero.org/users/local/d1gJDEOw/items/AGWG82DC"],"uri":["http://zotero.org/users/local/d1gJDEOw/items/AGWG82DC"],"itemData":{"id":1265,"type":"article-journal","title":"More than a carbon economy: nutrient trade and ecological sustainability in facultative arbuscular mycorrhizal symbioses","container-title":"New Phytologist","page":"347-358","volume":"182","issue":"2","archive_location":"WOS:000264635400009","abstract":"Symbiosis is well recognized as a major force in plant ecology and evolution. However, there is considerable uncertainty about the functional, ecological and evolutionary benefits of the very widespread facultative arbuscular mycorrhizal ( AM) associations, in which the plants can grow and reproduce whether or not they are colonized by AM fungi. Here we address the significance of new research findings that are overturning conventional views that facultative AM associations can be likened to parasitic fungus-plant associations. Specifically, we address the occurrence and importance of phosphate uptake via AM fungi that does not result in increases in total phosphorus ( P) uptake or in plant growth, and possible signalling between AM fungi and plants that can result in plant growth depressions even when fungal colonization remains very low. We conclude that, depending on the individual AM fungi that are present, the role of facultative AM associations in the field, especially in relation to plant competition, may be much more subtle than has been previously envisaged.","DOI":"10.1111/j.1469-8137.2008.02753.x","ISSN":"0028-646X","shortTitle":"More than a carbon economy: nutrient trade and ecological sustainability in facultative arbuscular mycorrhizal symbioses","journalAbbreviation":"New Phytol.","language":"English","author":[{"family":"Smith","given":"F. A."},{"family":"Grace","given":"E. J."},{"family":"Smith","given":"S. E."}],"issued":{"date-parts":[["2009"]]}}}],"schema":"https://github.com/citation-style-language/schema/raw/master/csl-citation.json"} </w:instrText>
      </w:r>
      <w:r w:rsidR="00775E9F">
        <w:fldChar w:fldCharType="separate"/>
      </w:r>
      <w:r w:rsidR="00775E9F" w:rsidRPr="00775E9F">
        <w:rPr>
          <w:rFonts w:cs="Times New Roman"/>
          <w:szCs w:val="24"/>
        </w:rPr>
        <w:t xml:space="preserve">(Smith </w:t>
      </w:r>
      <w:r w:rsidR="00775E9F" w:rsidRPr="00775E9F">
        <w:rPr>
          <w:rFonts w:cs="Times New Roman"/>
          <w:i/>
          <w:iCs/>
          <w:szCs w:val="24"/>
        </w:rPr>
        <w:t>et al.</w:t>
      </w:r>
      <w:r w:rsidR="00775E9F" w:rsidRPr="00775E9F">
        <w:rPr>
          <w:rFonts w:cs="Times New Roman"/>
          <w:szCs w:val="24"/>
        </w:rPr>
        <w:t>, 2009)</w:t>
      </w:r>
      <w:r w:rsidR="00775E9F">
        <w:fldChar w:fldCharType="end"/>
      </w:r>
      <w:r w:rsidRPr="00AA22EE">
        <w:t>. However, even in cases where neither a positive effect upon growth or nutrient content is observed, it cannot be assumed that the fungi is not of benefit as a large proportion of the plants nutrient uptake - which may up to as much a 100% of P, may be obtained through the AM fungal pathway</w:t>
      </w:r>
      <w:r w:rsidR="00775E9F">
        <w:t xml:space="preserve"> </w:t>
      </w:r>
      <w:r w:rsidR="00775E9F">
        <w:fldChar w:fldCharType="begin"/>
      </w:r>
      <w:r w:rsidR="00775E9F">
        <w:instrText xml:space="preserve"> ADDIN ZOTERO_ITEM CSL_CITATION {"citationID":"2q0ib8jb71","properties":{"formattedCitation":"(Smith &amp; Smith, 2012)","plainCitation":"(Smith &amp; Smith, 2012)"},"citationItems":[{"id":1281,"uris":["http://zotero.org/users/local/d1gJDEOw/items/VI46VZHK"],"uri":["http://zotero.org/users/local/d1gJDEOw/items/VI46VZHK"],"itemData":{"id":1281,"type":"article-journal","title":"Fresh perspectives on the roles of arbuscular mycorrhizal fungi in plant nutrition and growth","container-title":"Mycologia","page":"1-13","volume":"104","issue":"1","archive_location":"WOS:000299352000001","abstract":"Recent research on arbuscular mycorrhizas has demonstrated that AM fungi play a significant role in plant: phosphorus (P) uptake, regardless of whether the plant responds positively to colonization in terms of growth or P content. Here we focus particularly on implications of this finding for consideration of the balance between organic carbon (C) use by the fungi and P delivery (i.e. the C P trade between the symbionts). Positive growth responses to arbuscular mycorrhizal (AM) colonization are attributed frequently to increased P uptake via the fungus, which results in relief of P deficiency and increased growth. Zero AM responses, compared with non-mycorrhizal (NM) plants, have conventionally been attributed to failure of the fungi to deliver P to the plants. Negative responses, combined with excessive C use, have been attributed to this failure. The fungi were viewed as parasites. Demonstration that the AM pathway of P uptake operates in such plants indicates that direct P uptake by the roots is reduced and that the fungi are not parasites but mutualists because they deliver P as well as using C. We suggest that poor plant growth is the result of P deficiency because AM fungi lower the amount of P taken up directly by roots but the AM uptake of P does compensate for the reduction. The implications of interplay between direct root. uptake and AM fungal uptake of P also include increased tolerance of AM plants to toxins such as arsenate and increased success when competing with NM plants. Finally we discuss the new information on C P trade in the context of control of the symbiosis by the fungus or the plant, including new information (from NM plants) on sugar transport and on the role of sucrose in the signaling network involved in responses of plants to P deprivation.","DOI":"10.3852/11-229","ISSN":"0027-5514","shortTitle":"Fresh perspectives on the roles of arbuscular mycorrhizal fungi in plant nutrition and growth","journalAbbreviation":"Mycologia","language":"English","author":[{"family":"Smith","given":"S. E."},{"family":"Smith","given":"F. A."}],"issued":{"date-parts":[["2012",1]]}}}],"schema":"https://github.com/citation-style-language/schema/raw/master/csl-citation.json"} </w:instrText>
      </w:r>
      <w:r w:rsidR="00775E9F">
        <w:fldChar w:fldCharType="separate"/>
      </w:r>
      <w:r w:rsidR="00775E9F" w:rsidRPr="00775E9F">
        <w:rPr>
          <w:rFonts w:cs="Times New Roman"/>
        </w:rPr>
        <w:t>(Smith &amp; Smith, 2012)</w:t>
      </w:r>
      <w:r w:rsidR="00775E9F">
        <w:fldChar w:fldCharType="end"/>
      </w:r>
      <w:r w:rsidRPr="00AA22EE">
        <w:t>. This may be the case even in situations where neutral or negative g</w:t>
      </w:r>
      <w:r w:rsidR="002707ED">
        <w:t xml:space="preserve">rowth responses are observed due to down </w:t>
      </w:r>
      <w:r w:rsidRPr="00AA22EE">
        <w:t>regulation of direct P uptake by</w:t>
      </w:r>
      <w:r w:rsidR="002707ED">
        <w:t xml:space="preserve"> colonised</w:t>
      </w:r>
      <w:r w:rsidRPr="00AA22EE">
        <w:t xml:space="preserve"> plant roots</w:t>
      </w:r>
      <w:r w:rsidR="00775E9F">
        <w:t xml:space="preserve"> </w:t>
      </w:r>
      <w:r w:rsidR="00775E9F">
        <w:fldChar w:fldCharType="begin"/>
      </w:r>
      <w:r w:rsidR="00775E9F">
        <w:instrText xml:space="preserve"> ADDIN ZOTERO_ITEM CSL_CITATION {"citationID":"2347cbo1lt","properties":{"formattedCitation":"{\\rtf (Smith {\\i{}et al.}, 2004)}","plainCitation":"(Smith et al., 2004)"},"citationItems":[{"id":1283,"uris":["http://zotero.org/users/local/d1gJDEOw/items/DRZQHBPU"],"uri":["http://zotero.org/users/local/d1gJDEOw/items/DRZQHBPU"],"itemData":{"id":1283,"type":"article-journal","title":"Functional diversity in arbuscular mycorrhizal (AM) symbioses: the contribution of the mycorrhizal P uptake pathway is not correlated with mycorrhizal responses in growth or total P uptake","container-title":"New Phytologist","page":"511-524","volume":"162","issue":"2","archive_location":"WOS:000221058900024","abstract":"We investigated structural and functional diversity in arbuscular mycorrhizal (AM) symbioses involving three plant species and three AAA fungi and measured contributions of the fungi to P uptake using compartmented pots and P-33. The plant/ fungus combinations varied in growth and P responses. Flax (Linum usitatissimum) responded positively to all fungi, and medic (Medicago truncatula) to Glomus caledonium and G. intraradices, but not Gigaspora rosea. Tomato (Lycopersicon esculentum) showed no positive responses. Hyphal growth in soil was very low for Gi. rosea and high for both Glomus spp. Hyphal lengths in root + hyphal compartment (RHC) and hyphal compartment (HQ were similar for G. intraradices, but much higher in HC for G. caledonium. Specific activities of P-33 in plants and soil indicated that fungal P uptake made substantial contributions to five plant/fungus combinations and significant contributions to a further two. G. intraradices delivered close to 100% of the P in all three plants. G. caledonium and Gi. rosea delivered less P. The amount was not related to colonisation or to growth or P responses. We conclude that: AM colonisation can result in complete inactivation of the direct P uptake pathway via root hairs and epidermis; calculations of AM contributions to P uptake from total plant P will often be highly inaccurate; and lack of plant responsiveness does not mean that an AM fungus makes no contribution to P uptake.","DOI":"10.1111/j.1469-8137.2004.01039.x","ISSN":"0028-646X","shortTitle":"Functional diversity in arbuscular mycorrhizal (AM) symbioses: the contribution of the mycorrhizal P uptake pathway is not correlated with mycorrhizal responses in growth or total P uptake","journalAbbreviation":"New Phytol.","language":"English","author":[{"family":"Smith","given":"S. E."},{"family":"Smith","given":"F. A."},{"family":"Jakobsen","given":"I."}],"issued":{"date-parts":[["2004",5]]}}}],"schema":"https://github.com/citation-style-language/schema/raw/master/csl-citation.json"} </w:instrText>
      </w:r>
      <w:r w:rsidR="00775E9F">
        <w:fldChar w:fldCharType="separate"/>
      </w:r>
      <w:r w:rsidR="00775E9F" w:rsidRPr="00775E9F">
        <w:rPr>
          <w:rFonts w:cs="Times New Roman"/>
          <w:szCs w:val="24"/>
        </w:rPr>
        <w:t xml:space="preserve">(Smith </w:t>
      </w:r>
      <w:r w:rsidR="00775E9F" w:rsidRPr="00775E9F">
        <w:rPr>
          <w:rFonts w:cs="Times New Roman"/>
          <w:i/>
          <w:iCs/>
          <w:szCs w:val="24"/>
        </w:rPr>
        <w:t>et al.</w:t>
      </w:r>
      <w:r w:rsidR="00775E9F" w:rsidRPr="00775E9F">
        <w:rPr>
          <w:rFonts w:cs="Times New Roman"/>
          <w:szCs w:val="24"/>
        </w:rPr>
        <w:t>, 2004)</w:t>
      </w:r>
      <w:r w:rsidR="00775E9F">
        <w:fldChar w:fldCharType="end"/>
      </w:r>
      <w:r w:rsidRPr="00AA22EE">
        <w:t xml:space="preserve">. </w:t>
      </w:r>
    </w:p>
    <w:p w:rsidR="007E60E4" w:rsidRPr="00AA22EE" w:rsidRDefault="007E60E4" w:rsidP="007E60E4">
      <w:pPr>
        <w:pStyle w:val="Heading3"/>
        <w:rPr>
          <w:rFonts w:cs="Times New Roman"/>
        </w:rPr>
      </w:pPr>
      <w:bookmarkStart w:id="24" w:name="_Toc463208975"/>
      <w:bookmarkStart w:id="25" w:name="_Toc469855000"/>
      <w:bookmarkStart w:id="26" w:name="_Toc469856000"/>
      <w:bookmarkStart w:id="27" w:name="_Ref469864260"/>
      <w:bookmarkStart w:id="28" w:name="_Toc469931909"/>
      <w:bookmarkStart w:id="29" w:name="_Toc469982231"/>
      <w:r w:rsidRPr="00AA22EE">
        <w:rPr>
          <w:rFonts w:cs="Times New Roman"/>
        </w:rPr>
        <w:t>Disease resistance</w:t>
      </w:r>
      <w:bookmarkEnd w:id="24"/>
      <w:bookmarkEnd w:id="25"/>
      <w:bookmarkEnd w:id="26"/>
      <w:bookmarkEnd w:id="27"/>
      <w:bookmarkEnd w:id="28"/>
      <w:bookmarkEnd w:id="29"/>
    </w:p>
    <w:p w:rsidR="007E60E4" w:rsidRDefault="007E60E4" w:rsidP="00DC59CF">
      <w:r w:rsidRPr="00AA22EE">
        <w:t>Colon</w:t>
      </w:r>
      <w:r>
        <w:t>is</w:t>
      </w:r>
      <w:r w:rsidRPr="00AA22EE">
        <w:t>ation by AMF is known to improve health and growth both protecting against pathogen infection and reducing incidence of disease</w:t>
      </w:r>
      <w:r w:rsidR="00775E9F">
        <w:t xml:space="preserve"> </w:t>
      </w:r>
      <w:r w:rsidR="00775E9F">
        <w:fldChar w:fldCharType="begin"/>
      </w:r>
      <w:r w:rsidR="00775E9F">
        <w:instrText xml:space="preserve"> ADDIN ZOTERO_ITEM CSL_CITATION {"citationID":"1rdmnptq73","properties":{"formattedCitation":"{\\rtf (AzconAguilar &amp; Barea, 1996; Jung {\\i{}et al.}, 2012)}","plainCitation":"(AzconAguilar &amp; Barea, 1996; Jung et al., 2012)"},"citationItems":[{"id":846,"uris":["http://zotero.org/users/local/d1gJDEOw/items/IXVIFV5G"],"uri":["http://zotero.org/users/local/d1gJDEOw/items/IXVIFV5G"],"itemData":{"id":846,"type":"article-journal","title":"Arbuscular mycorrhizas and biological control of soil-borne plant pathogens - An overview of the mechanisms involved","container-title":"Mycorrhiza","page":"457-464","volume":"6","issue":"6","archive_location":"WOS:A1996WN69700001","abstract":"Biological control of plant pathogens is currently accepted as a key practice in sustainable agriculture because it is based on the management of a natural resource, i.e. certain rhizosphere organisms, common components of ecosystems, known to develop antagonistic activities against harmful organisms (bacteria, fungi, nematodes etc.). Arbuscular mycorrhizal (AM) associations have been shown to reduce damage caused by soil-borne plant pathogens. Although few AM isolates have been tested in this regard, some appear to be more effective than others. Furthermore, the degree of protection varies with the pathogen involved and can be modified by soil and other environmental conditions. This prophylactic ability of AM fungi could be exploited in cooperation with other rhizospheric microbial angatonists to improve plant growth and health. Despite past achievements on the application of AM in plant protection, further research is needed for a better understanding of both the ecophysiological parameters contributing to effectiveness and of the mechanisms involved. Although the improvement of plant nutrition, compensation for pathogen damage, and competition for photosynthates or colonization/infection sites have been claimed to play a protective role in the AM symbiosis, information is scarce, fragmentary or even controversial, particularly concerning other mechanisms. Such mechanisms include (a) anatomical or morphological AM-induced changes in the root system, (b) microbial changes in rhizosphere populations of AM plants, and (c) local elicitation of plant defence mechanisms by AM fungi. Although compounds typically involved in plant defence reactions are elicited by AM only in low amounts, they could act locally or transiently by making the root more prone to react against pathogens. Current research based on molecular, immunological and histochemical techniques is providing new insights into these mechanisms.","ISSN":"0940-6360","shortTitle":"Arbuscular mycorrhizas and biological control of soil-borne plant pathogens - An overview of the mechanisms involved","author":[{"family":"AzconAguilar","given":"C."},{"family":"Barea","given":"J. M."}],"issued":{"date-parts":[["1996"]]}}},{"id":73,"uris":["http://zotero.org/users/local/d1gJDEOw/items/CIKUHM33"],"uri":["http://zotero.org/users/local/d1gJDEOw/items/CIKUHM33"],"itemData":{"id":73,"type":"article-journal","title":"Mycorrhiza-Induced Resistance and Priming of Plant Defenses","container-title":"Journal of Chemical Ecology","page":"651-664","volume":"38","issue":"6","abstract":"Symbioses between plants and beneficial soil microorganisms like arbuscular-mycorrhizal fungi (AMF) are known to promote plant growth and help plants to cope with biotic and abiotic stresses. Profound physiological changes take place in the host plant upon root colonization by AMF affecting the interactions with a wide range of organisms below- and above-ground. Protective effects of the symbiosis against pathogens, pests, and parasitic plants have been described for many plant species, including agriculturally important crop varieties. Besides mechanisms such as improved plant nutrition and competition, experimental evidence supports a major role of plant defenses in the observed protection. During mycorrhiza establishment, modulation of plant defense responses occurs thus achieving a functional symbiosis. As a consequence of this modulation, a mild, but effective activation of the plant immune responses seems to occur, not only locally but also systemically. This activation leads to a primed state of the plant that allows a more efficient activation of defense mechanisms in response to attack by potential enemies. Here, we give an overview of the impact on interactions between mycorrhizal plants and pathogens, herbivores, and parasitic plants, and we summarize the current knowledge of the underlying mechanisms. We focus on the priming of jasmonate-regulated plant defense mechanisms that play a central role in the induction of resistance by arbuscular mycorrhizas.","DOI":"10.1007/s10886-012-0134-6","ISSN":"1573-1561","journalAbbreviation":"Journal of Chemical Ecology","author":[{"family":"Jung","given":"Sabine C."},{"family":"Martinez-Medina","given":"Ainhoa"},{"family":"Lopez-Raez","given":"Juan A."},{"family":"Pozo","given":"Maria J."}],"issued":{"date-parts":[["2012"]]}}}],"schema":"https://github.com/citation-style-language/schema/raw/master/csl-citation.json"} </w:instrText>
      </w:r>
      <w:r w:rsidR="00775E9F">
        <w:fldChar w:fldCharType="separate"/>
      </w:r>
      <w:r w:rsidR="00775E9F" w:rsidRPr="00775E9F">
        <w:rPr>
          <w:rFonts w:cs="Times New Roman"/>
          <w:szCs w:val="24"/>
        </w:rPr>
        <w:t>(</w:t>
      </w:r>
      <w:proofErr w:type="spellStart"/>
      <w:r w:rsidR="00775E9F" w:rsidRPr="00775E9F">
        <w:rPr>
          <w:rFonts w:cs="Times New Roman"/>
          <w:szCs w:val="24"/>
        </w:rPr>
        <w:t>AzconAguilar</w:t>
      </w:r>
      <w:proofErr w:type="spellEnd"/>
      <w:r w:rsidR="00775E9F" w:rsidRPr="00775E9F">
        <w:rPr>
          <w:rFonts w:cs="Times New Roman"/>
          <w:szCs w:val="24"/>
        </w:rPr>
        <w:t xml:space="preserve"> &amp; </w:t>
      </w:r>
      <w:proofErr w:type="spellStart"/>
      <w:r w:rsidR="00775E9F" w:rsidRPr="00775E9F">
        <w:rPr>
          <w:rFonts w:cs="Times New Roman"/>
          <w:szCs w:val="24"/>
        </w:rPr>
        <w:t>Barea</w:t>
      </w:r>
      <w:proofErr w:type="spellEnd"/>
      <w:r w:rsidR="00775E9F" w:rsidRPr="00775E9F">
        <w:rPr>
          <w:rFonts w:cs="Times New Roman"/>
          <w:szCs w:val="24"/>
        </w:rPr>
        <w:t xml:space="preserve">, 1996; Jung </w:t>
      </w:r>
      <w:r w:rsidR="00775E9F" w:rsidRPr="00775E9F">
        <w:rPr>
          <w:rFonts w:cs="Times New Roman"/>
          <w:i/>
          <w:iCs/>
          <w:szCs w:val="24"/>
        </w:rPr>
        <w:t>et al.</w:t>
      </w:r>
      <w:r w:rsidR="00775E9F" w:rsidRPr="00775E9F">
        <w:rPr>
          <w:rFonts w:cs="Times New Roman"/>
          <w:szCs w:val="24"/>
        </w:rPr>
        <w:t>, 2012)</w:t>
      </w:r>
      <w:r w:rsidR="00775E9F">
        <w:fldChar w:fldCharType="end"/>
      </w:r>
      <w:r w:rsidRPr="00AA22EE">
        <w:t>. There are now a large number of studies documenting improved below ground protection by AM</w:t>
      </w:r>
      <w:r>
        <w:t>F</w:t>
      </w:r>
      <w:r w:rsidRPr="00AA22EE">
        <w:t xml:space="preserve"> plants to a wide range of pathogens including from pathogenic fungi</w:t>
      </w:r>
      <w:r w:rsidR="00EF6844">
        <w:t xml:space="preserve"> </w:t>
      </w:r>
      <w:r w:rsidR="00EF6844">
        <w:fldChar w:fldCharType="begin"/>
      </w:r>
      <w:r w:rsidR="00EF6844">
        <w:instrText xml:space="preserve"> ADDIN ZOTERO_ITEM CSL_CITATION {"citationID":"1odif7ldnh","properties":{"formattedCitation":"{\\rtf (Krishna {\\i{}et al.}, 2010)}","plainCitation":"(Krishna et al., 2010)"},"citationItems":[{"id":18,"uris":["http://zotero.org/users/local/d1gJDEOw/items/F68EWQ2G"],"uri":["http://zotero.org/users/local/d1gJDEOw/items/F68EWQ2G"],"itemData":{"id":18,"type":"article-journal","title":"Suppression of Botryosphaeria canker of apple by arbuscular mycorrhizal fungi","container-title":"Crop Protection","page":"1049-1054","volume":"29","issue":"9","source":"ScienceDirect","abstract":"Stem brown canker or Botryosphaeria canker disease impairs the growth and kills the shoots, limbs and even trunks of infected apple trees. Apple roots are usually colonized by arbuscular mycorrhizal fungi, which may have a positive influence on plant growth and suppression of diseases. In order to assess the efficacy of AM to suppress the disease severity and plant growth enhancement, nine AMF inoculation treatments (Sclerocystis dussi, Glomus intraradices, G. fasciculatum, G. bagyaraji, G. leptotichum, G. monosporum, Gigaspora margarita, a mixed AM culture and a non-mycorrhizal control treatment) were used in this present study. Two-year-old potted apple plants, maintained under glasshouse conditions, were either pre-inoculated with AMF followed by stem inoculation with Botryosphaeria ribis or simultaneously inoculated with Botryosphaeria ribis and AM. The results indicated that the incidence of canker was less severe in plants inoculated with AMF in comparison to non-mycorrhizal control. Timing of inoculation also had a significant effect on disease development and plant survival. Plants pre-inoculated with mycorrhiza performed better over those inoculated simultaneously with Botryosphaeria ribis and AM fungi. Furthermore, AM inoculation resulted in improved survival and growth of AMF-colonized plants; though, it varied by species of AM fungi utilized.","DOI":"10.1016/j.cropro.2010.05.005","ISSN":"0261-2194","journalAbbreviation":"Crop Protection","author":[{"family":"Krishna","given":"Hare"},{"family":"Das","given":"Biswajit"},{"family":"Attri","given":"Brij Lal"},{"family":"Grover","given":"Minakshi"},{"family":"Ahmed","given":"Nazeer"}],"issued":{"date-parts":[["2010",9]]}}}],"schema":"https://github.com/citation-style-language/schema/raw/master/csl-citation.json"} </w:instrText>
      </w:r>
      <w:r w:rsidR="00EF6844">
        <w:fldChar w:fldCharType="separate"/>
      </w:r>
      <w:r w:rsidR="00EF6844" w:rsidRPr="00EF6844">
        <w:rPr>
          <w:rFonts w:cs="Times New Roman"/>
          <w:szCs w:val="24"/>
        </w:rPr>
        <w:t xml:space="preserve">(Krishna </w:t>
      </w:r>
      <w:r w:rsidR="00EF6844" w:rsidRPr="00EF6844">
        <w:rPr>
          <w:rFonts w:cs="Times New Roman"/>
          <w:i/>
          <w:iCs/>
          <w:szCs w:val="24"/>
        </w:rPr>
        <w:t>et al.</w:t>
      </w:r>
      <w:r w:rsidR="00EF6844" w:rsidRPr="00EF6844">
        <w:rPr>
          <w:rFonts w:cs="Times New Roman"/>
          <w:szCs w:val="24"/>
        </w:rPr>
        <w:t>, 2010)</w:t>
      </w:r>
      <w:r w:rsidR="00EF6844">
        <w:fldChar w:fldCharType="end"/>
      </w:r>
      <w:r w:rsidRPr="00AA22EE">
        <w:t>, nematodes</w:t>
      </w:r>
      <w:r w:rsidR="00C75328">
        <w:t xml:space="preserve"> and root feeding invertebrates</w:t>
      </w:r>
      <w:r w:rsidR="00EF6844">
        <w:t xml:space="preserve"> </w:t>
      </w:r>
      <w:r w:rsidR="00EF6844">
        <w:fldChar w:fldCharType="begin"/>
      </w:r>
      <w:r w:rsidR="00EF6844">
        <w:instrText xml:space="preserve"> ADDIN ZOTERO_ITEM CSL_CITATION {"citationID":"2ov6tqh62j","properties":{"formattedCitation":"{\\rtf (Hao {\\i{}et al.}, 2012)}","plainCitation":"(Hao et al., 2012)"},"citationItems":[{"id":88,"uris":["http://zotero.org/users/local/d1gJDEOw/items/PMZ233X9"],"uri":["http://zotero.org/users/local/d1gJDEOw/items/PMZ233X9"],"itemData":{"id":88,"type":"article-journal","title":"Local and systemic mycorrhiza-induced protection against the ectoparasitic nematode Xiphinema index involves priming of defence gene responses in grapevine","container-title":"Journal of Experimental Botany","page":"3657-3672","volume":"63","issue":"10","source":"jxb.oxfordjournals.org","abstract":"The ectoparasitic dagger nematode (Xiphinema index), vector of Grapevine fanleaf virus (GFLV), provokes gall formation and can cause severe damage to the root system of grapevines. Mycorrhiza formation by Glomus (syn. Rhizophagus) intraradices BEG141 reduced both gall formation on roots of the grapevine rootstock SO4 (Vitis berlandieri×V. riparia) and nematode number in the surrounding soil. Suppressive effects increased with time and were greater when the nematode was post-inoculated rather than co-inoculated with the arbuscular mycorrhizal (AM) fungus. Using a split-root system, decreased X. index development was shown in mycorrhizal and non-mycorrhizal parts of mycorrhizal root systems, indicating that both local and systemic induced bioprotection mechanisms were active against the ectoparasitic nematode. Expression analyses of ESTs (expressed sequence tags) generated in an SSH (subtractive suppressive hybridization) library, representing plant genes up-regulated during mycorrhiza-induced control of X. index, and of described grapevine defence genes showed activation of chitinase 1b, pathogenesis-related 10, glutathione S-transferase, stilbene synthase 1, 5-enolpyruvyl shikimate-3-phosphate synthase, and a heat shock proein 70-interacting protein in association with the observed local and/or systemic induced bioprotection against the nematode. Overall, the data suggest priming of grapevine defence responses by the AM fungus and transmission of a plant-mediated signal to non-mycorrhizal tissues. Grapevine gene responses during AM-induced local and systemic bioprotection against X. index point to biological processes that are related either to direct effects on the nematode or to protection against nematode-imposed stress to maintain root tissue integrity.","DOI":"10.1093/jxb/ers046","ISSN":"0022-0957, 1460-2431","note":"PMID: 22407649","journalAbbreviation":"J. Exp. Bot.","language":"en","author":[{"family":"Hao","given":"Zhipeng"},{"family":"Fayolle","given":"Léon"},{"family":"Tuinen","given":"Diederik","dropping-particle":"van"},{"family":"Chatagnier","given":"Odile"},{"family":"Li","given":"Xiaolin"},{"family":"Gianinazzi","given":"Silvio"},{"family":"Gianinazzi-Pearson","given":"Vivienne"}],"issued":{"date-parts":[["2012",1,6]]}}}],"schema":"https://github.com/citation-style-language/schema/raw/master/csl-citation.json"} </w:instrText>
      </w:r>
      <w:r w:rsidR="00EF6844">
        <w:fldChar w:fldCharType="separate"/>
      </w:r>
      <w:r w:rsidR="00EF6844" w:rsidRPr="00EF6844">
        <w:rPr>
          <w:rFonts w:cs="Times New Roman"/>
          <w:szCs w:val="24"/>
        </w:rPr>
        <w:t>(</w:t>
      </w:r>
      <w:proofErr w:type="spellStart"/>
      <w:r w:rsidR="00EF6844" w:rsidRPr="00EF6844">
        <w:rPr>
          <w:rFonts w:cs="Times New Roman"/>
          <w:szCs w:val="24"/>
        </w:rPr>
        <w:t>Hao</w:t>
      </w:r>
      <w:proofErr w:type="spellEnd"/>
      <w:r w:rsidR="00EF6844" w:rsidRPr="00EF6844">
        <w:rPr>
          <w:rFonts w:cs="Times New Roman"/>
          <w:szCs w:val="24"/>
        </w:rPr>
        <w:t xml:space="preserve"> </w:t>
      </w:r>
      <w:r w:rsidR="00EF6844" w:rsidRPr="00EF6844">
        <w:rPr>
          <w:rFonts w:cs="Times New Roman"/>
          <w:i/>
          <w:iCs/>
          <w:szCs w:val="24"/>
        </w:rPr>
        <w:t>et al.</w:t>
      </w:r>
      <w:r w:rsidR="00EF6844" w:rsidRPr="00EF6844">
        <w:rPr>
          <w:rFonts w:cs="Times New Roman"/>
          <w:szCs w:val="24"/>
        </w:rPr>
        <w:t>, 2012)</w:t>
      </w:r>
      <w:r w:rsidR="00EF6844">
        <w:fldChar w:fldCharType="end"/>
      </w:r>
      <w:r w:rsidR="00C75328">
        <w:t xml:space="preserve">. </w:t>
      </w:r>
      <w:r w:rsidR="006D3F7A">
        <w:t xml:space="preserve">Additionally AMF may </w:t>
      </w:r>
      <w:r w:rsidRPr="00AA22EE">
        <w:t>improve above ground protection against stem and leaf pathogens</w:t>
      </w:r>
      <w:r w:rsidR="00EF6844">
        <w:t xml:space="preserve"> </w:t>
      </w:r>
      <w:r w:rsidR="00EF6844">
        <w:fldChar w:fldCharType="begin"/>
      </w:r>
      <w:r w:rsidR="00EF6844">
        <w:instrText xml:space="preserve"> ADDIN ZOTERO_ITEM CSL_CITATION {"citationID":"2ar41hspto","properties":{"formattedCitation":"{\\rtf (Krishna {\\i{}et al.}, 2010; Campos-Soriano {\\i{}et al.}, 2012)}","plainCitation":"(Krishna et al., 2010; Campos-Soriano et al., 2012)"},"citationItems":[{"id":18,"uris":["http://zotero.org/users/local/d1gJDEOw/items/F68EWQ2G"],"uri":["http://zotero.org/users/local/d1gJDEOw/items/F68EWQ2G"],"itemData":{"id":18,"type":"article-journal","title":"Suppression of Botryosphaeria canker of apple by arbuscular mycorrhizal fungi","container-title":"Crop Protection","page":"1049-1054","volume":"29","issue":"9","source":"ScienceDirect","abstract":"Stem brown canker or Botryosphaeria canker disease impairs the growth and kills the shoots, limbs and even trunks of infected apple trees. Apple roots are usually colonized by arbuscular mycorrhizal fungi, which may have a positive influence on plant growth and suppression of diseases. In order to assess the efficacy of AM to suppress the disease severity and plant growth enhancement, nine AMF inoculation treatments (Sclerocystis dussi, Glomus intraradices, G. fasciculatum, G. bagyaraji, G. leptotichum, G. monosporum, Gigaspora margarita, a mixed AM culture and a non-mycorrhizal control treatment) were used in this present study. Two-year-old potted apple plants, maintained under glasshouse conditions, were either pre-inoculated with AMF followed by stem inoculation with Botryosphaeria ribis or simultaneously inoculated with Botryosphaeria ribis and AM. The results indicated that the incidence of canker was less severe in plants inoculated with AMF in comparison to non-mycorrhizal control. Timing of inoculation also had a significant effect on disease development and plant survival. Plants pre-inoculated with mycorrhiza performed better over those inoculated simultaneously with Botryosphaeria ribis and AM fungi. Furthermore, AM inoculation resulted in improved survival and growth of AMF-colonized plants; though, it varied by species of AM fungi utilized.","DOI":"10.1016/j.cropro.2010.05.005","ISSN":"0261-2194","journalAbbreviation":"Crop Protection","author":[{"family":"Krishna","given":"Hare"},{"family":"Das","given":"Biswajit"},{"family":"Attri","given":"Brij Lal"},{"family":"Grover","given":"Minakshi"},{"family":"Ahmed","given":"Nazeer"}],"issued":{"date-parts":[["2010",9]]}}},{"id":103,"uris":["http://zotero.org/users/local/d1gJDEOw/items/D25FEAXF"],"uri":["http://zotero.org/users/local/d1gJDEOw/items/D25FEAXF"],"itemData":{"id":103,"type":"article-journal","title":"The arbuscular mycorrhizal symbiosis promotes the systemic induction of regulatory defence-related genes in rice leaves and confers resistance to pathogen infection","container-title":"Molecular Plant Pathology","page":"579-592","volume":"13","issue":"6","source":"Wiley Online Library","abstract":"Arbuscular mycorrhizal (AM) symbioses are mutualistic associations between soil fungi and most vascular plants. Their association benefits the host plant by improving nutrition, mainly phosphorus nutrition, and by providing increased capability to cope with adverse conditions. In this study, we investigated the transcriptional changes triggered in rice leaves as a result of AM symbiosis, focusing on the relevance of the plant defence response. We showed that root colonization by the AM fungus Glomus intraradices is accompanied by the systemic induction of genes that play a regulatory role in the host defence response, such as OsNPR1, OsAP2, OsEREBP and OsJAmyb. Genes involved in signal transduction processes (OsDUF26 and OsMPK6) and genes that function in calcium-mediated signalling processes (OsCBP, OsCaM and OsCML4) are also up-regulated in leaves of mycorrhizal rice plants in the absence of pathogen infection. In addition, the mycorrhizal rice plants exhibit a stronger induction of defence marker genes [i.e. pathogenesis-related (PR) genes] in their leaves in response to infection by the blast fungus Magnaporthe oryzae. Evidence indicates that mycorrhizal rice plants show enhanced resistance to the rice blast fungus. Overall, these results suggest that the protective effect of the AM symbiosis in rice plants relies on both the systemic activation of defence regulatory genes in the absence of pathogen challenge and the priming for stronger expression of defence effector genes during pathogen infection. The possible mechanisms involved in the mycorrhiza-induced resistance to M. oryzae infection are discussed.","DOI":"10.1111/j.1364-3703.2011.00773.x","ISSN":"1364-3703","language":"en","author":[{"family":"Campos-Soriano","given":"Lidia"},{"family":"García-Martínez","given":"José"},{"family":"Segundo","given":"Blanca San"}],"issued":{"date-parts":[["2012",8,1]]}}}],"schema":"https://github.com/citation-style-language/schema/raw/master/csl-citation.json"} </w:instrText>
      </w:r>
      <w:r w:rsidR="00EF6844">
        <w:fldChar w:fldCharType="separate"/>
      </w:r>
      <w:r w:rsidR="00EF6844" w:rsidRPr="00EF6844">
        <w:rPr>
          <w:rFonts w:cs="Times New Roman"/>
          <w:szCs w:val="24"/>
        </w:rPr>
        <w:t xml:space="preserve">(Krishna </w:t>
      </w:r>
      <w:r w:rsidR="00EF6844" w:rsidRPr="00EF6844">
        <w:rPr>
          <w:rFonts w:cs="Times New Roman"/>
          <w:i/>
          <w:iCs/>
          <w:szCs w:val="24"/>
        </w:rPr>
        <w:t>et al.</w:t>
      </w:r>
      <w:r w:rsidR="00EF6844" w:rsidRPr="00EF6844">
        <w:rPr>
          <w:rFonts w:cs="Times New Roman"/>
          <w:szCs w:val="24"/>
        </w:rPr>
        <w:t xml:space="preserve">, 2010; Campos-Soriano </w:t>
      </w:r>
      <w:r w:rsidR="00EF6844" w:rsidRPr="00EF6844">
        <w:rPr>
          <w:rFonts w:cs="Times New Roman"/>
          <w:i/>
          <w:iCs/>
          <w:szCs w:val="24"/>
        </w:rPr>
        <w:t>et al.</w:t>
      </w:r>
      <w:r w:rsidR="00EF6844" w:rsidRPr="00EF6844">
        <w:rPr>
          <w:rFonts w:cs="Times New Roman"/>
          <w:szCs w:val="24"/>
        </w:rPr>
        <w:t>, 2012)</w:t>
      </w:r>
      <w:r w:rsidR="00EF6844">
        <w:fldChar w:fldCharType="end"/>
      </w:r>
      <w:r w:rsidR="00EF6844">
        <w:t>.</w:t>
      </w:r>
    </w:p>
    <w:p w:rsidR="007E60E4" w:rsidRPr="00AA22EE" w:rsidRDefault="007E60E4" w:rsidP="00DC59CF">
      <w:r>
        <w:t>Th</w:t>
      </w:r>
      <w:r w:rsidRPr="00AA22EE">
        <w:t>ere are a number of mechanisms by which AM</w:t>
      </w:r>
      <w:r w:rsidR="006D3F7A">
        <w:t>F</w:t>
      </w:r>
      <w:r w:rsidRPr="00AA22EE">
        <w:t xml:space="preserve"> provide protecti</w:t>
      </w:r>
      <w:r>
        <w:t>on to plants against pathogens (</w:t>
      </w:r>
      <w:r w:rsidRPr="00D26802">
        <w:fldChar w:fldCharType="begin"/>
      </w:r>
      <w:r w:rsidRPr="00D26802">
        <w:instrText xml:space="preserve"> REF _Ref469844064 \h  \* MERGEFORMAT </w:instrText>
      </w:r>
      <w:r w:rsidRPr="00D26802">
        <w:fldChar w:fldCharType="separate"/>
      </w:r>
      <w:r w:rsidR="00E0714D" w:rsidRPr="00E57CEB">
        <w:t xml:space="preserve">Figure </w:t>
      </w:r>
      <w:r w:rsidR="00E0714D">
        <w:rPr>
          <w:noProof/>
        </w:rPr>
        <w:t>1.2</w:t>
      </w:r>
      <w:r w:rsidRPr="00D26802">
        <w:fldChar w:fldCharType="end"/>
      </w:r>
      <w:r w:rsidRPr="00D26802">
        <w:t>)</w:t>
      </w:r>
      <w:r>
        <w:t>.</w:t>
      </w:r>
      <w:r w:rsidR="008C190E">
        <w:t xml:space="preserve"> </w:t>
      </w:r>
      <w:r w:rsidRPr="00AA22EE">
        <w:t>Im</w:t>
      </w:r>
      <w:r w:rsidR="006D3F7A">
        <w:t xml:space="preserve">proved disease resistance of AMF </w:t>
      </w:r>
      <w:r w:rsidRPr="00AA22EE">
        <w:t>plants has often been explained by increased plant health due to improved nutrition</w:t>
      </w:r>
      <w:r w:rsidR="00EF6844">
        <w:t xml:space="preserve"> </w:t>
      </w:r>
      <w:r w:rsidR="00EF6844">
        <w:fldChar w:fldCharType="begin"/>
      </w:r>
      <w:r w:rsidR="00EF6844">
        <w:instrText xml:space="preserve"> ADDIN ZOTERO_ITEM CSL_CITATION {"citationID":"1albpbp8oj","properties":{"formattedCitation":"(Harrier &amp; Watson, 2004)","plainCitation":"(Harrier &amp; Watson, 2004)"},"citationItems":[{"id":992,"uris":["http://zotero.org/users/local/d1gJDEOw/items/BICBT7TF"],"uri":["http://zotero.org/users/local/d1gJDEOw/items/BICBT7TF"],"itemData":{"id":992,"type":"article-journal","title":"The potential role of arbuscular mycorrhizal (AM) fungi in the bioprotection of plants against soil-borne pathogens in organic and/or other sustainable farming systems","container-title":"Pest Management Science","page":"149-157","volume":"60","issue":"2","archive_location":"WOS:000188502300007","abstract":"Sustainable farming systems strive to minimise the use of synthetic pesticides and to optimise the use of alternative management strategies to control soil-borne pathogens. Arbuscular mycorrhizal (AM) fungi are ubiquitous in nature and constitute an integral component of terrestrial ecosystems, forming symbiotic associations with plant root systems of over 80% of all terrestrial plant species, including many agronomically important species. AM fungi are particularly important in organic and/or sustainable farming systems that rely on biological processes rather than agrochemicals to control plant diseases. Of particular importance is the bioprotection conferred to plants against many soil-borne pathogens such as species of Aphanomyces, Cylindrocladium, Fusarium, Macrophomina, Phytophthora, Pythium, Rhizoctonia, Sclerotinium, Verticillium and Thielaviopsis and various nematodes by AM fungal colonisation of the plant root. However, the exact mechanisms by which AM fungal colonisation confers the protective effect are not completely understood, but a greater understanding of these beneficial interactions is necessary for the exploitation of AM fungi within organic and/or sustainable farming systems. In this review, we aim to discuss the potential mechanisms by which AM fungi may contribute to bioprotection against plant soil-borne pathogens. Bioprotection within AM fungal-colonised plants is the outcome of complex interactions between plants, pathogens and AM fungi. The use of molecular tools in the study of these multifaceted interactions may aid the optimisation of the bioprotective responses and their utility within sustainable farming systems. (C) 2004 Society of Chemical Industry.","DOI":"10.1002/ps.820","ISSN":"1526-498X","shortTitle":"The potential role of arbuscular mycorrhizal (AM) fungi in the bioprotection of plants against soil-borne pathogens in organic and/or other sustainable farming systems","journalAbbreviation":"Pest Manag. Sci.","language":"English","author":[{"family":"Harrier","given":"L. A."},{"family":"Watson","given":"C. A."}],"issued":{"date-parts":[["2004",2]]}}}],"schema":"https://github.com/citation-style-language/schema/raw/master/csl-citation.json"} </w:instrText>
      </w:r>
      <w:r w:rsidR="00EF6844">
        <w:fldChar w:fldCharType="separate"/>
      </w:r>
      <w:r w:rsidR="00EF6844" w:rsidRPr="00EF6844">
        <w:rPr>
          <w:rFonts w:cs="Times New Roman"/>
        </w:rPr>
        <w:t>(Harrier &amp; Watson, 2004)</w:t>
      </w:r>
      <w:r w:rsidR="00EF6844">
        <w:fldChar w:fldCharType="end"/>
      </w:r>
      <w:r w:rsidRPr="00AA22EE">
        <w:t xml:space="preserve"> however this cannot explain improved disease resistance entirely as studies show that enhanced nutrition of </w:t>
      </w:r>
      <w:r w:rsidR="00290532">
        <w:t>mycorrhizal</w:t>
      </w:r>
      <w:r w:rsidRPr="00AA22EE">
        <w:t xml:space="preserve"> plants does not always relate to improved protection to plants</w:t>
      </w:r>
      <w:r w:rsidR="00492A84">
        <w:t xml:space="preserve"> </w:t>
      </w:r>
      <w:r w:rsidR="00C75328" w:rsidRPr="00C75328">
        <w:rPr>
          <w:rFonts w:cs="Times New Roman"/>
        </w:rPr>
        <w:t>(</w:t>
      </w:r>
      <w:proofErr w:type="spellStart"/>
      <w:r w:rsidR="00C75328" w:rsidRPr="00C75328">
        <w:rPr>
          <w:rFonts w:cs="Times New Roman"/>
        </w:rPr>
        <w:t>Gange</w:t>
      </w:r>
      <w:proofErr w:type="spellEnd"/>
      <w:r w:rsidR="00C75328" w:rsidRPr="00C75328">
        <w:rPr>
          <w:rFonts w:cs="Times New Roman"/>
        </w:rPr>
        <w:t xml:space="preserve"> &amp; West, 1994)</w:t>
      </w:r>
      <w:r w:rsidRPr="00AA22EE">
        <w:t>. Recently AM</w:t>
      </w:r>
      <w:r w:rsidR="00290532">
        <w:t>F</w:t>
      </w:r>
      <w:r w:rsidRPr="00AA22EE">
        <w:t xml:space="preserve"> have been </w:t>
      </w:r>
      <w:r w:rsidR="00223448">
        <w:t>recognised</w:t>
      </w:r>
      <w:r w:rsidRPr="00AA22EE">
        <w:t xml:space="preserve"> to play a major role in plant protection by inducing an elevated state of plant defence response known as ‘priming’</w:t>
      </w:r>
      <w:r w:rsidR="00EF6844">
        <w:t xml:space="preserve"> </w:t>
      </w:r>
      <w:r w:rsidR="00EF6844">
        <w:fldChar w:fldCharType="begin"/>
      </w:r>
      <w:r w:rsidR="00EF6844">
        <w:instrText xml:space="preserve"> ADDIN ZOTERO_ITEM CSL_CITATION {"citationID":"5hl979tn2","properties":{"formattedCitation":"{\\rtf (Jung {\\i{}et al.}, 2012)}","plainCitation":"(Jung et al., 2012)"},"citationItems":[{"id":73,"uris":["http://zotero.org/users/local/d1gJDEOw/items/CIKUHM33"],"uri":["http://zotero.org/users/local/d1gJDEOw/items/CIKUHM33"],"itemData":{"id":73,"type":"article-journal","title":"Mycorrhiza-Induced Resistance and Priming of Plant Defenses","container-title":"Journal of Chemical Ecology","page":"651-664","volume":"38","issue":"6","abstract":"Symbioses between plants and beneficial soil microorganisms like arbuscular-mycorrhizal fungi (AMF) are known to promote plant growth and help plants to cope with biotic and abiotic stresses. Profound physiological changes take place in the host plant upon root colonization by AMF affecting the interactions with a wide range of organisms below- and above-ground. Protective effects of the symbiosis against pathogens, pests, and parasitic plants have been described for many plant species, including agriculturally important crop varieties. Besides mechanisms such as improved plant nutrition and competition, experimental evidence supports a major role of plant defenses in the observed protection. During mycorrhiza establishment, modulation of plant defense responses occurs thus achieving a functional symbiosis. As a consequence of this modulation, a mild, but effective activation of the plant immune responses seems to occur, not only locally but also systemically. This activation leads to a primed state of the plant that allows a more efficient activation of defense mechanisms in response to attack by potential enemies. Here, we give an overview of the impact on interactions between mycorrhizal plants and pathogens, herbivores, and parasitic plants, and we summarize the current knowledge of the underlying mechanisms. We focus on the priming of jasmonate-regulated plant defense mechanisms that play a central role in the induction of resistance by arbuscular mycorrhizas.","DOI":"10.1007/s10886-012-0134-6","ISSN":"1573-1561","journalAbbreviation":"Journal of Chemical Ecology","author":[{"family":"Jung","given":"Sabine C."},{"family":"Martinez-Medina","given":"Ainhoa"},{"family":"Lopez-Raez","given":"Juan A."},{"family":"Pozo","given":"Maria J."}],"issued":{"date-parts":[["2012"]]}}}],"schema":"https://github.com/citation-style-language/schema/raw/master/csl-citation.json"} </w:instrText>
      </w:r>
      <w:r w:rsidR="00EF6844">
        <w:fldChar w:fldCharType="separate"/>
      </w:r>
      <w:r w:rsidR="00EF6844" w:rsidRPr="00EF6844">
        <w:rPr>
          <w:rFonts w:cs="Times New Roman"/>
          <w:szCs w:val="24"/>
        </w:rPr>
        <w:t xml:space="preserve">(Jung </w:t>
      </w:r>
      <w:r w:rsidR="00EF6844" w:rsidRPr="00EF6844">
        <w:rPr>
          <w:rFonts w:cs="Times New Roman"/>
          <w:i/>
          <w:iCs/>
          <w:szCs w:val="24"/>
        </w:rPr>
        <w:t>et al.</w:t>
      </w:r>
      <w:r w:rsidR="00EF6844" w:rsidRPr="00EF6844">
        <w:rPr>
          <w:rFonts w:cs="Times New Roman"/>
          <w:szCs w:val="24"/>
        </w:rPr>
        <w:t>, 2012)</w:t>
      </w:r>
      <w:r w:rsidR="00EF6844">
        <w:fldChar w:fldCharType="end"/>
      </w:r>
      <w:r w:rsidRPr="00AA22EE">
        <w:t xml:space="preserve">. In the primed state, plants are able to respond more quickly and/or strongly to attack therefore defence mechanisms are more effective </w:t>
      </w:r>
      <w:r w:rsidR="00EF6844">
        <w:fldChar w:fldCharType="begin"/>
      </w:r>
      <w:r w:rsidR="00EF6844">
        <w:instrText xml:space="preserve"> ADDIN ZOTERO_ITEM CSL_CITATION {"citationID":"2f16chte90","properties":{"formattedCitation":"{\\rtf (Jung {\\i{}et al.}, 2012)}","plainCitation":"(Jung et al., 2012)"},"citationItems":[{"id":73,"uris":["http://zotero.org/users/local/d1gJDEOw/items/CIKUHM33"],"uri":["http://zotero.org/users/local/d1gJDEOw/items/CIKUHM33"],"itemData":{"id":73,"type":"article-journal","title":"Mycorrhiza-Induced Resistance and Priming of Plant Defenses","container-title":"Journal of Chemical Ecology","page":"651-664","volume":"38","issue":"6","abstract":"Symbioses between plants and beneficial soil microorganisms like arbuscular-mycorrhizal fungi (AMF) are known to promote plant growth and help plants to cope with biotic and abiotic stresses. Profound physiological changes take place in the host plant upon root colonization by AMF affecting the interactions with a wide range of organisms below- and above-ground. Protective effects of the symbiosis against pathogens, pests, and parasitic plants have been described for many plant species, including agriculturally important crop varieties. Besides mechanisms such as improved plant nutrition and competition, experimental evidence supports a major role of plant defenses in the observed protection. During mycorrhiza establishment, modulation of plant defense responses occurs thus achieving a functional symbiosis. As a consequence of this modulation, a mild, but effective activation of the plant immune responses seems to occur, not only locally but also systemically. This activation leads to a primed state of the plant that allows a more efficient activation of defense mechanisms in response to attack by potential enemies. Here, we give an overview of the impact on interactions between mycorrhizal plants and pathogens, herbivores, and parasitic plants, and we summarize the current knowledge of the underlying mechanisms. We focus on the priming of jasmonate-regulated plant defense mechanisms that play a central role in the induction of resistance by arbuscular mycorrhizas.","DOI":"10.1007/s10886-012-0134-6","ISSN":"1573-1561","journalAbbreviation":"Journal of Chemical Ecology","author":[{"family":"Jung","given":"Sabine C."},{"family":"Martinez-Medina","given":"Ainhoa"},{"family":"Lopez-Raez","given":"Juan A."},{"family":"Pozo","given":"Maria J."}],"issued":{"date-parts":[["2012"]]}}}],"schema":"https://github.com/citation-style-language/schema/raw/master/csl-citation.json"} </w:instrText>
      </w:r>
      <w:r w:rsidR="00EF6844">
        <w:fldChar w:fldCharType="separate"/>
      </w:r>
      <w:r w:rsidR="00EF6844" w:rsidRPr="00EF6844">
        <w:rPr>
          <w:rFonts w:cs="Times New Roman"/>
          <w:szCs w:val="24"/>
        </w:rPr>
        <w:t xml:space="preserve">(Jung </w:t>
      </w:r>
      <w:r w:rsidR="00EF6844" w:rsidRPr="00EF6844">
        <w:rPr>
          <w:rFonts w:cs="Times New Roman"/>
          <w:i/>
          <w:iCs/>
          <w:szCs w:val="24"/>
        </w:rPr>
        <w:t>et al.</w:t>
      </w:r>
      <w:r w:rsidR="00EF6844" w:rsidRPr="00EF6844">
        <w:rPr>
          <w:rFonts w:cs="Times New Roman"/>
          <w:szCs w:val="24"/>
        </w:rPr>
        <w:t>, 2012)</w:t>
      </w:r>
      <w:r w:rsidR="00EF6844">
        <w:fldChar w:fldCharType="end"/>
      </w:r>
      <w:r w:rsidRPr="00AA22EE">
        <w:t>.  This effect is attributed to root colonisation by AM</w:t>
      </w:r>
      <w:r w:rsidR="00290532">
        <w:t>F</w:t>
      </w:r>
      <w:r w:rsidRPr="00AA22EE">
        <w:t xml:space="preserve"> inducing a host specific response which alters the temporal and spatial expression of a number of genes involved in plant defence and consequently synthesis of proteins, secondary compounds and metabolites which function in plant protection</w:t>
      </w:r>
      <w:r w:rsidR="00EF6844">
        <w:t xml:space="preserve"> </w:t>
      </w:r>
      <w:r w:rsidR="00EF6844">
        <w:fldChar w:fldCharType="begin"/>
      </w:r>
      <w:r w:rsidR="00EF6844">
        <w:instrText xml:space="preserve"> ADDIN ZOTERO_ITEM CSL_CITATION {"citationID":"1j7alkq2l9","properties":{"formattedCitation":"{\\rtf (Moraes {\\i{}et al.}, 2004; Harrier &amp; Watson, 2004)}","plainCitation":"(Moraes et al., 2004; Harrier &amp; Watson, 2004)"},"citationItems":[{"id":1127,"uris":["http://zotero.org/users/local/d1gJDEOw/items/DRFAXME8"],"uri":["http://zotero.org/users/local/d1gJDEOw/items/DRFAXME8"],"itemData":{"id":1127,"type":"article-journal","title":"Arbuscular mycorrhiza improves acclimatization and increases lignan content of micropropagated mayapple (Podophyllum peltatum L.)","container-title":"Plant Science","page":"23-29","volume":"166","issue":"1","archive_location":"WOS:000188786500003","abstract":"In vitro propagated plants are delicate and lacking vigor to survive the acclimatization shock with great losses observed frequently. Comparison of potting substrates showed that survival of Podophyllum peltatum plantlets was higher (97%) in a non-sterile soil (NS)-sand (2:1 v/v) substrate than in Miracle-Gro potting mix(R)-sand (2:1 v/v) with or without inocula of arbuscular mycorrhiza (AM). The non-sterile soil substrate was collected from areas of R peltatum wild-grown colonies located on the University of Mississippi Campus. Within the group of plantlets grown in the Miracle-Gro potting mix(R)-sand substrate, the survival rate was significantly higher in plantlets inoculated with AM fungi. Plantlets inoculated with Entrophospora colombiana had a superior survival rate (73%) than plantlets inoculated with Glomus mosseae, Gigaspora ramisporophora or Scutellospora fulgida (57%). Ex vitro G. ramisporophora inoculated plants yielded more podophyllotoxin and related lignans than the control, non-inoculated plants. (C) 2003 Elsevier Ireland Ltd. All rights reserved.","DOI":"10.1016/j.plantsci.2003.07.003","ISSN":"0168-9452","shortTitle":"Arbuscular mycorrhiza improves acclimatization and increases lignan content of micropropagated mayapple (Podophyllum peltatum L.)","author":[{"family":"Moraes","given":"R. M."},{"family":"De Andrade","given":"Z."},{"family":"Bedir","given":"E."},{"family":"Dayan","given":"F. E."},{"family":"Lata","given":"H."},{"family":"Khan","given":"I."},{"family":"Pereira","given":"A. M. S."}],"issued":{"date-parts":[["2004",1]]}}},{"id":992,"uris":["http://zotero.org/users/local/d1gJDEOw/items/BICBT7TF"],"uri":["http://zotero.org/users/local/d1gJDEOw/items/BICBT7TF"],"itemData":{"id":992,"type":"article-journal","title":"The potential role of arbuscular mycorrhizal (AM) fungi in the bioprotection of plants against soil-borne pathogens in organic and/or other sustainable farming systems","container-title":"Pest Management Science","page":"149-157","volume":"60","issue":"2","archive_location":"WOS:000188502300007","abstract":"Sustainable farming systems strive to minimise the use of synthetic pesticides and to optimise the use of alternative management strategies to control soil-borne pathogens. Arbuscular mycorrhizal (AM) fungi are ubiquitous in nature and constitute an integral component of terrestrial ecosystems, forming symbiotic associations with plant root systems of over 80% of all terrestrial plant species, including many agronomically important species. AM fungi are particularly important in organic and/or sustainable farming systems that rely on biological processes rather than agrochemicals to control plant diseases. Of particular importance is the bioprotection conferred to plants against many soil-borne pathogens such as species of Aphanomyces, Cylindrocladium, Fusarium, Macrophomina, Phytophthora, Pythium, Rhizoctonia, Sclerotinium, Verticillium and Thielaviopsis and various nematodes by AM fungal colonisation of the plant root. However, the exact mechanisms by which AM fungal colonisation confers the protective effect are not completely understood, but a greater understanding of these beneficial interactions is necessary for the exploitation of AM fungi within organic and/or sustainable farming systems. In this review, we aim to discuss the potential mechanisms by which AM fungi may contribute to bioprotection against plant soil-borne pathogens. Bioprotection within AM fungal-colonised plants is the outcome of complex interactions between plants, pathogens and AM fungi. The use of molecular tools in the study of these multifaceted interactions may aid the optimisation of the bioprotective responses and their utility within sustainable farming systems. (C) 2004 Society of Chemical Industry.","DOI":"10.1002/ps.820","ISSN":"1526-498X","shortTitle":"The potential role of arbuscular mycorrhizal (AM) fungi in the bioprotection of plants against soil-borne pathogens in organic and/or other sustainable farming systems","journalAbbreviation":"Pest Manag. Sci.","language":"English","author":[{"family":"Harrier","given":"L. A."},{"family":"Watson","given":"C. A."}],"issued":{"date-parts":[["2004",2]]}}}],"schema":"https://github.com/citation-style-language/schema/raw/master/csl-citation.json"} </w:instrText>
      </w:r>
      <w:r w:rsidR="00EF6844">
        <w:fldChar w:fldCharType="separate"/>
      </w:r>
      <w:r w:rsidR="00EF6844" w:rsidRPr="00EF6844">
        <w:rPr>
          <w:rFonts w:cs="Times New Roman"/>
          <w:szCs w:val="24"/>
        </w:rPr>
        <w:t>(</w:t>
      </w:r>
      <w:proofErr w:type="spellStart"/>
      <w:r w:rsidR="00EF6844" w:rsidRPr="00EF6844">
        <w:rPr>
          <w:rFonts w:cs="Times New Roman"/>
          <w:szCs w:val="24"/>
        </w:rPr>
        <w:t>Moraes</w:t>
      </w:r>
      <w:proofErr w:type="spellEnd"/>
      <w:r w:rsidR="00EF6844" w:rsidRPr="00EF6844">
        <w:rPr>
          <w:rFonts w:cs="Times New Roman"/>
          <w:szCs w:val="24"/>
        </w:rPr>
        <w:t xml:space="preserve"> </w:t>
      </w:r>
      <w:r w:rsidR="00EF6844" w:rsidRPr="00EF6844">
        <w:rPr>
          <w:rFonts w:cs="Times New Roman"/>
          <w:i/>
          <w:iCs/>
          <w:szCs w:val="24"/>
        </w:rPr>
        <w:t>et al.</w:t>
      </w:r>
      <w:r w:rsidR="00EF6844" w:rsidRPr="00EF6844">
        <w:rPr>
          <w:rFonts w:cs="Times New Roman"/>
          <w:szCs w:val="24"/>
        </w:rPr>
        <w:t>, 2004; Harrier &amp; Watson, 2004)</w:t>
      </w:r>
      <w:r w:rsidR="00EF6844">
        <w:fldChar w:fldCharType="end"/>
      </w:r>
      <w:r w:rsidR="00C75328">
        <w:t xml:space="preserve">. </w:t>
      </w:r>
      <w:r w:rsidRPr="00AA22EE">
        <w:t>AM</w:t>
      </w:r>
      <w:r w:rsidR="008C4DD5">
        <w:t>F</w:t>
      </w:r>
      <w:r w:rsidRPr="00AA22EE">
        <w:t xml:space="preserve"> colonisation</w:t>
      </w:r>
      <w:r w:rsidR="00290532">
        <w:t xml:space="preserve"> may induce</w:t>
      </w:r>
      <w:r w:rsidRPr="00AA22EE">
        <w:t xml:space="preserve"> only a small modulation of the plant defence system, however this is sufficient to prime the plant immune system both locally and systemically </w:t>
      </w:r>
      <w:r w:rsidRPr="00AA22EE">
        <w:fldChar w:fldCharType="begin"/>
      </w:r>
      <w:r w:rsidRPr="00AA22EE">
        <w:instrText xml:space="preserve"> ADDIN EN.CITE &lt;EndNote&gt;&lt;Cite&gt;&lt;Author&gt;Liu&lt;/Author&gt;&lt;Year&gt;2007&lt;/Year&gt;&lt;IDText&gt;Arbuscular mycorrhizal symbiosis is accompanied by local and systemic alterations in gene expression and an increase in disease resistance in the shoots&lt;/IDText&gt;&lt;DisplayText&gt;(Liu et al. 2007)&lt;/DisplayText&gt;&lt;record&gt;&lt;dates&gt;&lt;pub-dates&gt;&lt;date&gt;May&lt;/date&gt;&lt;/pub-dates&gt;&lt;year&gt;2007&lt;/year&gt;&lt;/dates&gt;&lt;urls&gt;&lt;related-urls&gt;&lt;url&gt;&amp;lt;Go to ISI&amp;gt;://WOS:000245945300013&lt;/url&gt;&lt;/related-urls&gt;&lt;/urls&gt;&lt;isbn&gt;0960-7412&lt;/isbn&gt;&lt;titles&gt;&lt;title&gt;Arbuscular mycorrhizal symbiosis is accompanied by local and systemic alterations in gene expression and an increase in disease resistance in the shoots&lt;/title&gt;&lt;secondary-title&gt;Plant Journal&lt;/secondary-title&gt;&lt;/titles&gt;&lt;pages&gt;529-544&lt;/pages&gt;&lt;number&gt;3&lt;/number&gt;&lt;contributors&gt;&lt;authors&gt;&lt;author&gt;Liu, J. Y.&lt;/author&gt;&lt;author&gt;Maldonado-Mendoza, I.&lt;/author&gt;&lt;author&gt;Lopez-Meyer, M.&lt;/author&gt;&lt;author&gt;Cheung, F.&lt;/author&gt;&lt;author&gt;Town, C. D.&lt;/author&gt;&lt;author&gt;Harrison, M. J.&lt;/author&gt;&lt;/authors&gt;&lt;/contributors&gt;&lt;added-date format="utc"&gt;1359335639&lt;/added-date&gt;&lt;ref-type name="Journal Article"&gt;17&lt;/ref-type&gt;&lt;rec-number&gt;225&lt;/rec-number&gt;&lt;last-updated-date format="utc"&gt;1359335639&lt;/last-updated-date&gt;&lt;accession-num&gt;WOS:000245945300013&lt;/accession-num&gt;&lt;electronic-resource-num&gt;10.1111/j.1365-313X.2007.03069.x&lt;/electronic-resource-num&gt;&lt;volume&gt;50&lt;/volume&gt;&lt;/record&gt;&lt;/Cite&gt;&lt;/EndNote&gt;</w:instrText>
      </w:r>
      <w:r w:rsidRPr="00AA22EE">
        <w:fldChar w:fldCharType="separate"/>
      </w:r>
      <w:r w:rsidR="008C4DD5">
        <w:rPr>
          <w:noProof/>
        </w:rPr>
        <w:fldChar w:fldCharType="begin"/>
      </w:r>
      <w:r w:rsidR="008C4DD5">
        <w:rPr>
          <w:noProof/>
        </w:rPr>
        <w:instrText xml:space="preserve"> ADDIN ZOTERO_ITEM CSL_CITATION {"citationID":"27jdv6le8i","properties":{"formattedCitation":"{\\rtf (Fritz {\\i{}et al.}, 2006; Liu {\\i{}et al.}, 2007)}","plainCitation":"(Fritz et al., 2006; Liu et al., 2007)"},"citationItems":[{"id":71,"uris":["http://zotero.org/users/local/d1gJDEOw/items/NXZED4TH"],"uri":["http://zotero.org/users/local/d1gJDEOw/items/NXZED4TH"],"itemData":{"id":71,"type":"article-journal","title":"Arbuscular mycorrhiza reduces susceptibility of tomato to Alternaria solani","container-title":"Mycorrhiza","page":"413-419","volume":"16","issue":"6","abstract":"Mycorrhiza frequently leads to the control of root pathogens, but appears to have the opposite effect on leaf pathogens. In this study, we studied mycorrhizal effects on the development of early blight in tomato (Solanum lycopersicum) caused by the necrotrophic fungus Alternaria solani. Alternaria-induced necrosis and chlorosis of all leaves were studied in mycorrhizal and non-mycorrhizal plants over time course and at different soil P levels. Mycorrhizal tomato plants had significantly less A. solani symptoms than non-mycorrhizal plants, but neither plant growth nor phosphate uptake was enhanced by mycorrhizas. An increased P supply had no effect on disease severity in non-mycorrhizal plants, but led to a higher disease severity in mycorrhizal plants. This was parallel to a P-supply-induced reduction in mycorrhiza formation. The protective effect of mycorrhizas towards development of A. solani has some parallels to induced systemic resistance, mediated by rhizobacteria: both biocontrol agents are root-associated organisms and both are effective against necrotrophic pathogens. The possible mechanisms involved are discussed.","DOI":"10.1007/s00572-006-0051-z","ISSN":"1432-1890","journalAbbreviation":"Mycorrhiza","author":[{"family":"Fritz","given":"Maendy"},{"family":"Jakobsen","given":"Iver"},{"family":"Lyngkjær","given":"Michael Foged"},{"family":"Thordal-Christensen","given":"Hans"},{"family":"Pons-Kühnemann","given":"Jörn"}],"issued":{"date-parts":[["2006"]]}}},{"id":75,"uris":["http://zotero.org/users/local/d1gJDEOw/items/4BVHGNH4"],"uri":["http://zotero.org/users/local/d1gJDEOw/items/4BVHGNH4"],"itemData":{"id":75,"type":"article-journal","title":"Arbuscular mycorrhizal symbiosis is accompanied by local and systemic alterations in gene expression and an increase in disease resistance in the shoots","container-title":"Plant Journal","page":"529-544","volume":"50","issue":"3","source":"Web of Science","abstract":"In natural ecosystems, the roots of many plants exist in association with arbuscular mycorrhizal (AM) fungi, and the resulting symbiosis has profound effects on the plant. The most frequently documented response is an increase in phosphorus nutrition; however, other effects have been noted, including increased resistance to abiotic and biotic stresses. Here we used a 16 000-feature oligonucleotide array and real-time quantitative RT-PCR to explore transcriptional changes triggered in Medicago truncatula roots and shoots as a result of AM symbiosis. By controlling the experimental conditions, phosphorus-related effects were minimized, and both local and systemic transcriptional responses to the AM fungus were revealed. The transcriptional response of the roots and shoots differed in both the magnitude of gene induction and the predicted functional categories of the mycorrhiza-regulated genes. In the roots, genes regulated in response to three different AM fungi were identified, and, through split-root experiments, an additional layer of regulation, in the colonized or non-colonized sections of the mycorrhizal root system, was uncovered. Transcript profiles of the shoots of mycorrhizal plants indicated the systemic induction of many genes predicted to be involved in stress or defense responses, and suggested that mycorrhizal plants might display enhanced disease resistance. Experimental evidence supports this prediction, and mycorrhizal M. truncatula plants showed increased resistance to a virulent bacterial pathogen, Xanthomonas campestris. Thus, the symbiosis is accompanied by a complex pattern of local and systemic changes in gene expression, including the induction of a functional defense response.","DOI":"10.1111/j.1365-313X.2007.03069.x","ISSN":"0960-7412","note":"WOS:000245945300013","journalAbbreviation":"Plant J.","language":"English","author":[{"family":"Liu","given":"Jinyuan"},{"family":"Maldonado-Mendoza","given":"Ignacio"},{"family":"Lopez-Meyer","given":"Melina"},{"family":"Cheung","given":"Foo"},{"family":"Town","given":"Christopher D."},{"family":"Harrison","given":"Maria J."}],"issued":{"date-parts":[["2007",5]]}}}],"schema":"https://github.com/citation-style-language/schema/raw/master/csl-citation.json"} </w:instrText>
      </w:r>
      <w:r w:rsidR="008C4DD5">
        <w:rPr>
          <w:noProof/>
        </w:rPr>
        <w:fldChar w:fldCharType="separate"/>
      </w:r>
      <w:r w:rsidR="008C4DD5" w:rsidRPr="008C4DD5">
        <w:rPr>
          <w:rFonts w:cs="Times New Roman"/>
          <w:szCs w:val="24"/>
        </w:rPr>
        <w:t xml:space="preserve">(Fritz </w:t>
      </w:r>
      <w:r w:rsidR="008C4DD5" w:rsidRPr="008C4DD5">
        <w:rPr>
          <w:rFonts w:cs="Times New Roman"/>
          <w:i/>
          <w:iCs/>
          <w:szCs w:val="24"/>
        </w:rPr>
        <w:t>et al.</w:t>
      </w:r>
      <w:r w:rsidR="008C4DD5" w:rsidRPr="008C4DD5">
        <w:rPr>
          <w:rFonts w:cs="Times New Roman"/>
          <w:szCs w:val="24"/>
        </w:rPr>
        <w:t xml:space="preserve">, 2006; Liu </w:t>
      </w:r>
      <w:r w:rsidR="008C4DD5" w:rsidRPr="008C4DD5">
        <w:rPr>
          <w:rFonts w:cs="Times New Roman"/>
          <w:i/>
          <w:iCs/>
          <w:szCs w:val="24"/>
        </w:rPr>
        <w:lastRenderedPageBreak/>
        <w:t>et al.</w:t>
      </w:r>
      <w:r w:rsidR="008C4DD5" w:rsidRPr="008C4DD5">
        <w:rPr>
          <w:rFonts w:cs="Times New Roman"/>
          <w:szCs w:val="24"/>
        </w:rPr>
        <w:t>, 2007)</w:t>
      </w:r>
      <w:r w:rsidR="008C4DD5">
        <w:rPr>
          <w:noProof/>
        </w:rPr>
        <w:fldChar w:fldCharType="end"/>
      </w:r>
      <w:r w:rsidRPr="00AA22EE">
        <w:fldChar w:fldCharType="end"/>
      </w:r>
      <w:r w:rsidRPr="00AA22EE">
        <w:t xml:space="preserve">. For example, in response to AM colonisation of tomato, a study by </w:t>
      </w:r>
      <w:r w:rsidR="00290532">
        <w:fldChar w:fldCharType="begin"/>
      </w:r>
      <w:r w:rsidR="00290532">
        <w:instrText xml:space="preserve"> ADDIN ZOTERO_ITEM CSL_CITATION {"citationID":"rg0vbi9de","properties":{"formattedCitation":"{\\rtf (Pozo {\\i{}et al.}, 2002)}","plainCitation":"(Pozo et al., 2002)"},"citationItems":[{"id":92,"uris":["http://zotero.org/users/local/d1gJDEOw/items/JASRPC2Q"],"uri":["http://zotero.org/users/local/d1gJDEOw/items/JASRPC2Q"],"itemData":{"id":92,"type":"article-journal","title":"Localized versus systemic effect of arbuscular mycorrhizal fungi on defence responses to Phytophthora infection in tomato plants","container-title":"Journal of Experimental Botany","page":"525-534","volume":"53","issue":"368","source":"jxb.oxfordjournals.org","abstract":"Development of biological control for plant diseases is accepted as a durable and environmentally friendly alternative for agrochemicals. Arbuscular mycorrhizal fungi (AMF), which form symbiotic associations with root systems of most agricultural, horticultural and hardwood crop species, have been suggested as widespread potential bioprotective agents. In the present study the ability of two AMF (Glomus mosseae and Glomus intraradices) to induce local or systemic resistance to Phytophthora parasitica in tomato roots have been compared using a split root experimental system. Glomus mosseae was effective in reducing disease symptoms produced by P. parasitica infection, and evidence points to a combination of local and systemic mechanisms being responsible for this bioprotector effect. The biochemical analysis of different plant defence‐related enzymes showed a local induction of mycorrhiza‐related new isoforms of the hydrolytic enzymes chitinase, chitosanase and β‐1,3‐glucanase, as well as superoxide dismutase, an enzyme which is involved in cell protection against oxidative stress. Systemic alterations of the activity of some of the constitutive isoforms were also observed in non‐mycorrhizal roots of mycorrhizal plants. Studies on the lytic activity against Phytophthora cell wall of root protein extracts also corroborated a systemic effect of mycorrhizal symbiosis on tomato resistance to Phytophthora.","DOI":"10.1093/jexbot/53.368.525","ISSN":"0022-0957, 1460-2431","note":"PMID: 11847251","journalAbbreviation":"J. Exp. Bot.","language":"en","author":[{"family":"Pozo","given":"Maria J."},{"family":"Cordier","given":"Christelle"},{"family":"Dumas‐Gaudot","given":"Eliane"},{"family":"Gianinazzi","given":"Silvio"},{"family":"Barea","given":"Jose M."},{"family":"Azcón‐Aguilar","given":"Concepción"}],"issued":{"date-parts":[["2002",1,3]]}}}],"schema":"https://github.com/citation-style-language/schema/raw/master/csl-citation.json"} </w:instrText>
      </w:r>
      <w:r w:rsidR="00290532">
        <w:fldChar w:fldCharType="separate"/>
      </w:r>
      <w:r w:rsidR="00290532" w:rsidRPr="00290532">
        <w:rPr>
          <w:rFonts w:cs="Times New Roman"/>
          <w:szCs w:val="24"/>
        </w:rPr>
        <w:t>(</w:t>
      </w:r>
      <w:proofErr w:type="spellStart"/>
      <w:r w:rsidR="00290532" w:rsidRPr="00290532">
        <w:rPr>
          <w:rFonts w:cs="Times New Roman"/>
          <w:szCs w:val="24"/>
        </w:rPr>
        <w:t>Pozo</w:t>
      </w:r>
      <w:proofErr w:type="spellEnd"/>
      <w:r w:rsidR="00290532" w:rsidRPr="00290532">
        <w:rPr>
          <w:rFonts w:cs="Times New Roman"/>
          <w:szCs w:val="24"/>
        </w:rPr>
        <w:t xml:space="preserve"> </w:t>
      </w:r>
      <w:r w:rsidR="00290532" w:rsidRPr="00290532">
        <w:rPr>
          <w:rFonts w:cs="Times New Roman"/>
          <w:i/>
          <w:iCs/>
          <w:szCs w:val="24"/>
        </w:rPr>
        <w:t>et al.</w:t>
      </w:r>
      <w:r w:rsidR="00290532" w:rsidRPr="00290532">
        <w:rPr>
          <w:rFonts w:cs="Times New Roman"/>
          <w:szCs w:val="24"/>
        </w:rPr>
        <w:t>, 2002)</w:t>
      </w:r>
      <w:r w:rsidR="00290532">
        <w:fldChar w:fldCharType="end"/>
      </w:r>
      <w:r w:rsidR="00290532">
        <w:t xml:space="preserve"> </w:t>
      </w:r>
      <w:r w:rsidRPr="00AA22EE">
        <w:t xml:space="preserve">found both localised and systemic protection was provided against </w:t>
      </w:r>
      <w:proofErr w:type="spellStart"/>
      <w:r w:rsidRPr="00AA22EE">
        <w:rPr>
          <w:i/>
        </w:rPr>
        <w:t>Phytophora</w:t>
      </w:r>
      <w:proofErr w:type="spellEnd"/>
      <w:r w:rsidRPr="00AA22EE">
        <w:rPr>
          <w:i/>
        </w:rPr>
        <w:t xml:space="preserve"> </w:t>
      </w:r>
      <w:proofErr w:type="spellStart"/>
      <w:r w:rsidRPr="00AA22EE">
        <w:rPr>
          <w:i/>
        </w:rPr>
        <w:t>parasitica</w:t>
      </w:r>
      <w:proofErr w:type="spellEnd"/>
      <w:r w:rsidRPr="00AA22EE">
        <w:t xml:space="preserve">, thereby significantly reducing the infection of AM tomato plants. </w:t>
      </w:r>
    </w:p>
    <w:p w:rsidR="007E60E4" w:rsidRPr="00AA22EE" w:rsidRDefault="007E60E4" w:rsidP="00DC59CF">
      <w:r w:rsidRPr="00AA22EE">
        <w:t>The modification of root exudates by AM</w:t>
      </w:r>
      <w:r w:rsidR="008C4DD5">
        <w:t>F</w:t>
      </w:r>
      <w:r w:rsidRPr="00AA22EE">
        <w:t xml:space="preserve"> roots may also </w:t>
      </w:r>
      <w:r w:rsidR="008C4DD5">
        <w:t>function</w:t>
      </w:r>
      <w:r w:rsidRPr="00AA22EE">
        <w:t xml:space="preserve"> in below ground protection.  </w:t>
      </w:r>
      <w:r w:rsidRPr="00AA22EE">
        <w:rPr>
          <w:noProof/>
        </w:rPr>
        <w:t xml:space="preserve">Vos et al, </w:t>
      </w:r>
      <w:r w:rsidR="00361D64">
        <w:rPr>
          <w:noProof/>
        </w:rPr>
        <w:t>(</w:t>
      </w:r>
      <w:r w:rsidRPr="00AA22EE">
        <w:rPr>
          <w:noProof/>
        </w:rPr>
        <w:t>2012</w:t>
      </w:r>
      <w:r w:rsidR="00361D64">
        <w:rPr>
          <w:noProof/>
        </w:rPr>
        <w:t>)</w:t>
      </w:r>
      <w:r w:rsidR="008C4DD5">
        <w:t xml:space="preserve"> found that exudates from mycorrhiza</w:t>
      </w:r>
      <w:r w:rsidRPr="00AA22EE">
        <w:t xml:space="preserve"> </w:t>
      </w:r>
      <w:r w:rsidR="00223448">
        <w:t>colonise</w:t>
      </w:r>
      <w:r w:rsidRPr="00AA22EE">
        <w:t>d tomato roots significantly reduced root penetration by nematodes and limited nematode movement by temporarily inducing paralysis. Similarly AM</w:t>
      </w:r>
      <w:r w:rsidR="008C4DD5">
        <w:t>F</w:t>
      </w:r>
      <w:r w:rsidRPr="00AA22EE">
        <w:t xml:space="preserve"> root exudates have also been found to be effective in reducing spore production by the oomycete </w:t>
      </w:r>
      <w:proofErr w:type="spellStart"/>
      <w:r w:rsidRPr="00AA22EE">
        <w:rPr>
          <w:i/>
        </w:rPr>
        <w:t>Phytophora</w:t>
      </w:r>
      <w:proofErr w:type="spellEnd"/>
      <w:r w:rsidRPr="00AA22EE">
        <w:rPr>
          <w:i/>
        </w:rPr>
        <w:t xml:space="preserve"> </w:t>
      </w:r>
      <w:proofErr w:type="spellStart"/>
      <w:r w:rsidRPr="00AA22EE">
        <w:rPr>
          <w:i/>
        </w:rPr>
        <w:t>fragrariae</w:t>
      </w:r>
      <w:proofErr w:type="spellEnd"/>
      <w:r w:rsidRPr="00AA22EE">
        <w:t xml:space="preserve"> </w:t>
      </w:r>
      <w:r w:rsidR="00EF6844">
        <w:fldChar w:fldCharType="begin"/>
      </w:r>
      <w:r w:rsidR="00EF6844">
        <w:instrText xml:space="preserve"> ADDIN ZOTERO_ITEM CSL_CITATION {"citationID":"1vnpou84sh","properties":{"formattedCitation":"(Norman &amp; Hooker, 2000)","plainCitation":"(Norman &amp; Hooker, 2000)"},"citationItems":[{"id":1151,"uris":["http://zotero.org/users/local/d1gJDEOw/items/GXM5RJXU"],"uri":["http://zotero.org/users/local/d1gJDEOw/items/GXM5RJXU"],"itemData":{"id":1151,"type":"article-journal","title":"Sporulation of Phytophthora fragariae shows greater stimulation by exudates of non-mycorrhizal than by mycorrhizal strawberry roots","container-title":"Mycological Research","page":"1069-1073","volume":"104","archive_location":"WOS:000090090600008","abstract":"Arbuscular mycorrhizal fungi (AMF) show significant potential for biocontrol of Phytophthora spp., but there is little evidence for the mechanisms involved in the process. This study establishes that microorganism free exudates from roots colonised by AMF result in significantly less sporulation of P. fragariae than those from uncolonised plants. Experiments in vitro showed that after 48 h in the presence of exudates from strawberry roots colonised by Glomus etunicatum and G. monosporum, sporulation of P. fragariae was reduced by ca 67% and 64% relative to sporulation in the presence of uncolonised roots. After 72 h sporulation was reduced by 83% and 89% respectively. These data were then confirmed in an in vivo system in which Phytophthora fragariae was inoculated into the mycorrhizosphere of either uncolonised strawberry plants or those colonised by G. etunicatum. A similar h end was observed, with a 69% reduction in sporulation of P. fragariae after 72 h in the mycorrhizosphere of colonised plants relative to sporulation in the mycorrhizosphere of uncolonised plants.","DOI":"10.1017/s0953756299002191","ISSN":"0953-7562","shortTitle":"Sporulation of Phytophthora fragariae shows greater stimulation by exudates of non-mycorrhizal than by mycorrhizal strawberry roots","author":[{"family":"Norman","given":"J. R."},{"family":"Hooker","given":"J. E."}],"issued":{"date-parts":[["2000",9]]}}}],"schema":"https://github.com/citation-style-language/schema/raw/master/csl-citation.json"} </w:instrText>
      </w:r>
      <w:r w:rsidR="00EF6844">
        <w:fldChar w:fldCharType="separate"/>
      </w:r>
      <w:r w:rsidR="00EF6844" w:rsidRPr="00EF6844">
        <w:rPr>
          <w:rFonts w:cs="Times New Roman"/>
        </w:rPr>
        <w:t>(Norman &amp; Hooker, 2000)</w:t>
      </w:r>
      <w:r w:rsidR="00EF6844">
        <w:fldChar w:fldCharType="end"/>
      </w:r>
      <w:r w:rsidRPr="00AA22EE">
        <w:t xml:space="preserve"> and to reduce infection by parasitic plants</w:t>
      </w:r>
      <w:r w:rsidR="00EF6844">
        <w:t xml:space="preserve"> </w:t>
      </w:r>
      <w:r w:rsidR="00EF6844">
        <w:fldChar w:fldCharType="begin"/>
      </w:r>
      <w:r w:rsidR="00EF6844">
        <w:instrText xml:space="preserve"> ADDIN ZOTERO_ITEM CSL_CITATION {"citationID":"1c7llmbn1c","properties":{"formattedCitation":"{\\rtf (Lopez-Raez {\\i{}et al.}, 2011)}","plainCitation":"(Lopez-Raez et al., 2011)"},"citationItems":[{"id":1086,"uris":["http://zotero.org/users/local/d1gJDEOw/items/Q4TXPTAJ"],"uri":["http://zotero.org/users/local/d1gJDEOw/items/Q4TXPTAJ"],"itemData":{"id":1086,"type":"article-journal","title":"Arbuscular mycorrhizal symbiosis decreases strigolactone production in tomato","container-title":"Journal of Plant Physiology","page":"294-297","volume":"168","issue":"3","archive_location":"WOS:000287948200014","abstract":"Strigolactones are a new class of plant hormones emerging as important signals in the control of plant architecture. In addition, they are key elements in plant communication with several rhizosphere organisms. Strigolactones are exuded into the soil, where they act as host detection signals for arbuscular mycorrhizal (AM) fungi, but also as germination stimulants for root parasitic plant seeds. Under phosphate limiting conditions, plants up-regulate the secretion of strigolactones into the rhizosphere to promote the formation of AM symbiosis. Using tomato as a model plant, we have recently shown that AM symbiosis induces changes in transcriptional and hormonal profiles. Using the same model system, here we analytically demonstrate, using liquid chromatography-tandem mass spectrometry, that strigolactone production is also significantly reduced upon AM symbiosis. Considering the dual role of the strigolactones in the rhizosphere as signals for AM fungi and parasitic plants, we discuss the potential implications of these changes in the plant interaction with both organisms. (C) 2010 Elsevier GmbH. All rights reserved.","DOI":"10.1016/j.jplph.2010.08.011","ISSN":"0176-1617","shortTitle":"Arbuscular mycorrhizal symbiosis decreases strigolactone production in tomato","author":[{"family":"Lopez-Raez","given":"J. A."},{"family":"Charnikhova","given":"T."},{"family":"Fernandez","given":"I."},{"family":"Bouwmeester","given":"H."},{"family":"Pozo","given":"M. J."}],"issued":{"date-parts":[["2011",2]]}}}],"schema":"https://github.com/citation-style-language/schema/raw/master/csl-citation.json"} </w:instrText>
      </w:r>
      <w:r w:rsidR="00EF6844">
        <w:fldChar w:fldCharType="separate"/>
      </w:r>
      <w:r w:rsidR="00EF6844" w:rsidRPr="00EF6844">
        <w:rPr>
          <w:rFonts w:cs="Times New Roman"/>
          <w:szCs w:val="24"/>
        </w:rPr>
        <w:t>(Lopez-</w:t>
      </w:r>
      <w:proofErr w:type="spellStart"/>
      <w:r w:rsidR="00EF6844" w:rsidRPr="00EF6844">
        <w:rPr>
          <w:rFonts w:cs="Times New Roman"/>
          <w:szCs w:val="24"/>
        </w:rPr>
        <w:t>Raez</w:t>
      </w:r>
      <w:proofErr w:type="spellEnd"/>
      <w:r w:rsidR="00EF6844" w:rsidRPr="00EF6844">
        <w:rPr>
          <w:rFonts w:cs="Times New Roman"/>
          <w:szCs w:val="24"/>
        </w:rPr>
        <w:t xml:space="preserve"> </w:t>
      </w:r>
      <w:r w:rsidR="00EF6844" w:rsidRPr="00EF6844">
        <w:rPr>
          <w:rFonts w:cs="Times New Roman"/>
          <w:i/>
          <w:iCs/>
          <w:szCs w:val="24"/>
        </w:rPr>
        <w:t>et al.</w:t>
      </w:r>
      <w:r w:rsidR="00EF6844" w:rsidRPr="00EF6844">
        <w:rPr>
          <w:rFonts w:cs="Times New Roman"/>
          <w:szCs w:val="24"/>
        </w:rPr>
        <w:t>, 2011)</w:t>
      </w:r>
      <w:r w:rsidR="00EF6844">
        <w:fldChar w:fldCharType="end"/>
      </w:r>
      <w:r w:rsidRPr="00AA22EE">
        <w:t>. The latter has been accounted for by the suppressive effect of AM</w:t>
      </w:r>
      <w:r w:rsidR="00E71796">
        <w:t>F</w:t>
      </w:r>
      <w:r w:rsidRPr="00AA22EE">
        <w:t xml:space="preserve"> upon root </w:t>
      </w:r>
      <w:proofErr w:type="spellStart"/>
      <w:r w:rsidRPr="00AA22EE">
        <w:t>strigalactone</w:t>
      </w:r>
      <w:proofErr w:type="spellEnd"/>
      <w:r w:rsidRPr="00AA22EE">
        <w:t xml:space="preserve"> production and is particularly important as many virulent parasites of agricultural crop plants such as </w:t>
      </w:r>
      <w:proofErr w:type="spellStart"/>
      <w:r w:rsidRPr="00AA22EE">
        <w:rPr>
          <w:i/>
        </w:rPr>
        <w:t>Striga</w:t>
      </w:r>
      <w:proofErr w:type="spellEnd"/>
      <w:r w:rsidRPr="00AA22EE">
        <w:t xml:space="preserve"> and </w:t>
      </w:r>
      <w:proofErr w:type="spellStart"/>
      <w:r w:rsidRPr="00AA22EE">
        <w:rPr>
          <w:i/>
        </w:rPr>
        <w:t>Orobanche</w:t>
      </w:r>
      <w:proofErr w:type="spellEnd"/>
      <w:r w:rsidRPr="00AA22EE">
        <w:rPr>
          <w:i/>
        </w:rPr>
        <w:t xml:space="preserve"> </w:t>
      </w:r>
      <w:r w:rsidRPr="00AA22EE">
        <w:t xml:space="preserve">which belong to the </w:t>
      </w:r>
      <w:proofErr w:type="spellStart"/>
      <w:r w:rsidRPr="00AA22EE">
        <w:rPr>
          <w:i/>
        </w:rPr>
        <w:t>Orobanchaceae</w:t>
      </w:r>
      <w:proofErr w:type="spellEnd"/>
      <w:r w:rsidRPr="00AA22EE">
        <w:t xml:space="preserve"> family, depend upon </w:t>
      </w:r>
      <w:proofErr w:type="spellStart"/>
      <w:r w:rsidRPr="00AA22EE">
        <w:t>strigalactones</w:t>
      </w:r>
      <w:proofErr w:type="spellEnd"/>
      <w:r w:rsidRPr="00AA22EE">
        <w:t xml:space="preserve"> for host plant detection</w:t>
      </w:r>
      <w:r w:rsidR="00EF6844">
        <w:t xml:space="preserve"> </w:t>
      </w:r>
      <w:r w:rsidR="00EF6844">
        <w:fldChar w:fldCharType="begin"/>
      </w:r>
      <w:r w:rsidR="00EF6844">
        <w:instrText xml:space="preserve"> ADDIN ZOTERO_ITEM CSL_CITATION {"citationID":"178lqd5om7","properties":{"formattedCitation":"{\\rtf (Lopez-Raez {\\i{}et al.}, 2011)}","plainCitation":"(Lopez-Raez et al., 2011)"},"citationItems":[{"id":1086,"uris":["http://zotero.org/users/local/d1gJDEOw/items/Q4TXPTAJ"],"uri":["http://zotero.org/users/local/d1gJDEOw/items/Q4TXPTAJ"],"itemData":{"id":1086,"type":"article-journal","title":"Arbuscular mycorrhizal symbiosis decreases strigolactone production in tomato","container-title":"Journal of Plant Physiology","page":"294-297","volume":"168","issue":"3","archive_location":"WOS:000287948200014","abstract":"Strigolactones are a new class of plant hormones emerging as important signals in the control of plant architecture. In addition, they are key elements in plant communication with several rhizosphere organisms. Strigolactones are exuded into the soil, where they act as host detection signals for arbuscular mycorrhizal (AM) fungi, but also as germination stimulants for root parasitic plant seeds. Under phosphate limiting conditions, plants up-regulate the secretion of strigolactones into the rhizosphere to promote the formation of AM symbiosis. Using tomato as a model plant, we have recently shown that AM symbiosis induces changes in transcriptional and hormonal profiles. Using the same model system, here we analytically demonstrate, using liquid chromatography-tandem mass spectrometry, that strigolactone production is also significantly reduced upon AM symbiosis. Considering the dual role of the strigolactones in the rhizosphere as signals for AM fungi and parasitic plants, we discuss the potential implications of these changes in the plant interaction with both organisms. (C) 2010 Elsevier GmbH. All rights reserved.","DOI":"10.1016/j.jplph.2010.08.011","ISSN":"0176-1617","shortTitle":"Arbuscular mycorrhizal symbiosis decreases strigolactone production in tomato","author":[{"family":"Lopez-Raez","given":"J. A."},{"family":"Charnikhova","given":"T."},{"family":"Fernandez","given":"I."},{"family":"Bouwmeester","given":"H."},{"family":"Pozo","given":"M. J."}],"issued":{"date-parts":[["2011",2]]}}}],"schema":"https://github.com/citation-style-language/schema/raw/master/csl-citation.json"} </w:instrText>
      </w:r>
      <w:r w:rsidR="00EF6844">
        <w:fldChar w:fldCharType="separate"/>
      </w:r>
      <w:r w:rsidR="00EF6844" w:rsidRPr="00EF6844">
        <w:rPr>
          <w:rFonts w:cs="Times New Roman"/>
          <w:szCs w:val="24"/>
        </w:rPr>
        <w:t>(Lopez-</w:t>
      </w:r>
      <w:proofErr w:type="spellStart"/>
      <w:r w:rsidR="00EF6844" w:rsidRPr="00EF6844">
        <w:rPr>
          <w:rFonts w:cs="Times New Roman"/>
          <w:szCs w:val="24"/>
        </w:rPr>
        <w:t>Raez</w:t>
      </w:r>
      <w:proofErr w:type="spellEnd"/>
      <w:r w:rsidR="00EF6844" w:rsidRPr="00EF6844">
        <w:rPr>
          <w:rFonts w:cs="Times New Roman"/>
          <w:szCs w:val="24"/>
        </w:rPr>
        <w:t xml:space="preserve"> </w:t>
      </w:r>
      <w:r w:rsidR="00EF6844" w:rsidRPr="00EF6844">
        <w:rPr>
          <w:rFonts w:cs="Times New Roman"/>
          <w:i/>
          <w:iCs/>
          <w:szCs w:val="24"/>
        </w:rPr>
        <w:t>et al.</w:t>
      </w:r>
      <w:r w:rsidR="00EF6844" w:rsidRPr="00EF6844">
        <w:rPr>
          <w:rFonts w:cs="Times New Roman"/>
          <w:szCs w:val="24"/>
        </w:rPr>
        <w:t>, 2011)</w:t>
      </w:r>
      <w:r w:rsidR="00EF6844">
        <w:fldChar w:fldCharType="end"/>
      </w:r>
      <w:r w:rsidRPr="00AA22EE">
        <w:t xml:space="preserve">. </w:t>
      </w:r>
      <w:r w:rsidR="008C4DD5">
        <w:t>AMF</w:t>
      </w:r>
      <w:r w:rsidRPr="00AA22EE">
        <w:t xml:space="preserve"> may also provide below ground protection by competing with pathogenic fungi and nematodes for </w:t>
      </w:r>
      <w:r w:rsidR="00223448">
        <w:t>colonisation</w:t>
      </w:r>
      <w:r w:rsidRPr="00AA22EE">
        <w:t xml:space="preserve"> sides as both require similar root tissue</w:t>
      </w:r>
      <w:r w:rsidR="00EF6844">
        <w:t xml:space="preserve"> </w:t>
      </w:r>
      <w:r w:rsidR="00EF6844">
        <w:fldChar w:fldCharType="begin"/>
      </w:r>
      <w:r w:rsidR="00EF6844">
        <w:instrText xml:space="preserve"> ADDIN ZOTERO_ITEM CSL_CITATION {"citationID":"2e8dvse795","properties":{"formattedCitation":"(Smith, 1988)","plainCitation":"(Smith, 1988)"},"citationItems":[{"id":1271,"uris":["http://zotero.org/users/local/d1gJDEOw/items/RK78X7Z2"],"uri":["http://zotero.org/users/local/d1gJDEOw/items/RK78X7Z2"],"itemData":{"id":1271,"type":"article-journal","title":"THE ROLE OF PHOSPHORUS-NUTRITION IN INTERACTIONS OF VESICULAR-ARBUSCULAR MYCORRHIZAL FUNGI WITH SOILBORNE NEMATODES AND FUNGI","container-title":"Phytopathology","page":"371-374","volume":"78","issue":"3","archive_location":"WOS:A1988M671800025","ISSN":"0031-949X","shortTitle":"THE ROLE OF PHOSPHORUS-NUTRITION IN INTERACTIONS OF VESICULAR-ARBUSCULAR MYCORRHIZAL FUNGI WITH SOILBORNE NEMATODES AND FUNGI","author":[{"family":"Smith","given":"G. S."}],"issued":{"date-parts":[["1988",3]]}}}],"schema":"https://github.com/citation-style-language/schema/raw/master/csl-citation.json"} </w:instrText>
      </w:r>
      <w:r w:rsidR="00EF6844">
        <w:fldChar w:fldCharType="separate"/>
      </w:r>
      <w:r w:rsidR="00EF6844" w:rsidRPr="00EF6844">
        <w:rPr>
          <w:rFonts w:cs="Times New Roman"/>
        </w:rPr>
        <w:t>(Smith, 1988)</w:t>
      </w:r>
      <w:r w:rsidR="00EF6844">
        <w:fldChar w:fldCharType="end"/>
      </w:r>
      <w:r w:rsidRPr="00AA22EE">
        <w:t>. This competitive effect of AM</w:t>
      </w:r>
      <w:r w:rsidR="00E71796">
        <w:t>F</w:t>
      </w:r>
      <w:r w:rsidRPr="00AA22EE">
        <w:t xml:space="preserve"> and pathogens was found to reduce incidence of </w:t>
      </w:r>
      <w:proofErr w:type="spellStart"/>
      <w:r w:rsidRPr="00AA22EE">
        <w:rPr>
          <w:i/>
        </w:rPr>
        <w:t>Phytophora</w:t>
      </w:r>
      <w:proofErr w:type="spellEnd"/>
      <w:r w:rsidRPr="00AA22EE">
        <w:t xml:space="preserve"> in roots of both cotton</w:t>
      </w:r>
      <w:r w:rsidR="00EF6844">
        <w:t xml:space="preserve"> </w:t>
      </w:r>
      <w:r w:rsidR="00EF6844">
        <w:fldChar w:fldCharType="begin"/>
      </w:r>
      <w:r w:rsidR="00EF6844">
        <w:instrText xml:space="preserve"> ADDIN ZOTERO_ITEM CSL_CITATION {"citationID":"1kgikepg31","properties":{"formattedCitation":"{\\rtf (Davis {\\i{}et al.}, 1978)}","plainCitation":"(Davis et al., 1978)"},"citationItems":[{"id":909,"uris":["http://zotero.org/users/local/d1gJDEOw/items/H47TNHWR"],"uri":["http://zotero.org/users/local/d1gJDEOw/items/H47TNHWR"],"itemData":{"id":909,"type":"article-journal","title":"INFLUENCE OF VESICULAR-ARBUSCULAR MYCORRHIZAE ON PHYTOPHTHORA ROOT-ROT OF 3 CROP PLANTS","container-title":"Phytopathology","page":"1614-1617","volume":"68","issue":"11","archive_location":"WOS:A1978HC41300017","ISSN":"0031-949X","shortTitle":"INFLUENCE OF VESICULAR-ARBUSCULAR MYCORRHIZAE ON PHYTOPHTHORA ROOT-ROT OF 3 CROP PLANTS","author":[{"family":"Davis","given":"R. M."},{"family":"Menge","given":"J. A."},{"family":"Zentmyer","given":"G. A."}],"issued":{"date-parts":[["1978"]]}}}],"schema":"https://github.com/citation-style-language/schema/raw/master/csl-citation.json"} </w:instrText>
      </w:r>
      <w:r w:rsidR="00EF6844">
        <w:fldChar w:fldCharType="separate"/>
      </w:r>
      <w:r w:rsidR="00EF6844" w:rsidRPr="00EF6844">
        <w:rPr>
          <w:rFonts w:cs="Times New Roman"/>
          <w:szCs w:val="24"/>
        </w:rPr>
        <w:t xml:space="preserve">(Davis </w:t>
      </w:r>
      <w:r w:rsidR="00EF6844" w:rsidRPr="00EF6844">
        <w:rPr>
          <w:rFonts w:cs="Times New Roman"/>
          <w:i/>
          <w:iCs/>
          <w:szCs w:val="24"/>
        </w:rPr>
        <w:t>et al.</w:t>
      </w:r>
      <w:r w:rsidR="00EF6844" w:rsidRPr="00EF6844">
        <w:rPr>
          <w:rFonts w:cs="Times New Roman"/>
          <w:szCs w:val="24"/>
        </w:rPr>
        <w:t>, 1978)</w:t>
      </w:r>
      <w:r w:rsidR="00EF6844">
        <w:fldChar w:fldCharType="end"/>
      </w:r>
      <w:r w:rsidRPr="00AA22EE">
        <w:t xml:space="preserve"> and tomato plants</w:t>
      </w:r>
      <w:r w:rsidR="00EF6844">
        <w:t xml:space="preserve"> </w:t>
      </w:r>
      <w:r w:rsidR="00EF6844">
        <w:fldChar w:fldCharType="begin"/>
      </w:r>
      <w:r w:rsidR="00EF6844">
        <w:instrText xml:space="preserve"> ADDIN ZOTERO_ITEM CSL_CITATION {"citationID":"1h7t08rgf1","properties":{"formattedCitation":"{\\rtf (Cordier {\\i{}et al.}, 1998)}","plainCitation":"(Cordier et al., 1998)"},"citationItems":[{"id":897,"uris":["http://zotero.org/users/local/d1gJDEOw/items/DCK3XCPF"],"uri":["http://zotero.org/users/local/d1gJDEOw/items/DCK3XCPF"],"itemData":{"id":897,"type":"article-journal","title":"Cell defense responses associated with localized and systemic resistance to Phytophthora parasitica induced in tomato by an arbuscular mycorrhizal fungus","container-title":"Molecular Plant-Microbe Interactions","page":"1017-1028","volume":"11","issue":"10","archive_location":"WOS:000076306200009","abstract":"The arbuscular mycorrhizal fungus Glomus mosseae is able to confer bioprotection against Phytophthora parasitica in tomato roots. Localized and induced systemic resistance (ISR) have been demonstrated to be involved in pathogen control in mycorrhizal and nonmycorrhizal roots with a split root experimental system. Decreased pathogen development in mycorrhizal and nonmycorrhizal parts of mycorrhizal root systems is associated with accumulation of phenolics and plant cell defense responses. G. mosseae-containing cortical cells in the mycorrhizal tissues are immune to the pathogen and exhibit a localized resistance response with the formation of cell wall appositions reinforced by callose adjacent to intercellular hyphae, The systemically induced resistance in nonmycorrhizal root parts is characterized by elicitation of host wall thickenings containing non-esterified pectins and PR-la protein in reaction to intercellular pathogen hyphae, and by the formation of callose-rich encasement material around P. parasitica hyphae that are penetrating root cells. PR-la protein is detected in the pathogen wall only in these tissues. None of these cell reactions are observed in nonmycorrhizal pathogen-infected root systems, where disease development leads to host cell death, The cellular and molecular basis of bioprotection by an arbuscular mycorrhizal fungus is discussed in relation to that induced by other nonpathogenic microorganisms.","DOI":"10.1094/mpmi.1998.11.10.1017","ISSN":"0894-0282","shortTitle":"Cell defense responses associated with localized and systemic resistance to Phytophthora parasitica induced in tomato by an arbuscular mycorrhizal fungus","author":[{"family":"Cordier","given":"C."},{"family":"Pozo","given":"M. J."},{"family":"Barea","given":"J. M."},{"family":"Gianinazzi","given":"S."},{"family":"Gianinazzi-Pearson","given":"V."}],"issued":{"date-parts":[["1998",10]]}}}],"schema":"https://github.com/citation-style-language/schema/raw/master/csl-citation.json"} </w:instrText>
      </w:r>
      <w:r w:rsidR="00EF6844">
        <w:fldChar w:fldCharType="separate"/>
      </w:r>
      <w:r w:rsidR="00EF6844" w:rsidRPr="00EF6844">
        <w:rPr>
          <w:rFonts w:cs="Times New Roman"/>
          <w:szCs w:val="24"/>
        </w:rPr>
        <w:t>(</w:t>
      </w:r>
      <w:proofErr w:type="spellStart"/>
      <w:r w:rsidR="00EF6844" w:rsidRPr="00EF6844">
        <w:rPr>
          <w:rFonts w:cs="Times New Roman"/>
          <w:szCs w:val="24"/>
        </w:rPr>
        <w:t>Cordier</w:t>
      </w:r>
      <w:proofErr w:type="spellEnd"/>
      <w:r w:rsidR="00EF6844" w:rsidRPr="00EF6844">
        <w:rPr>
          <w:rFonts w:cs="Times New Roman"/>
          <w:szCs w:val="24"/>
        </w:rPr>
        <w:t xml:space="preserve"> </w:t>
      </w:r>
      <w:r w:rsidR="00EF6844" w:rsidRPr="00EF6844">
        <w:rPr>
          <w:rFonts w:cs="Times New Roman"/>
          <w:i/>
          <w:iCs/>
          <w:szCs w:val="24"/>
        </w:rPr>
        <w:t>et al.</w:t>
      </w:r>
      <w:r w:rsidR="00EF6844" w:rsidRPr="00EF6844">
        <w:rPr>
          <w:rFonts w:cs="Times New Roman"/>
          <w:szCs w:val="24"/>
        </w:rPr>
        <w:t>, 1998)</w:t>
      </w:r>
      <w:r w:rsidR="00EF6844">
        <w:fldChar w:fldCharType="end"/>
      </w:r>
      <w:r w:rsidRPr="00AA22EE">
        <w:t xml:space="preserve">. </w:t>
      </w:r>
      <w:r w:rsidR="008C4DD5">
        <w:t>T</w:t>
      </w:r>
      <w:r w:rsidRPr="00AA22EE">
        <w:t>he effect of AM</w:t>
      </w:r>
      <w:r w:rsidR="008C4DD5">
        <w:t>F</w:t>
      </w:r>
      <w:r w:rsidRPr="00AA22EE">
        <w:t xml:space="preserve"> colonisation upon s</w:t>
      </w:r>
      <w:r w:rsidR="008C4DD5">
        <w:t>ystemic above ground protection has also been shown</w:t>
      </w:r>
      <w:r w:rsidRPr="00AA22EE">
        <w:t xml:space="preserve"> provide effective protection against shoot and leaf pathogens</w:t>
      </w:r>
      <w:r w:rsidR="00EF6844">
        <w:t xml:space="preserve"> </w:t>
      </w:r>
      <w:r w:rsidR="00EF6844">
        <w:fldChar w:fldCharType="begin"/>
      </w:r>
      <w:r w:rsidR="00EF6844">
        <w:instrText xml:space="preserve"> ADDIN ZOTERO_ITEM CSL_CITATION {"citationID":"2llircpc5l","properties":{"formattedCitation":"{\\rtf (Krishna {\\i{}et al.}, 2010)}","plainCitation":"(Krishna et al., 2010)"},"citationItems":[{"id":18,"uris":["http://zotero.org/users/local/d1gJDEOw/items/F68EWQ2G"],"uri":["http://zotero.org/users/local/d1gJDEOw/items/F68EWQ2G"],"itemData":{"id":18,"type":"article-journal","title":"Suppression of Botryosphaeria canker of apple by arbuscular mycorrhizal fungi","container-title":"Crop Protection","page":"1049-1054","volume":"29","issue":"9","source":"ScienceDirect","abstract":"Stem brown canker or Botryosphaeria canker disease impairs the growth and kills the shoots, limbs and even trunks of infected apple trees. Apple roots are usually colonized by arbuscular mycorrhizal fungi, which may have a positive influence on plant growth and suppression of diseases. In order to assess the efficacy of AM to suppress the disease severity and plant growth enhancement, nine AMF inoculation treatments (Sclerocystis dussi, Glomus intraradices, G. fasciculatum, G. bagyaraji, G. leptotichum, G. monosporum, Gigaspora margarita, a mixed AM culture and a non-mycorrhizal control treatment) were used in this present study. Two-year-old potted apple plants, maintained under glasshouse conditions, were either pre-inoculated with AMF followed by stem inoculation with Botryosphaeria ribis or simultaneously inoculated with Botryosphaeria ribis and AM. The results indicated that the incidence of canker was less severe in plants inoculated with AMF in comparison to non-mycorrhizal control. Timing of inoculation also had a significant effect on disease development and plant survival. Plants pre-inoculated with mycorrhiza performed better over those inoculated simultaneously with Botryosphaeria ribis and AM fungi. Furthermore, AM inoculation resulted in improved survival and growth of AMF-colonized plants; though, it varied by species of AM fungi utilized.","DOI":"10.1016/j.cropro.2010.05.005","ISSN":"0261-2194","journalAbbreviation":"Crop Protection","author":[{"family":"Krishna","given":"Hare"},{"family":"Das","given":"Biswajit"},{"family":"Attri","given":"Brij Lal"},{"family":"Grover","given":"Minakshi"},{"family":"Ahmed","given":"Nazeer"}],"issued":{"date-parts":[["2010",9]]}}}],"schema":"https://github.com/citation-style-language/schema/raw/master/csl-citation.json"} </w:instrText>
      </w:r>
      <w:r w:rsidR="00EF6844">
        <w:fldChar w:fldCharType="separate"/>
      </w:r>
      <w:r w:rsidR="00EF6844" w:rsidRPr="00EF6844">
        <w:rPr>
          <w:rFonts w:cs="Times New Roman"/>
          <w:szCs w:val="24"/>
        </w:rPr>
        <w:t xml:space="preserve">(Krishna </w:t>
      </w:r>
      <w:r w:rsidR="00EF6844" w:rsidRPr="00EF6844">
        <w:rPr>
          <w:rFonts w:cs="Times New Roman"/>
          <w:i/>
          <w:iCs/>
          <w:szCs w:val="24"/>
        </w:rPr>
        <w:t>et al.</w:t>
      </w:r>
      <w:r w:rsidR="00EF6844" w:rsidRPr="00EF6844">
        <w:rPr>
          <w:rFonts w:cs="Times New Roman"/>
          <w:szCs w:val="24"/>
        </w:rPr>
        <w:t>, 2010)</w:t>
      </w:r>
      <w:r w:rsidR="00EF6844">
        <w:fldChar w:fldCharType="end"/>
      </w:r>
      <w:r w:rsidRPr="00AA22EE">
        <w:t xml:space="preserve">. </w:t>
      </w:r>
    </w:p>
    <w:p w:rsidR="007E60E4" w:rsidRDefault="008C4DD5" w:rsidP="00DC59CF">
      <w:r>
        <w:t xml:space="preserve">Studies examining AMF </w:t>
      </w:r>
      <w:r w:rsidR="007E60E4" w:rsidRPr="00AA22EE">
        <w:t>colonisation upon herbivorous insects are highly variable and in particular environmental conditions and host plant and fungi</w:t>
      </w:r>
      <w:r>
        <w:t xml:space="preserve"> taxa</w:t>
      </w:r>
      <w:r w:rsidR="007E60E4" w:rsidRPr="00AA22EE">
        <w:t xml:space="preserve"> </w:t>
      </w:r>
      <w:r>
        <w:t>may</w:t>
      </w:r>
      <w:r w:rsidR="007E60E4" w:rsidRPr="00AA22EE">
        <w:t xml:space="preserve"> determine the nature of this interaction</w:t>
      </w:r>
      <w:r w:rsidR="00A61C74">
        <w:t xml:space="preserve"> </w:t>
      </w:r>
      <w:r w:rsidR="00A61C74">
        <w:fldChar w:fldCharType="begin"/>
      </w:r>
      <w:r w:rsidR="00A61C74">
        <w:instrText xml:space="preserve"> ADDIN ZOTERO_ITEM CSL_CITATION {"citationID":"226t16q5k9","properties":{"formattedCitation":"{\\rtf (Pineda {\\i{}et al.}, 2010; Nishida {\\i{}et al.}, 2010)}","plainCitation":"(Pineda et al., 2010; Nishida et al., 2010)"},"citationItems":[{"id":1177,"uris":["http://zotero.org/users/local/d1gJDEOw/items/3PEGX5P5"],"uri":["http://zotero.org/users/local/d1gJDEOw/items/3PEGX5P5"],"itemData":{"id":1177,"type":"article-journal","title":"Helping plants to deal with insects: the role of beneficial soil-borne microbes","container-title":"Trends in Plant Science","page":"507-514","volume":"15","issue":"9","archive_location":"WOS:000282403000004","DOI":"10.1016/j.tplants.2010.05.007","ISSN":"1360-1385","shortTitle":"Helping plants to deal with insects: the role of beneficial soil-borne microbes","author":[{"family":"Pineda","given":"Ana"},{"family":"Zheng","given":"Si-Jun"},{"family":"Loon","given":"Joop J. A.","non-dropping-particle":"van"},{"family":"Pieterse","given":"Corne M. J."},{"family":"Dicke","given":"Marcel"}],"issued":{"date-parts":[["2010",9]]}}},{"id":1149,"uris":["http://zotero.org/users/local/d1gJDEOw/items/KJMD4G65"],"uri":["http://zotero.org/users/local/d1gJDEOw/items/KJMD4G65"],"itemData":{"id":1149,"type":"article-journal","title":"Arbuscular mycorrhizal fungi species-specifically affect induced plant responses to a spider mite","container-title":"Population Ecology","page":"507-515","volume":"52","issue":"4","archive_location":"WOS:000281703800006","abstract":"It is widely recognized that arbuscular mycorrhizal fungi (AMF) improve plant growth and nutrient conditions, but their effects can vary from negative to positive depending on AMF species. Since the performance of herbivorous arthropods varies with plant quality, different AMF species should differently affect the density of herbivorous arthropods on plants and the herbivore-induced plant responses. We examined the indirect effects of AMF on the number of spider mites (Tetranychus urticae) and the number of damaged leaves in an outdoor glass-chamber experiment, using Lotus japonicus plants inoculated with one of four different AMF species (Gigaspora margarita, Glomus etunicatum, Gl. intraradices, and Acaulospora longula). Plants with Gi. margarita and A. longula had significantly fewer female mites than plants with Gl. etunicatum and Gl. intraradices, and plants with Gi. margarita had the fewest damaged leaves, followed by plants with A. longula, Gl. intraradices, and Gl. etunicatum. To examine species-specific effects of AMF on herbivore-induced plant responses, we carried out a bioassay with eggs laid by spider mites, and analyses of leaf chemicals (carbon, nitrogen, phosphorus, and total phenolics) using plants subjected or not subjected to herbivory. The bioassay showed that mite egg production and its changes following mite herbivory changed depending on the AMF species. In addition, Principal component analysis for leaf chemicals revealed not only mite-induced changes in leaf chemical composition, but also AMF effects on the herbivore-induced response in a species-specific way. Thus, we need to pay more attention to the species identity of AMF as an important factor in determining the strength of effects of belowground AMF on the performance and/or preferences of aboveground herbivores.","DOI":"10.1007/s10144-010-0208-7","ISSN":"1438-3896","shortTitle":"Arbuscular mycorrhizal fungi species-specifically affect induced plant responses to a spider mite","journalAbbreviation":"Popul. Ecol.","language":"English","author":[{"family":"Nishida","given":"T."},{"family":"Katayama","given":"N."},{"family":"Izumi","given":"N."},{"family":"Ohgushi","given":"T."}],"issued":{"date-parts":[["2010",10]]}}}],"schema":"https://github.com/citation-style-language/schema/raw/master/csl-citation.json"} </w:instrText>
      </w:r>
      <w:r w:rsidR="00A61C74">
        <w:fldChar w:fldCharType="separate"/>
      </w:r>
      <w:r w:rsidR="00A61C74" w:rsidRPr="00A61C74">
        <w:rPr>
          <w:rFonts w:cs="Times New Roman"/>
          <w:szCs w:val="24"/>
        </w:rPr>
        <w:t xml:space="preserve">(Pineda </w:t>
      </w:r>
      <w:r w:rsidR="00A61C74" w:rsidRPr="00A61C74">
        <w:rPr>
          <w:rFonts w:cs="Times New Roman"/>
          <w:i/>
          <w:iCs/>
          <w:szCs w:val="24"/>
        </w:rPr>
        <w:t>et al.</w:t>
      </w:r>
      <w:r w:rsidR="00A61C74" w:rsidRPr="00A61C74">
        <w:rPr>
          <w:rFonts w:cs="Times New Roman"/>
          <w:szCs w:val="24"/>
        </w:rPr>
        <w:t xml:space="preserve">, 2010; Nishida </w:t>
      </w:r>
      <w:r w:rsidR="00A61C74" w:rsidRPr="00A61C74">
        <w:rPr>
          <w:rFonts w:cs="Times New Roman"/>
          <w:i/>
          <w:iCs/>
          <w:szCs w:val="24"/>
        </w:rPr>
        <w:t>et al.</w:t>
      </w:r>
      <w:r w:rsidR="00A61C74" w:rsidRPr="00A61C74">
        <w:rPr>
          <w:rFonts w:cs="Times New Roman"/>
          <w:szCs w:val="24"/>
        </w:rPr>
        <w:t>, 2010)</w:t>
      </w:r>
      <w:r w:rsidR="00A61C74">
        <w:fldChar w:fldCharType="end"/>
      </w:r>
      <w:r>
        <w:t>. There is some evidence of reduced herbivory of AMF colonised plants by generalist insect feeders</w:t>
      </w:r>
      <w:r w:rsidR="00A61C74">
        <w:t xml:space="preserve"> </w:t>
      </w:r>
      <w:r w:rsidR="00A61C74">
        <w:fldChar w:fldCharType="begin"/>
      </w:r>
      <w:r w:rsidR="00A61C74">
        <w:instrText xml:space="preserve"> ADDIN ZOTERO_ITEM CSL_CITATION {"citationID":"2bb6lfqu86","properties":{"formattedCitation":"{\\rtf (Fontana {\\i{}et al.}, 2009)}","plainCitation":"(Fontana et al., 2009)"},"citationItems":[{"id":944,"uris":["http://zotero.org/users/local/d1gJDEOw/items/JCR2UGSI"],"uri":["http://zotero.org/users/local/d1gJDEOw/items/JCR2UGSI"],"itemData":{"id":944,"type":"article-journal","title":"The Effects of Arbuscular Mycorrhizal Fungi on Direct and Indirect Defense Metabolites of Plantago lanceolata L","container-title":"Journal of Chemical Ecology","page":"833-843","volume":"35","issue":"7","archive_location":"WOS:000268250600011","abstract":"Arbuscular mycorrhizal fungi can strongly influence the metabolism of their host plant, but their effect on plant defense mechanisms has not yet been thoroughly investigated. We studied how the principal direct defenses (iridoid glycosides) and indirect defenses (volatile organic compounds) of Plantago lanceolata L. are affected by insect herbivory and mechanical wounding. Volatile compounds were collected and quantified from mycorrhizal and non-mycorrhizal P. lanceolata plants that underwent three different treatments: 1) insect herbivory, 2) mechanical wounding, or 3) no damage. The iridoids aucubin and catalpol were extracted and quantified from the same plants. Emission of terpenoid volatiles was significantly higher after insect herbivory than after the other treatments. However, herbivore-damaged mycorrhizal plants emitted lower amounts of sesquiterpenes, but not monoterpenes, than herbivore-damaged non-mycorrhizal plants. In contrast, mycorrhizal infection increased the emission of the green leaf volatile (Z)-3-hexenyl acetate in untreated control plants, making it comparable to emission from mechanically wounded or herbivore-damaged plants whether or not they had mycorrhizal associates. Neither mycorrhization nor treatment had any influence on the levels of iridoid glycosides. Thus, mycorrhizal infection did not have any effect on the levels of direct defense compounds measured in P. lanceolata. However, the large decline in herbivore-induced sesquiterpene emission may have important implications for the indirect defense potential of this species.","DOI":"10.1007/s10886-009-9654-0","ISSN":"0098-0331","shortTitle":"The Effects of Arbuscular Mycorrhizal Fungi on Direct and Indirect Defense Metabolites of Plantago lanceolata L","author":[{"family":"Fontana","given":"A."},{"family":"Reichelt","given":"M."},{"family":"Hempel","given":"S."},{"family":"Gershenzon","given":"J."},{"family":"Unsicker","given":"S. B."}],"issued":{"date-parts":[["2009",7]]}}}],"schema":"https://github.com/citation-style-language/schema/raw/master/csl-citation.json"} </w:instrText>
      </w:r>
      <w:r w:rsidR="00A61C74">
        <w:fldChar w:fldCharType="separate"/>
      </w:r>
      <w:r w:rsidR="00A61C74" w:rsidRPr="00A61C74">
        <w:rPr>
          <w:rFonts w:cs="Times New Roman"/>
          <w:szCs w:val="24"/>
        </w:rPr>
        <w:t xml:space="preserve">(Fontana </w:t>
      </w:r>
      <w:r w:rsidR="00A61C74" w:rsidRPr="00A61C74">
        <w:rPr>
          <w:rFonts w:cs="Times New Roman"/>
          <w:i/>
          <w:iCs/>
          <w:szCs w:val="24"/>
        </w:rPr>
        <w:t>et al.</w:t>
      </w:r>
      <w:r w:rsidR="00A61C74" w:rsidRPr="00A61C74">
        <w:rPr>
          <w:rFonts w:cs="Times New Roman"/>
          <w:szCs w:val="24"/>
        </w:rPr>
        <w:t>, 2009)</w:t>
      </w:r>
      <w:r w:rsidR="00A61C74">
        <w:fldChar w:fldCharType="end"/>
      </w:r>
      <w:r w:rsidR="007E60E4" w:rsidRPr="00AA22EE">
        <w:t>.  In contrast, specialist species which are highly adapted to feeding on a limited number of plant species, have been found to be more capable of responding to and overcome</w:t>
      </w:r>
      <w:r>
        <w:t xml:space="preserve"> the defences of the host plant and </w:t>
      </w:r>
      <w:r w:rsidR="007E60E4" w:rsidRPr="00AA22EE">
        <w:t>may even perform better due to improved nutrition and biomass of their host</w:t>
      </w:r>
      <w:r w:rsidR="00C75328">
        <w:t xml:space="preserve">. </w:t>
      </w:r>
      <w:r>
        <w:t xml:space="preserve">However </w:t>
      </w:r>
      <w:r w:rsidR="007E60E4" w:rsidRPr="00AA22EE">
        <w:t>negative effect</w:t>
      </w:r>
      <w:r>
        <w:t>s of herbivory on</w:t>
      </w:r>
      <w:r w:rsidR="007E60E4" w:rsidRPr="00AA22EE">
        <w:t xml:space="preserve"> plant biomass</w:t>
      </w:r>
      <w:r>
        <w:t xml:space="preserve"> may be</w:t>
      </w:r>
      <w:r w:rsidR="007E60E4" w:rsidRPr="00AA22EE">
        <w:t xml:space="preserve"> </w:t>
      </w:r>
      <w:r>
        <w:t>compensated for in AMF plants by improved recovery</w:t>
      </w:r>
      <w:r w:rsidR="00A61C74">
        <w:t xml:space="preserve"> </w:t>
      </w:r>
      <w:r w:rsidR="00A61C74">
        <w:fldChar w:fldCharType="begin"/>
      </w:r>
      <w:r w:rsidR="00A61C74">
        <w:instrText xml:space="preserve"> ADDIN ZOTERO_ITEM CSL_CITATION {"citationID":"ok6it686i","properties":{"formattedCitation":"{\\rtf (Hoffmann {\\i{}et al.}, 2009)}","plainCitation":"(Hoffmann et al., 2009)"},"citationItems":[{"id":1010,"uris":["http://zotero.org/users/local/d1gJDEOw/items/4SS5QTFG"],"uri":["http://zotero.org/users/local/d1gJDEOw/items/4SS5QTFG"],"itemData":{"id":1010,"type":"article-journal","title":"Arbuscular mycorrhizal symbiosis increases host plant acceptance and population growth rates of the two-spotted spider mite Tetranychus urticae","container-title":"Oecologia","page":"663-671","volume":"158","issue":"4","archive_location":"WOS:000261581700008","abstract":"Most terrestrial plants live in symbiosis with arbuscular mycorrhizal (AM) fungi. Studies on the direct interaction between plants and mycorrhizal fungi are numerous whereas studies on the indirect interaction between such fungi and herbivores feeding on aboveground plant parts are scarce. We studied the impact of AM symbiosis on host plant choice and life history of an acarine surface piercing-sucking herbivore, the polyphagous two-spotted spider mite Tetranychus urticae. Experiments were performed on detached leaflets taken from common bean plants (Phaseolus vulgaris) colonized or not colonized by the AM fungus Glomus mosseae. T. urticae females were subjected to choice tests between leaves from mycorrhizal and non-mycorrhizal plants. Juvenile survival and development, adult female survival, oviposition rate and offspring sex ratio were measured in order to estimate the population growth parameters of T. urticae on either substrate. Moreover, we analyzed the macro- and micronutrient concentration of the aboveground plant parts. Adult T. urticae females preferentially resided and oviposited on mycorrhizal versus non-mycorrhizal leaflets. AM symbiosis significantly decreased embryonic development time and increased the overall oviposition rate as well as the proportion of female offspring produced during peak oviposition. Altogether, the improved life history parameters resulted in significant changes in net reproductive rate, intrinsic rate of increase, doubling time and finite rate of increase. Aboveground parts of colonized plants showed higher concentrations of P and K whereas Mn and Zn were both found at lower levels. This is the first study documenting the effect of AM symbiosis on the population growth rates of a herbivore, tracking the changes in life history characteristics throughout the life cycle. We discuss the AM-plant-herbivore interaction in relation to plant quality, herbivore feeding type and site and the evolutionary implications in a multi-trophic context.","DOI":"10.1007/s00442-008-1179-7","ISSN":"0029-8549","shortTitle":"Arbuscular mycorrhizal symbiosis increases host plant acceptance and population growth rates of the two-spotted spider mite Tetranychus urticae","author":[{"family":"Hoffmann","given":"D."},{"family":"Vierheilig","given":"H."},{"family":"Riegler","given":"P."},{"family":"Schausberger","given":"P."}],"issued":{"date-parts":[["2009",1]]}}}],"schema":"https://github.com/citation-style-language/schema/raw/master/csl-citation.json"} </w:instrText>
      </w:r>
      <w:r w:rsidR="00A61C74">
        <w:fldChar w:fldCharType="separate"/>
      </w:r>
      <w:r w:rsidR="00A61C74" w:rsidRPr="00A61C74">
        <w:rPr>
          <w:rFonts w:cs="Times New Roman"/>
          <w:szCs w:val="24"/>
        </w:rPr>
        <w:t xml:space="preserve">(Hoffmann </w:t>
      </w:r>
      <w:r w:rsidR="00A61C74" w:rsidRPr="00A61C74">
        <w:rPr>
          <w:rFonts w:cs="Times New Roman"/>
          <w:i/>
          <w:iCs/>
          <w:szCs w:val="24"/>
        </w:rPr>
        <w:t>et al.</w:t>
      </w:r>
      <w:r w:rsidR="00A61C74" w:rsidRPr="00A61C74">
        <w:rPr>
          <w:rFonts w:cs="Times New Roman"/>
          <w:szCs w:val="24"/>
        </w:rPr>
        <w:t>, 2009)</w:t>
      </w:r>
      <w:r w:rsidR="00A61C74">
        <w:fldChar w:fldCharType="end"/>
      </w:r>
      <w:r w:rsidR="007E60E4" w:rsidRPr="00AA22EE">
        <w:t>. Similarly, improved nutrition of AM</w:t>
      </w:r>
      <w:r w:rsidR="00E71796">
        <w:t>F</w:t>
      </w:r>
      <w:r w:rsidR="007E60E4" w:rsidRPr="00AA22EE">
        <w:t xml:space="preserve"> plants may indirectly reduce herbivory as healthy plants are able to increase volatile production when under attack by herbivores and therefore are more effective in attracting </w:t>
      </w:r>
      <w:proofErr w:type="spellStart"/>
      <w:r w:rsidR="007E60E4" w:rsidRPr="00AA22EE">
        <w:t>parasitoids</w:t>
      </w:r>
      <w:proofErr w:type="spellEnd"/>
      <w:r w:rsidR="007E60E4" w:rsidRPr="00AA22EE">
        <w:t xml:space="preserve"> and predators to control the attacking species</w:t>
      </w:r>
      <w:r w:rsidR="00A61C74">
        <w:t xml:space="preserve"> </w:t>
      </w:r>
      <w:r w:rsidR="00A61C74">
        <w:fldChar w:fldCharType="begin"/>
      </w:r>
      <w:r w:rsidR="00A61C74">
        <w:instrText xml:space="preserve"> ADDIN ZOTERO_ITEM CSL_CITATION {"citationID":"f37qrqc4u","properties":{"formattedCitation":"{\\rtf (Schausberger {\\i{}et al.}, 2012)}","plainCitation":"(Schausberger et al., 2012)"},"citationItems":[{"id":1241,"uris":["http://zotero.org/users/local/d1gJDEOw/items/WMKA48HP"],"uri":["http://zotero.org/users/local/d1gJDEOw/items/WMKA48HP"],"itemData":{"id":1241,"type":"article-journal","title":"Mycorrhiza changes plant volatiles to attract spider mite enemies","container-title":"Functional Ecology","page":"441-449","volume":"26","issue":"2","archive_location":"WOS:000302011400016","abstract":"1. Indirect induced plant defence via emission of herbivore-induced plant volatiles (HIPV) to recruit natural enemies of herbivores is a ubiquitous phenomenon, but whether and how emission of above-ground HIPVs is adaptively modulated by below-ground mutualistic micro-organisms is unknown. 2. We investigated the effects of the mycorrhizal fungus Glomus mosseae on chemical composition of HIPVs emitted by bean plants Phaseolus vulgaris attacked by spider mites, Tetranychus urticae, using proton-transfer mass spectrometry, and attraction of the spider mites' natural enemy, the predatory mite Phytoseiulus persimilis, to these HIPVs using a Y-tube olfactometer. 3. Mycorrhiza significantly changed the HIPV composition. Most notably, it increased the emission of b-ocimene and b-caryophyllene, two compounds synthesized de novo upon spider mite attack. The constitutively emitted methyl salicylate was increased by spider mite infestation but decreased by mycorrhiza. 4. The predators responded strongly to HIPVs emitted by plants infested for 6 days and preferred HIPVs of mycorrhizal plants to those of non-mycorrhizal plants. In contrast, they were less responsive and indiscriminative to mycorrhization when exposed to volatiles emitted by non-infested plants and plants infested by spider mites for 1 or 3 days. 5. Our study provides a key example of an adaptive indirect HIPV-mediated interaction of a below-ground micro-organism with an above-ground carnivore.","DOI":"10.1111/j.1365-2435.2011.01947.x","ISSN":"0269-8463","shortTitle":"Mycorrhiza changes plant volatiles to attract spider mite enemies","journalAbbreviation":"Funct. Ecol.","language":"English","author":[{"family":"Schausberger","given":"P."},{"family":"Peneder","given":"S."},{"family":"Jurschik","given":"S."},{"family":"Hoffmann","given":"D."}],"issued":{"date-parts":[["2012",4]]}}}],"schema":"https://github.com/citation-style-language/schema/raw/master/csl-citation.json"} </w:instrText>
      </w:r>
      <w:r w:rsidR="00A61C74">
        <w:fldChar w:fldCharType="separate"/>
      </w:r>
      <w:r w:rsidR="00A61C74" w:rsidRPr="00A61C74">
        <w:rPr>
          <w:rFonts w:cs="Times New Roman"/>
          <w:szCs w:val="24"/>
        </w:rPr>
        <w:t>(</w:t>
      </w:r>
      <w:proofErr w:type="spellStart"/>
      <w:r w:rsidR="00A61C74" w:rsidRPr="00A61C74">
        <w:rPr>
          <w:rFonts w:cs="Times New Roman"/>
          <w:szCs w:val="24"/>
        </w:rPr>
        <w:t>Schausberger</w:t>
      </w:r>
      <w:proofErr w:type="spellEnd"/>
      <w:r w:rsidR="00A61C74" w:rsidRPr="00A61C74">
        <w:rPr>
          <w:rFonts w:cs="Times New Roman"/>
          <w:szCs w:val="24"/>
        </w:rPr>
        <w:t xml:space="preserve"> </w:t>
      </w:r>
      <w:r w:rsidR="00A61C74" w:rsidRPr="00A61C74">
        <w:rPr>
          <w:rFonts w:cs="Times New Roman"/>
          <w:i/>
          <w:iCs/>
          <w:szCs w:val="24"/>
        </w:rPr>
        <w:t>et al.</w:t>
      </w:r>
      <w:r w:rsidR="00A61C74" w:rsidRPr="00A61C74">
        <w:rPr>
          <w:rFonts w:cs="Times New Roman"/>
          <w:szCs w:val="24"/>
        </w:rPr>
        <w:t>, 2012)</w:t>
      </w:r>
      <w:r w:rsidR="00A61C74">
        <w:fldChar w:fldCharType="end"/>
      </w:r>
      <w:r w:rsidR="007E60E4" w:rsidRPr="00AA22EE">
        <w:t>. Protection against herbivory by AM</w:t>
      </w:r>
      <w:r>
        <w:t>F</w:t>
      </w:r>
      <w:r w:rsidR="007E60E4" w:rsidRPr="00AA22EE">
        <w:t xml:space="preserve"> colonised plants may also depend upon insect feeding strategy as plant defences are better able to detect and target herbivores such as leaf miners which induce large scale tissue damage</w:t>
      </w:r>
      <w:r w:rsidR="00A61C74">
        <w:t xml:space="preserve"> </w:t>
      </w:r>
      <w:r w:rsidR="00A61C74">
        <w:fldChar w:fldCharType="begin"/>
      </w:r>
      <w:r w:rsidR="00A61C74">
        <w:instrText xml:space="preserve"> ADDIN ZOTERO_ITEM CSL_CITATION {"citationID":"1ikgpvlk1o","properties":{"formattedCitation":"(Walling, 2008)","plainCitation":"(Walling, 2008)"},"citationItems":[{"id":1347,"uris":["http://zotero.org/users/local/d1gJDEOw/items/R66ZQFXX"],"uri":["http://zotero.org/users/local/d1gJDEOw/items/R66ZQFXX"],"itemData":{"id":1347,"type":"article-journal","title":"Avoiding effective defenses: Strategies employed by phloem-feeding insects","container-title":"Plant Physiology","page":"859-866","volume":"146","issue":"3","archive_location":"WOS:000256412200010","DOI":"10.1104/pp.107.113142","ISSN":"0032-0889","shortTitle":"Avoiding effective defenses: Strategies employed by phloem-feeding insects","author":[{"family":"Walling","given":"L. L."}],"issued":{"date-parts":[["2008",3]]}}}],"schema":"https://github.com/citation-style-language/schema/raw/master/csl-citation.json"} </w:instrText>
      </w:r>
      <w:r w:rsidR="00A61C74">
        <w:fldChar w:fldCharType="separate"/>
      </w:r>
      <w:r w:rsidR="00A61C74" w:rsidRPr="00A61C74">
        <w:rPr>
          <w:rFonts w:cs="Times New Roman"/>
        </w:rPr>
        <w:t>(Walling, 2008)</w:t>
      </w:r>
      <w:r w:rsidR="00A61C74">
        <w:fldChar w:fldCharType="end"/>
      </w:r>
      <w:r w:rsidR="007E60E4" w:rsidRPr="00AA22EE">
        <w:t>. In comparison insects which induce low level localised tissue damage su</w:t>
      </w:r>
      <w:r w:rsidR="00E71796">
        <w:t>ch as phloem sucking insects may be</w:t>
      </w:r>
      <w:r w:rsidR="007E60E4" w:rsidRPr="00AA22EE">
        <w:t xml:space="preserve"> </w:t>
      </w:r>
      <w:r w:rsidR="00E71796">
        <w:t xml:space="preserve">able to evade detection by the plant immune system </w:t>
      </w:r>
      <w:r w:rsidR="00A61C74">
        <w:fldChar w:fldCharType="begin"/>
      </w:r>
      <w:r w:rsidR="00A61C74">
        <w:instrText xml:space="preserve"> ADDIN ZOTERO_ITEM CSL_CITATION {"citationID":"1gnqpnl0bu","properties":{"formattedCitation":"(Walling, 2008)","plainCitation":"(Walling, 2008)"},"citationItems":[{"id":1347,"uris":["http://zotero.org/users/local/d1gJDEOw/items/R66ZQFXX"],"uri":["http://zotero.org/users/local/d1gJDEOw/items/R66ZQFXX"],"itemData":{"id":1347,"type":"article-journal","title":"Avoiding effective defenses: Strategies employed by phloem-feeding insects","container-title":"Plant Physiology","page":"859-866","volume":"146","issue":"3","archive_location":"WOS:000256412200010","DOI":"10.1104/pp.107.113142","ISSN":"0032-0889","shortTitle":"Avoiding effective defenses: Strategies employed by phloem-feeding insects","author":[{"family":"Walling","given":"L. L."}],"issued":{"date-parts":[["2008",3]]}}}],"schema":"https://github.com/citation-style-language/schema/raw/master/csl-citation.json"} </w:instrText>
      </w:r>
      <w:r w:rsidR="00A61C74">
        <w:fldChar w:fldCharType="separate"/>
      </w:r>
      <w:r w:rsidR="00A61C74" w:rsidRPr="00A61C74">
        <w:rPr>
          <w:rFonts w:cs="Times New Roman"/>
        </w:rPr>
        <w:t>(Walling, 2008)</w:t>
      </w:r>
      <w:r w:rsidR="00A61C74">
        <w:fldChar w:fldCharType="end"/>
      </w:r>
      <w:r w:rsidR="007E60E4" w:rsidRPr="00AA22EE">
        <w:t xml:space="preserve"> </w:t>
      </w:r>
      <w:r w:rsidR="00E71796">
        <w:t>therefore</w:t>
      </w:r>
      <w:r w:rsidR="007E60E4" w:rsidRPr="00AA22EE">
        <w:t xml:space="preserve"> incidence of herbivory by these insects may even be elevated in </w:t>
      </w:r>
      <w:r w:rsidR="00E71796">
        <w:t>mycorrhizal</w:t>
      </w:r>
      <w:r w:rsidR="007E60E4" w:rsidRPr="00AA22EE">
        <w:t xml:space="preserve"> plants due to  the improved nutritional quality</w:t>
      </w:r>
      <w:r w:rsidR="00A61C74">
        <w:t xml:space="preserve"> </w:t>
      </w:r>
      <w:r w:rsidR="00A61C74">
        <w:fldChar w:fldCharType="begin"/>
      </w:r>
      <w:r w:rsidR="00A61C74">
        <w:instrText xml:space="preserve"> ADDIN ZOTERO_ITEM CSL_CITATION {"citationID":"1opii98vld","properties":{"formattedCitation":"{\\rtf (Goverde {\\i{}et al.}, 2000)}","plainCitation":"(Goverde et al., 2000)"},"citationItems":[{"id":978,"uris":["http://zotero.org/users/local/d1gJDEOw/items/AW6QVG29"],"uri":["http://zotero.org/users/local/d1gJDEOw/items/AW6QVG29"],"itemData":{"id":978,"type":"article-journal","title":"Arbuscular mycorrhizal fungi influence life history traits of a lepidopteran herbivore","container-title":"Oecologia","page":"362-369","volume":"125","issue":"3","archive_location":"WOS:000165442700007","abstract":"Results from pot and microcosm studies in the greenhouse have shown that plant growth and foliar chemistry is altered by the presence and species composition of arbuscular mycorrhizal fungi (AMF). The growth and survival of herbivores which feed on plants could, as a consequence, also be affected by these mutualistic soil fungi. Consequently, interactions between AMF, plants and herbivores could occur. To test this, larvae of the common blue butterfly, Polyommatus icarus (Lycaenidae), were fed with sprigs of Lotus corniculatus (Fabaceae) plants which were inoculated with one of two different AMF species, with a mixture of these AMF species or with sprigs of plants which were not inoculated with AMF Survival and larval weight of third instar larvae fed with plants colonised by AMF were greater than those of larvae fed with non-mycorrhizal plants. Survival of larvae feeding on non-mycorrhizal plants was 1.6 times lower than that of larvae feeding on plants inoculated with a mixture of AMF species and 3.8 times lower than that of larvae feeding on plants inoculated with single AMF species. Furthermore, larvae fed with non-mycorrhizal plants attained only about half the weight of larvae fed with mycorrhizal plants after 11 days of growth. These differences in larval performance might be explained by differences in leaf chemistry, since mycorrhizal plants had a 3 times higher leaf P concentration and a higher C/N-ratio. Our results, thus, show that the presence of belowground mutualistic soil fungi influences the performance of aboveground herbivores by altering their food quality. Larval consumption, larval food use and adult lipid concentrations of the common blue butterfly differed between larvae which were fed with plants inoculated with different AMF species. This suggests that the performance of herbivores is not only influenced by the presence of AMF but also depends on the identity of the AMF species colonising the host plants. Moreover, a significant interaction term between AMF species and maternal identity of the larvae occurred for adult dry weight, indicating that the performance of offspring from different females was differently influenced by AMF species composition. To our knowledge, these results show for the first time that the species composition of AMF communities can influence life-history traits of butterfly larvae and possibly herbivores in general.","DOI":"10.1007/s004420000465","ISSN":"0029-8549","shortTitle":"Arbuscular mycorrhizal fungi influence life history traits of a lepidopteran herbivore","author":[{"family":"Goverde","given":"M."},{"family":"Heijden","given":"M. G. A.","non-dropping-particle":"van der"},{"family":"Wiemken","given":"A."},{"family":"Sanders","given":"I. R."},{"family":"Erhardt","given":"A."}],"issued":{"date-parts":[["2000",11]]}}}],"schema":"https://github.com/citation-style-language/schema/raw/master/csl-citation.json"} </w:instrText>
      </w:r>
      <w:r w:rsidR="00A61C74">
        <w:fldChar w:fldCharType="separate"/>
      </w:r>
      <w:r w:rsidR="00A61C74" w:rsidRPr="00A61C74">
        <w:rPr>
          <w:rFonts w:cs="Times New Roman"/>
          <w:szCs w:val="24"/>
        </w:rPr>
        <w:t>(</w:t>
      </w:r>
      <w:proofErr w:type="spellStart"/>
      <w:r w:rsidR="00A61C74" w:rsidRPr="00A61C74">
        <w:rPr>
          <w:rFonts w:cs="Times New Roman"/>
          <w:szCs w:val="24"/>
        </w:rPr>
        <w:t>Goverde</w:t>
      </w:r>
      <w:proofErr w:type="spellEnd"/>
      <w:r w:rsidR="00A61C74" w:rsidRPr="00A61C74">
        <w:rPr>
          <w:rFonts w:cs="Times New Roman"/>
          <w:szCs w:val="24"/>
        </w:rPr>
        <w:t xml:space="preserve"> </w:t>
      </w:r>
      <w:r w:rsidR="00A61C74" w:rsidRPr="00A61C74">
        <w:rPr>
          <w:rFonts w:cs="Times New Roman"/>
          <w:i/>
          <w:iCs/>
          <w:szCs w:val="24"/>
        </w:rPr>
        <w:t>et al.</w:t>
      </w:r>
      <w:r w:rsidR="00A61C74" w:rsidRPr="00A61C74">
        <w:rPr>
          <w:rFonts w:cs="Times New Roman"/>
          <w:szCs w:val="24"/>
        </w:rPr>
        <w:t>, 2000)</w:t>
      </w:r>
      <w:r w:rsidR="00A61C74">
        <w:fldChar w:fldCharType="end"/>
      </w:r>
      <w:r w:rsidR="007E60E4" w:rsidRPr="00AA22EE">
        <w:t>.</w:t>
      </w:r>
    </w:p>
    <w:p w:rsidR="00DC59CF" w:rsidRDefault="00DC59CF" w:rsidP="007E60E4">
      <w:pPr>
        <w:contextualSpacing/>
        <w:rPr>
          <w:rFonts w:cs="Times New Roman"/>
        </w:rPr>
      </w:pPr>
      <w:r>
        <w:rPr>
          <w:rFonts w:cs="Times New Roman"/>
        </w:rPr>
        <w:br w:type="page"/>
      </w:r>
    </w:p>
    <w:p w:rsidR="007E60E4" w:rsidRPr="00AA22EE" w:rsidRDefault="007E60E4" w:rsidP="007E60E4">
      <w:pPr>
        <w:contextualSpacing/>
        <w:rPr>
          <w:rFonts w:cs="Times New Roman"/>
        </w:rPr>
      </w:pPr>
      <w:r>
        <w:rPr>
          <w:rFonts w:cs="Times New Roman"/>
          <w:noProof/>
          <w:lang w:eastAsia="en-GB"/>
        </w:rPr>
        <w:lastRenderedPageBreak/>
        <w:drawing>
          <wp:inline distT="0" distB="0" distL="0" distR="0" wp14:anchorId="7350FA7B" wp14:editId="04A63ECB">
            <wp:extent cx="5208345" cy="3518612"/>
            <wp:effectExtent l="0" t="0" r="0" b="571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lant_defence_3.png"/>
                    <pic:cNvPicPr/>
                  </pic:nvPicPr>
                  <pic:blipFill rotWithShape="1">
                    <a:blip r:embed="rId12">
                      <a:extLst>
                        <a:ext uri="{28A0092B-C50C-407E-A947-70E740481C1C}">
                          <a14:useLocalDpi xmlns:a14="http://schemas.microsoft.com/office/drawing/2010/main" val="0"/>
                        </a:ext>
                      </a:extLst>
                    </a:blip>
                    <a:srcRect l="10561" t="5296" r="12657" b="2492"/>
                    <a:stretch/>
                  </pic:blipFill>
                  <pic:spPr bwMode="auto">
                    <a:xfrm>
                      <a:off x="0" y="0"/>
                      <a:ext cx="5273302" cy="3562495"/>
                    </a:xfrm>
                    <a:prstGeom prst="rect">
                      <a:avLst/>
                    </a:prstGeom>
                    <a:ln>
                      <a:noFill/>
                    </a:ln>
                    <a:extLst>
                      <a:ext uri="{53640926-AAD7-44D8-BBD7-CCE9431645EC}">
                        <a14:shadowObscured xmlns:a14="http://schemas.microsoft.com/office/drawing/2010/main"/>
                      </a:ext>
                    </a:extLst>
                  </pic:spPr>
                </pic:pic>
              </a:graphicData>
            </a:graphic>
          </wp:inline>
        </w:drawing>
      </w:r>
    </w:p>
    <w:p w:rsidR="007E60E4" w:rsidRPr="00E57CEB" w:rsidRDefault="007E60E4" w:rsidP="007E60E4">
      <w:pPr>
        <w:pStyle w:val="Caption"/>
        <w:rPr>
          <w:rFonts w:cs="Times New Roman"/>
        </w:rPr>
      </w:pPr>
      <w:bookmarkStart w:id="30" w:name="_Ref469844064"/>
      <w:bookmarkStart w:id="31" w:name="_Toc469982757"/>
      <w:r w:rsidRPr="00E57CEB">
        <w:t xml:space="preserve">Figure </w:t>
      </w:r>
      <w:r w:rsidR="00C44EF5">
        <w:fldChar w:fldCharType="begin"/>
      </w:r>
      <w:r w:rsidR="00C44EF5">
        <w:instrText xml:space="preserve"> STYLEREF 1 \s </w:instrText>
      </w:r>
      <w:r w:rsidR="00C44EF5">
        <w:fldChar w:fldCharType="separate"/>
      </w:r>
      <w:r w:rsidR="00E0714D">
        <w:rPr>
          <w:noProof/>
        </w:rPr>
        <w:t>1</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2</w:t>
      </w:r>
      <w:r w:rsidR="00C44EF5">
        <w:rPr>
          <w:noProof/>
        </w:rPr>
        <w:fldChar w:fldCharType="end"/>
      </w:r>
      <w:bookmarkEnd w:id="30"/>
      <w:r>
        <w:t xml:space="preserve"> </w:t>
      </w:r>
      <w:r w:rsidRPr="00AA22EE">
        <w:rPr>
          <w:rFonts w:cs="Times New Roman"/>
        </w:rPr>
        <w:t>Summary of role of AM in plant defence  highlighting that although the overall effect of AM</w:t>
      </w:r>
      <w:r w:rsidR="00E71796">
        <w:rPr>
          <w:rFonts w:cs="Times New Roman"/>
        </w:rPr>
        <w:t>F</w:t>
      </w:r>
      <w:r w:rsidRPr="00AA22EE">
        <w:rPr>
          <w:rFonts w:cs="Times New Roman"/>
        </w:rPr>
        <w:t xml:space="preserve"> upon plant defence is positive it is apparent that AM</w:t>
      </w:r>
      <w:r w:rsidR="00E71796">
        <w:rPr>
          <w:rFonts w:cs="Times New Roman"/>
        </w:rPr>
        <w:t>F</w:t>
      </w:r>
      <w:r w:rsidRPr="00AA22EE">
        <w:rPr>
          <w:rFonts w:cs="Times New Roman"/>
        </w:rPr>
        <w:t xml:space="preserve"> association may improve susceptibility </w:t>
      </w:r>
      <w:r>
        <w:rPr>
          <w:rFonts w:cs="Times New Roman"/>
        </w:rPr>
        <w:t>to a select number of pathogens</w:t>
      </w:r>
      <w:r w:rsidRPr="00E57CEB">
        <w:rPr>
          <w:rFonts w:cs="Times New Roman"/>
        </w:rPr>
        <w:t xml:space="preserve"> </w:t>
      </w:r>
      <w:r w:rsidRPr="00AA22EE">
        <w:rPr>
          <w:rFonts w:cs="Times New Roman"/>
        </w:rPr>
        <w:t xml:space="preserve">(Adapted from </w:t>
      </w:r>
      <w:r w:rsidRPr="00AA22EE">
        <w:rPr>
          <w:rFonts w:cs="Times New Roman"/>
        </w:rPr>
        <w:fldChar w:fldCharType="begin">
          <w:fldData xml:space="preserve">PEVuZE5vdGU+PENpdGU+PEF1dGhvcj5KdW5nPC9BdXRob3I+PFllYXI+MjAxMjwvWWVhcj48SURU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</w:fldData>
        </w:fldChar>
      </w:r>
      <w:r w:rsidRPr="00AA22EE">
        <w:rPr>
          <w:rFonts w:cs="Times New Roman"/>
        </w:rPr>
        <w:instrText xml:space="preserve"> ADDIN EN.CITE </w:instrText>
      </w:r>
      <w:r w:rsidRPr="00AA22EE">
        <w:rPr>
          <w:rFonts w:cs="Times New Roman"/>
        </w:rPr>
        <w:fldChar w:fldCharType="begin">
          <w:fldData xml:space="preserve">PEVuZE5vdGU+PENpdGU+PEF1dGhvcj5KdW5nPC9BdXRob3I+PFllYXI+MjAxMjwvWWVhcj48SURU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</w:fldData>
        </w:fldChar>
      </w:r>
      <w:r w:rsidRPr="00AA22EE">
        <w:rPr>
          <w:rFonts w:cs="Times New Roman"/>
        </w:rPr>
        <w:instrText xml:space="preserve"> ADDIN EN.CITE.DATA </w:instrText>
      </w:r>
      <w:r w:rsidRPr="00AA22EE">
        <w:rPr>
          <w:rFonts w:cs="Times New Roman"/>
        </w:rPr>
      </w:r>
      <w:r w:rsidRPr="00AA22EE">
        <w:rPr>
          <w:rFonts w:cs="Times New Roman"/>
        </w:rPr>
        <w:fldChar w:fldCharType="end"/>
      </w:r>
      <w:r w:rsidRPr="00AA22EE">
        <w:rPr>
          <w:rFonts w:cs="Times New Roman"/>
        </w:rPr>
      </w:r>
      <w:r w:rsidRPr="00AA22EE">
        <w:rPr>
          <w:rFonts w:cs="Times New Roman"/>
        </w:rPr>
        <w:fldChar w:fldCharType="separate"/>
      </w:r>
      <w:r w:rsidRPr="00AA22EE">
        <w:rPr>
          <w:rFonts w:cs="Times New Roman"/>
          <w:noProof/>
        </w:rPr>
        <w:t>Jung et al. 2012)</w:t>
      </w:r>
      <w:bookmarkEnd w:id="31"/>
      <w:r w:rsidRPr="00AA22EE">
        <w:rPr>
          <w:rFonts w:cs="Times New Roman"/>
        </w:rPr>
        <w:fldChar w:fldCharType="end"/>
      </w:r>
    </w:p>
    <w:p w:rsidR="007E60E4" w:rsidRPr="00AA22EE" w:rsidRDefault="007E60E4" w:rsidP="007E60E4">
      <w:pPr>
        <w:pStyle w:val="Heading3"/>
        <w:rPr>
          <w:rFonts w:cs="Times New Roman"/>
        </w:rPr>
      </w:pPr>
      <w:bookmarkStart w:id="32" w:name="_Toc463208976"/>
      <w:bookmarkStart w:id="33" w:name="_Toc469855001"/>
      <w:bookmarkStart w:id="34" w:name="_Toc469856001"/>
      <w:bookmarkStart w:id="35" w:name="_Toc469931910"/>
      <w:bookmarkStart w:id="36" w:name="_Toc469982232"/>
      <w:r w:rsidRPr="00AA22EE">
        <w:rPr>
          <w:rFonts w:cs="Times New Roman"/>
        </w:rPr>
        <w:t>Drought tolerance</w:t>
      </w:r>
      <w:bookmarkEnd w:id="32"/>
      <w:bookmarkEnd w:id="33"/>
      <w:bookmarkEnd w:id="34"/>
      <w:bookmarkEnd w:id="35"/>
      <w:bookmarkEnd w:id="36"/>
    </w:p>
    <w:p w:rsidR="007E60E4" w:rsidRPr="00AA22EE" w:rsidRDefault="007E60E4" w:rsidP="00DE54FD">
      <w:r w:rsidRPr="00AA22EE">
        <w:t xml:space="preserve">Water deficiency </w:t>
      </w:r>
      <w:r w:rsidR="00C75328">
        <w:t>may be a major limitation of</w:t>
      </w:r>
      <w:r w:rsidRPr="00AA22EE">
        <w:t xml:space="preserve"> </w:t>
      </w:r>
      <w:r w:rsidR="00C75328">
        <w:t>plant productivity and t</w:t>
      </w:r>
      <w:r w:rsidR="00E71796">
        <w:t xml:space="preserve">here is evidence </w:t>
      </w:r>
      <w:r w:rsidRPr="00AA22EE">
        <w:t>that AM</w:t>
      </w:r>
      <w:r w:rsidR="00E71796">
        <w:t>F</w:t>
      </w:r>
      <w:r w:rsidRPr="00AA22EE">
        <w:t xml:space="preserve"> colonisation may allow plants to grow better under conditions of water stress </w:t>
      </w:r>
      <w:r>
        <w:fldChar w:fldCharType="begin"/>
      </w:r>
      <w:r w:rsidR="0055532F">
        <w:instrText xml:space="preserve"> ADDIN ZOTERO_ITEM CSL_CITATION {"citationID":"23g8osp4o0","properties":{"formattedCitation":"{\\rtf (Aug\\uc0\\u233{}, 2004)}","plainCitation":"(Augé, 2004)"},"citationItems":[{"id":145,"uris":["http://zotero.org/users/local/d1gJDEOw/items/AUICBQE2"],"uri":["http://zotero.org/users/local/d1gJDEOw/items/AUICBQE2"],"itemData":{"id":145,"type":"article-journal","title":"Arbuscular mycorrhizae and soil/plant water relations","container-title":"Canadian Journal of Soil Science","page":"373-381","volume":"84","issue":"4","source":"Web of Science","ISSN":"0008-4271","note":"WOS:000226685500004","journalAbbreviation":"Can. J. Soil Sci.","language":"English","author":[{"family":"Augé","given":"R. M."}],"issued":{"date-parts":[["2004",12]]}}}],"schema":"https://github.com/citation-style-language/schema/raw/master/csl-citation.json"} </w:instrText>
      </w:r>
      <w:r>
        <w:fldChar w:fldCharType="separate"/>
      </w:r>
      <w:r w:rsidR="0055532F" w:rsidRPr="00F00459">
        <w:rPr>
          <w:rFonts w:cs="Times New Roman"/>
          <w:szCs w:val="24"/>
        </w:rPr>
        <w:t>(Augé, 2004)</w:t>
      </w:r>
      <w:r>
        <w:fldChar w:fldCharType="end"/>
      </w:r>
      <w:r w:rsidRPr="00AA22EE">
        <w:t xml:space="preserve"> with </w:t>
      </w:r>
      <w:r w:rsidR="00D653CB">
        <w:t xml:space="preserve">experimental </w:t>
      </w:r>
      <w:r w:rsidRPr="00AA22EE">
        <w:t>studies</w:t>
      </w:r>
      <w:r w:rsidR="00E71796">
        <w:t xml:space="preserve"> reporting improved growth of mycorrhizal</w:t>
      </w:r>
      <w:r w:rsidRPr="00AA22EE">
        <w:t xml:space="preserve"> plants under drought conditions for a </w:t>
      </w:r>
      <w:r w:rsidR="00E71796">
        <w:t>number</w:t>
      </w:r>
      <w:r w:rsidR="00D653CB">
        <w:t xml:space="preserve"> of crops</w:t>
      </w:r>
      <w:r w:rsidR="00A61C74">
        <w:t xml:space="preserve"> </w:t>
      </w:r>
      <w:r w:rsidR="00A61C74">
        <w:fldChar w:fldCharType="begin"/>
      </w:r>
      <w:r w:rsidR="00A61C74">
        <w:instrText xml:space="preserve"> ADDIN ZOTERO_ITEM CSL_CITATION {"citationID":"2mjb6l9fv1","properties":{"formattedCitation":"(Porcel &amp; Ruiz-Lozano, 2004)","plainCitation":"(Porcel &amp; Ruiz-Lozano, 2004)"},"citationItems":[{"id":1189,"uris":["http://zotero.org/users/local/d1gJDEOw/items/QJTIRFFI"],"uri":["http://zotero.org/users/local/d1gJDEOw/items/QJTIRFFI"],"itemData":{"id":1189,"type":"article-journal","title":"Arbuscular mycorrhizal influence on leaf water potential, solute accumulation, and oxidative stress in soybean plants subjected to drought stress","container-title":"Journal of Experimental Botany","page":"1743-1750","volume":"55","issue":"403","archive_location":"WOS:000223348400015","abstract":"This study investigated several aspects related to drought tolerance in arbuscular mycorrhizal (AM) soybean plants. The investigation included both shoot and root tissues in order to reveal the preferred target tissue for AM effects against drought stress. Non-AM and AM soybean plants were grown under well-watered or drought-stressed conditions, and leaf water status, solute accumulation, oxidative damage to lipids, and other parameters were determined. Results showed that AM plants were protected against drought, as shown by their significantly higher shoot-biomass production. The leaf water potential was also higher in stressed AM plants (-1.9 MPa) than in non-AM plants (-2.5 MPa). The AM roots had accumulated more proline than non-AM roots, while the opposite was observed in shoots. Lipid peroxides were 55% lower in shoots of droughted AM plants than in droughted non-AM plants. Since there was no correlation between the lower oxidative damage to lipids in AM plants and the activity of antioxidant enzymes, it seems that first the AM symbiosis enhanced osmotic adjustment in roots, which could contribute to maintaining a water potential gradient favourable to the water entrance from soil into the roots. This enabled higher leaf water potential in AM plants during drought and kept the plants protected against oxidative stress, and these cumulative effects increased the plant tolerance to drought.","DOI":"10.1093/jxb/erh188","ISSN":"0022-0957","shortTitle":"Arbuscular mycorrhizal influence on leaf water potential, solute accumulation, and oxidative stress in soybean plants subjected to drought stress","author":[{"family":"Porcel","given":"R."},{"family":"Ruiz-Lozano","given":"J. M."}],"issued":{"date-parts":[["2004",8]]}}}],"schema":"https://github.com/citation-style-language/schema/raw/master/csl-citation.json"} </w:instrText>
      </w:r>
      <w:r w:rsidR="00A61C74">
        <w:fldChar w:fldCharType="separate"/>
      </w:r>
      <w:r w:rsidR="00A61C74" w:rsidRPr="00A61C74">
        <w:rPr>
          <w:rFonts w:cs="Times New Roman"/>
        </w:rPr>
        <w:t>(</w:t>
      </w:r>
      <w:proofErr w:type="spellStart"/>
      <w:r w:rsidR="00A61C74" w:rsidRPr="00A61C74">
        <w:rPr>
          <w:rFonts w:cs="Times New Roman"/>
        </w:rPr>
        <w:t>Porcel</w:t>
      </w:r>
      <w:proofErr w:type="spellEnd"/>
      <w:r w:rsidR="00A61C74" w:rsidRPr="00A61C74">
        <w:rPr>
          <w:rFonts w:cs="Times New Roman"/>
        </w:rPr>
        <w:t xml:space="preserve"> &amp; Ruiz-Lozano, 2004)</w:t>
      </w:r>
      <w:r w:rsidR="00A61C74">
        <w:fldChar w:fldCharType="end"/>
      </w:r>
      <w:r w:rsidRPr="00AA22EE">
        <w:t>. The role of improved drought resistance of crops</w:t>
      </w:r>
      <w:r>
        <w:t xml:space="preserve"> colonised by AMF</w:t>
      </w:r>
      <w:r w:rsidRPr="00AA22EE">
        <w:t xml:space="preserve"> is particularly significant considering the increased frequency of drought events predicted with climate change</w:t>
      </w:r>
      <w:r>
        <w:t xml:space="preserve"> </w:t>
      </w:r>
      <w:r>
        <w:fldChar w:fldCharType="begin"/>
      </w:r>
      <w:r w:rsidR="00954B3D">
        <w:instrText xml:space="preserve"> ADDIN ZOTERO_ITEM CSL_CITATION {"citationID":"27kd3q9ott","properties":{"formattedCitation":"(IPCC, 2014)","plainCitation":"(IPCC, 2014)"},"citationItems":[{"id":714,"uris":["http://zotero.org/users/local/d1gJDEOw/items/67S6NS2M"],"uri":["http://zotero.org/users/local/d1gJDEOw/items/67S6NS2M"],"itemData":{"id":714,"type":"book","title":"Climate Change 2014: Synthesis Report. Contribution of Working Groups I, II and III to the Fifth Assessment Report of the Intergovernmental Panel on Climate Change","publisher":"Core Writing Team R.K. Pachauri and L.A. Meyer (eds.)","publisher-place":"Geneva, Switzerland","event-place":"Geneva, Switzerland","author":[{"family":"IPCC","given":""}],"issued":{"date-parts":[["2014"]]}}}],"schema":"https://github.com/citation-style-language/schema/raw/master/csl-citation.json"} </w:instrText>
      </w:r>
      <w:r>
        <w:fldChar w:fldCharType="separate"/>
      </w:r>
      <w:r w:rsidR="00954B3D" w:rsidRPr="00954B3D">
        <w:rPr>
          <w:rFonts w:cs="Times New Roman"/>
        </w:rPr>
        <w:t>(IPCC, 2014)</w:t>
      </w:r>
      <w:r>
        <w:fldChar w:fldCharType="end"/>
      </w:r>
      <w:r w:rsidRPr="00AA22EE">
        <w:t>. AM</w:t>
      </w:r>
      <w:r>
        <w:t>F</w:t>
      </w:r>
      <w:r w:rsidRPr="00AA22EE">
        <w:t xml:space="preserve"> may help alleviate negative growth impacts from drought by a number of mechanisms.  Firstly, severity of water limitation may be reduced by increased soil exploration and water uptake by extensive fungal hyphae</w:t>
      </w:r>
      <w:r w:rsidR="00A61C74">
        <w:t xml:space="preserve"> </w:t>
      </w:r>
      <w:r w:rsidR="00A61C74">
        <w:fldChar w:fldCharType="begin"/>
      </w:r>
      <w:r w:rsidR="0055532F">
        <w:instrText xml:space="preserve"> ADDIN ZOTERO_ITEM CSL_CITATION {"citationID":"1ia6p9sc0e","properties":{"formattedCitation":"{\\rtf (Aug\\uc0\\u233{} {\\i{}et al.}, 1994)}","plainCitation":"(Augé et al., 1994)"},"citationItems":[{"id":844,"uris":["http://zotero.org/users/local/d1gJDEOw/items/MP8XQPEK"],"uri":["http://zotero.org/users/local/d1gJDEOw/items/MP8XQPEK"],"itemData":{"id":844,"type":"article-journal","title":"NONHYDRAULIC SIGNALING OF SOIL DRYING IN MYCORRHIZAL MAIZE","container-title":"Planta","page":"74-82","volume":"193","issue":"1","archive_location":"WOS:A1994NA14900011","abstract":"Our objectives were to (1) verify that nonhydraulic signalling of soil drying can reduce leaf growth of maize, (2) determine if a mycorrhizal influence on such signalling can occur independently of a mycorrhizal effect on leaf phosphorus concentration, plant size or soil drying rate, and (3) determine if leaf phosphorus concentration can affect response to the signalling process. Maize (Zea mays L. 'Pioneer 3147') seedlings were grown in a glasshouse with root systems split between two pots. The 2 x 3 x 2 experimental design included two levels of mycorrhizal colonization (presence or absence of Glomus intraradices Schenck &amp; Smith), three levels of phosphorus fertilization within each mycorrhizal treatment and two levels of water (both pots watered br one pot watered, one pot allowed to dry). Fully watered mycorrhizal and nonmycorrhizal control plants had similar total leaf lengths throughout the experiment, and similar final shoot dry weights, root dry weights and leaf length/root dry weight ratios. Leaf growth of mycorrhizal plants was not affected by partial soil drying, but final plant leaf length and shoot dry weight were reduced in half-dried nonmycorrhizal plants. At low P fertilization, effects of nonhydraulic signalling were not evident. At medium and high P fertilization, final total plant leaf length of nonmycorrhizal plants was reduced by 9% and 10%, respectively. These growth reductions preceded restriction of stomatal conductance by 7 d. This and the fact that leaf water potentials were unaffected by partial soil drying suggested that leaf growth reductions were non-hydraulically induced. Stomatal conductance of plants given low phosphorus was less influenced by nonhydraulic signalling of soil drying than plants given higher phosphorus. Soil drying was not affected by mycorrhizal colonization, and reductions in leaf growth were not related to soil drying rate (characterized by time required for soil matric potential to drop below control levels and by time roots were exposed to soil matric potential below typical leaf water potential). We conclude that mycorrhizal symbiosis acted independently of phosphorus nutrition, plant size or soil drying rate in eliminating leaf growth response to nonhydraulic root-to-shoot communication of soil drying.","ISSN":"0032-0935","shortTitle":"NONHYDRAULIC SIGNALING OF SOIL DRYING IN MYCORRHIZAL MAIZE","author":[{"family":"Augé","given":"R. M."},{"family":"Duan","given":"X. G."},{"family":"Ebel","given":"R. C."},{"family":"Stodola","given":"A. J. W."}],"issued":{"date-parts":[["1994",3]]}}}],"schema":"https://github.com/citation-style-language/schema/raw/master/csl-citation.json"} </w:instrText>
      </w:r>
      <w:r w:rsidR="00A61C74">
        <w:fldChar w:fldCharType="separate"/>
      </w:r>
      <w:r w:rsidR="0055532F" w:rsidRPr="00F00459">
        <w:rPr>
          <w:rFonts w:cs="Times New Roman"/>
          <w:szCs w:val="24"/>
        </w:rPr>
        <w:t xml:space="preserve">(Augé </w:t>
      </w:r>
      <w:r w:rsidR="0055532F" w:rsidRPr="00F00459">
        <w:rPr>
          <w:rFonts w:cs="Times New Roman"/>
          <w:i/>
          <w:iCs/>
          <w:szCs w:val="24"/>
        </w:rPr>
        <w:t>et al.</w:t>
      </w:r>
      <w:r w:rsidR="0055532F" w:rsidRPr="00F00459">
        <w:rPr>
          <w:rFonts w:cs="Times New Roman"/>
          <w:szCs w:val="24"/>
        </w:rPr>
        <w:t>, 1994)</w:t>
      </w:r>
      <w:r w:rsidR="00A61C74">
        <w:fldChar w:fldCharType="end"/>
      </w:r>
      <w:r w:rsidRPr="00AA22EE">
        <w:t>. Secondly, AM</w:t>
      </w:r>
      <w:r>
        <w:t>F</w:t>
      </w:r>
      <w:r w:rsidRPr="00AA22EE">
        <w:t xml:space="preserve"> may positively influence plant hydration during drought by beneficially affecting plant physiology for example by increased root hydraulic conductance</w:t>
      </w:r>
      <w:r w:rsidR="00A61C74">
        <w:t xml:space="preserve"> </w:t>
      </w:r>
      <w:r w:rsidR="00A61C74">
        <w:fldChar w:fldCharType="begin"/>
      </w:r>
      <w:r w:rsidR="00A61C74">
        <w:instrText xml:space="preserve"> ADDIN ZOTERO_ITEM CSL_CITATION {"citationID":"2la4euk0vo","properties":{"formattedCitation":"{\\rtf (Aroca {\\i{}et al.}, 2007)}","plainCitation":"(Aroca et al., 2007)"},"citationItems":[{"id":828,"uris":["http://zotero.org/users/local/d1gJDEOw/items/IMJCPQWB"],"uri":["http://zotero.org/users/local/d1gJDEOw/items/IMJCPQWB"],"itemData":{"id":828,"type":"article-journal","title":"How does arbuscular mycorrhizal symbiosis regulate root hydraulic properties and plasma membrane aquaporins in Phaseolus vulgaris under drought, cold or salinity stresses?","container-title":"New Phytologist","page":"808-816","volume":"173","issue":"4","archive_location":"WOS:000244060200017","abstract":"Here, we evaluated how the arbuscular mycorrhizal (AM) symbiosis regulates root hydraulic properties and root plasma membrane aquaporins (PIP) under different stresses sharing a common osmotic component. Phaseolus vulgaris plants were inoculated or not with the AM fungus Glomus intraradices, and subjected to drought, cold or salinity. Stress effects on root hydraulic conductance (L), PIP gene expression and protein abundance were evaluated. Under control conditions, L in AM plants was about half that in nonAM plants. However, L was decreased as a result of the three stresses in nonAM plants, while it was almost unchanged in AM plants. At the same time, PIP2 protein abundance and phosphorylation state presented the same trend as L. Finally, the expression of each PIP gene responded differently to each stress and was dependent on the AM fungal presence. Differential expression of the PIP genes studied under each stress depending on the AM fungal presence may indicate a specific function and regulation by the AM symbiosis of each gene under the specific conditions of each stress tested.","DOI":"10.1111/j.1469-8137.2006.01961.x","ISSN":"0028-646X","shortTitle":"How does arbuscular mycorrhizal symbiosis regulate root hydraulic properties and plasma membrane aquaporins in Phaseolus vulgaris under drought, cold or salinity stresses?","author":[{"family":"Aroca","given":"R."},{"family":"Porcel","given":"R."},{"family":"Ruiz-Lozano","given":"J. M."}],"issued":{"date-parts":[["2007"]]}}}],"schema":"https://github.com/citation-style-language/schema/raw/master/csl-citation.json"} </w:instrText>
      </w:r>
      <w:r w:rsidR="00A61C74">
        <w:fldChar w:fldCharType="separate"/>
      </w:r>
      <w:r w:rsidR="00A61C74" w:rsidRPr="00A61C74">
        <w:rPr>
          <w:rFonts w:cs="Times New Roman"/>
          <w:szCs w:val="24"/>
        </w:rPr>
        <w:t>(</w:t>
      </w:r>
      <w:proofErr w:type="spellStart"/>
      <w:r w:rsidR="00A61C74" w:rsidRPr="00A61C74">
        <w:rPr>
          <w:rFonts w:cs="Times New Roman"/>
          <w:szCs w:val="24"/>
        </w:rPr>
        <w:t>Aroca</w:t>
      </w:r>
      <w:proofErr w:type="spellEnd"/>
      <w:r w:rsidR="00A61C74" w:rsidRPr="00A61C74">
        <w:rPr>
          <w:rFonts w:cs="Times New Roman"/>
          <w:szCs w:val="24"/>
        </w:rPr>
        <w:t xml:space="preserve"> </w:t>
      </w:r>
      <w:r w:rsidR="00A61C74" w:rsidRPr="00A61C74">
        <w:rPr>
          <w:rFonts w:cs="Times New Roman"/>
          <w:i/>
          <w:iCs/>
          <w:szCs w:val="24"/>
        </w:rPr>
        <w:t>et al.</w:t>
      </w:r>
      <w:r w:rsidR="00A61C74" w:rsidRPr="00A61C74">
        <w:rPr>
          <w:rFonts w:cs="Times New Roman"/>
          <w:szCs w:val="24"/>
        </w:rPr>
        <w:t>, 2007)</w:t>
      </w:r>
      <w:r w:rsidR="00A61C74">
        <w:fldChar w:fldCharType="end"/>
      </w:r>
      <w:r w:rsidRPr="00AA22EE">
        <w:t xml:space="preserve"> and reduced transpiration rates</w:t>
      </w:r>
      <w:r w:rsidR="00A61C74">
        <w:t xml:space="preserve"> </w:t>
      </w:r>
      <w:r w:rsidR="00A61C74">
        <w:fldChar w:fldCharType="begin"/>
      </w:r>
      <w:r w:rsidR="00A61C74">
        <w:instrText xml:space="preserve"> ADDIN ZOTERO_ITEM CSL_CITATION {"citationID":"2d1rqeubpj","properties":{"formattedCitation":"{\\rtf (Aroca {\\i{}et al.}, 2008b)}","plainCitation":"(Aroca et al., 2008b)"},"citationItems":[{"id":830,"uris":["http://zotero.org/users/local/d1gJDEOw/items/4AU592FZ"],"uri":["http://zotero.org/users/local/d1gJDEOw/items/4AU592FZ"],"itemData":{"id":830,"type":"article-journal","title":"Mycorrhizal and non-mycorrhizal Lactuca sativa plants exhibit contrasting responses to exogenous ABA during drought stress and recovery","container-title":"Journal of Experimental Botany","page":"2029-2041","volume":"59","issue":"8","archive_location":"WOS:000256519100006","abstract":"The arbuscular mycorrhizal (AM) symbiosis enhances plant tolerance to water deficit through the alteration of plant physiology and the expression of plant genes. These changes have been postulated to be caused (among others) by different contents of abscisic acid (ABA) between AM and non-AM plants. However, there are no studies dealing with the effects of exogenous ABA on the expression of stress-related genes and on the physiology of AM plants. The aim of the present study was to evaluate the influence of AM symbiosis and exogenous ABA application on plant development, physiology, and expression of several stress-related genes after both drought and a recovery period. Results show that the application of exogenous ABA had contrasting effects on AM and non-AM plants. Only AM plants fed with exogenous ABA maintained shoot biomass production unaltered by drought stress. The addition of exogenous ABA enhanced considerably the ABA content in shoots of non-AM plants, concomitantly with the expression of the stress marker genes Lsp5cs and Lslea and the gene Lsnced. By contrast, the addition of exogenous ABA decreased the content of ABA in shoots of AM plants and did not produce any further enhancement of the expression of these three genes. AM plants always exhibited higher values of root hydraulic conductivity and reduced transpiration rate under drought stress. From plants subjected to drought, only the AM plants recovered their root hydraulic conductivity completely after the 3 d recovery period. As a whole, the results indicate that AM plants regulate their ABA levels better and faster than non-AM plants, allowing a more adequate balance between leaf transpiration and root water movement during drought and recovery.","DOI":"10.1093/jxb/em57","ISSN":"0022-0957","shortTitle":"Mycorrhizal and non-mycorrhizal Lactuca sativa plants exhibit contrasting responses to exogenous ABA during drought stress and recovery","author":[{"family":"Aroca","given":"R."},{"family":"Vernieri","given":"P."},{"family":"Ruiz-Lozano","given":"J. M."}],"issued":{"date-parts":[["2008",5]]}}}],"schema":"https://github.com/citation-style-language/schema/raw/master/csl-citation.json"} </w:instrText>
      </w:r>
      <w:r w:rsidR="00A61C74">
        <w:fldChar w:fldCharType="separate"/>
      </w:r>
      <w:r w:rsidR="00A61C74" w:rsidRPr="00A61C74">
        <w:rPr>
          <w:rFonts w:cs="Times New Roman"/>
          <w:szCs w:val="24"/>
        </w:rPr>
        <w:t>(</w:t>
      </w:r>
      <w:proofErr w:type="spellStart"/>
      <w:r w:rsidR="00A61C74" w:rsidRPr="00A61C74">
        <w:rPr>
          <w:rFonts w:cs="Times New Roman"/>
          <w:szCs w:val="24"/>
        </w:rPr>
        <w:t>Aroca</w:t>
      </w:r>
      <w:proofErr w:type="spellEnd"/>
      <w:r w:rsidR="00A61C74" w:rsidRPr="00A61C74">
        <w:rPr>
          <w:rFonts w:cs="Times New Roman"/>
          <w:szCs w:val="24"/>
        </w:rPr>
        <w:t xml:space="preserve"> </w:t>
      </w:r>
      <w:r w:rsidR="00A61C74" w:rsidRPr="00A61C74">
        <w:rPr>
          <w:rFonts w:cs="Times New Roman"/>
          <w:i/>
          <w:iCs/>
          <w:szCs w:val="24"/>
        </w:rPr>
        <w:t>et al.</w:t>
      </w:r>
      <w:r w:rsidR="00A61C74" w:rsidRPr="00A61C74">
        <w:rPr>
          <w:rFonts w:cs="Times New Roman"/>
          <w:szCs w:val="24"/>
        </w:rPr>
        <w:t>, 2008b)</w:t>
      </w:r>
      <w:r w:rsidR="00A61C74">
        <w:fldChar w:fldCharType="end"/>
      </w:r>
      <w:r w:rsidRPr="00AA22EE">
        <w:t xml:space="preserve">. It has been recently suggested that improved regulation of the hormone ABA may play an important role in superior water regulation of </w:t>
      </w:r>
      <w:r>
        <w:t xml:space="preserve"> plants colonised by </w:t>
      </w:r>
      <w:r w:rsidRPr="00AA22EE">
        <w:t>AM</w:t>
      </w:r>
      <w:r>
        <w:t>F</w:t>
      </w:r>
      <w:r w:rsidR="00A61C74">
        <w:t xml:space="preserve"> </w:t>
      </w:r>
      <w:r w:rsidR="00A61C74">
        <w:fldChar w:fldCharType="begin"/>
      </w:r>
      <w:r w:rsidR="00A61C74">
        <w:instrText xml:space="preserve"> ADDIN ZOTERO_ITEM CSL_CITATION {"citationID":"1i1erb7out","properties":{"formattedCitation":"{\\rtf (Aroca {\\i{}et al.}, 2008a)}","plainCitation":"(Aroca et al., 2008a)"},"citationItems":[{"id":826,"uris":["http://zotero.org/users/local/d1gJDEOw/items/G6BMKMQP"],"uri":["http://zotero.org/users/local/d1gJDEOw/items/G6BMKMQP"],"itemData":{"id":826,"type":"article-journal","title":"Plant Responses to Drought Stress and Exogenous ABA Application are Modulated Differently by Mycorrhization in Tomato and an ABA-deficient Mutant (Sitiens)","container-title":"Microbial Ecology","page":"704-719","volume":"56","issue":"4","archive_location":"WOS:000259863900013","abstract":"The aims of the present study are to find out whether the effects of arbuscular mycorrhizal (AM) symbiosis on plant resistance to water deficit are mediated by the endogenous abscisic acid (ABA) content of the host plant and whether the exogenous ABA application modifies such effects. The ABA-deficient tomato mutant sitiens and its near-isogenic wild-type parental line were used. Plant development, physiology, and expression of plant genes expected to be modulated by AM symbiosis, drought, and ABA were studied. Results showed that only wild-type tomato plants responded positively to mycorrhizal inoculation, while AM symbiosis was not observed to have any effect on plant development in sitiens plants grown under well-watered conditions. The application of ABA to sitiens plants enhanced plant growth both under well-watered and drought stress conditions. In respect to sitiens plants subjected to drought stress, the addition of ABA had a cumulative effect in relation to that of inoculation with G. intraradices. Most of the genes analyzed in this study showed different regulation patterns in wild-type and sitiens plants, suggesting that their gene expression is modulated by the plant ABA phenotype. In the same way, the colonization of roots with the AM fungus G. intraradices differently regulated the expression of these genes in wild-type and in sitiens plants, which could explain the distinctive effect of the symbiosis on each plant ABA phenotype. This also suggests that the effects of the AM symbiosis on plant responses and resistance to water deficit are mediated by the plant ABA phenotype.","DOI":"10.1007/s00248-008-9390-y","ISSN":"0095-3628","shortTitle":"Plant Responses to Drought Stress and Exogenous ABA Application are Modulated Differently by Mycorrhization in Tomato and an ABA-deficient Mutant (Sitiens)","author":[{"family":"Aroca","given":"R."},{"family":"Alguacil","given":"M. D."},{"family":"Vernieri","given":"P."},{"family":"Ruiz-Lozano","given":"J. M."}],"issued":{"date-parts":[["2008",11]]}}}],"schema":"https://github.com/citation-style-language/schema/raw/master/csl-citation.json"} </w:instrText>
      </w:r>
      <w:r w:rsidR="00A61C74">
        <w:fldChar w:fldCharType="separate"/>
      </w:r>
      <w:r w:rsidR="00A61C74" w:rsidRPr="00A61C74">
        <w:rPr>
          <w:rFonts w:cs="Times New Roman"/>
          <w:szCs w:val="24"/>
        </w:rPr>
        <w:t>(</w:t>
      </w:r>
      <w:proofErr w:type="spellStart"/>
      <w:r w:rsidR="00A61C74" w:rsidRPr="00A61C74">
        <w:rPr>
          <w:rFonts w:cs="Times New Roman"/>
          <w:szCs w:val="24"/>
        </w:rPr>
        <w:t>Aroca</w:t>
      </w:r>
      <w:proofErr w:type="spellEnd"/>
      <w:r w:rsidR="00A61C74" w:rsidRPr="00A61C74">
        <w:rPr>
          <w:rFonts w:cs="Times New Roman"/>
          <w:szCs w:val="24"/>
        </w:rPr>
        <w:t xml:space="preserve"> </w:t>
      </w:r>
      <w:r w:rsidR="00A61C74" w:rsidRPr="00A61C74">
        <w:rPr>
          <w:rFonts w:cs="Times New Roman"/>
          <w:i/>
          <w:iCs/>
          <w:szCs w:val="24"/>
        </w:rPr>
        <w:t>et al.</w:t>
      </w:r>
      <w:r w:rsidR="00A61C74" w:rsidRPr="00A61C74">
        <w:rPr>
          <w:rFonts w:cs="Times New Roman"/>
          <w:szCs w:val="24"/>
        </w:rPr>
        <w:t>, 2008a)</w:t>
      </w:r>
      <w:r w:rsidR="00A61C74">
        <w:fldChar w:fldCharType="end"/>
      </w:r>
      <w:r w:rsidRPr="00AA22EE">
        <w:t xml:space="preserve">. </w:t>
      </w:r>
    </w:p>
    <w:p w:rsidR="007E60E4" w:rsidRPr="00AA22EE" w:rsidRDefault="007E60E4" w:rsidP="00DE54FD">
      <w:r w:rsidRPr="00AA22EE">
        <w:t xml:space="preserve">In dry soil, water potential is reduced therefore plants must respond by modifying their internal water potential to maintain movement of water into the roots by increasing their internal concentration of </w:t>
      </w:r>
      <w:proofErr w:type="spellStart"/>
      <w:r w:rsidRPr="00AA22EE">
        <w:t>osmolytes</w:t>
      </w:r>
      <w:proofErr w:type="spellEnd"/>
      <w:r w:rsidR="00A61C74">
        <w:t xml:space="preserve"> </w:t>
      </w:r>
      <w:r w:rsidR="00A61C74">
        <w:fldChar w:fldCharType="begin"/>
      </w:r>
      <w:r w:rsidR="00A61C74">
        <w:instrText xml:space="preserve"> ADDIN ZOTERO_ITEM CSL_CITATION {"citationID":"vgufe7fbj","properties":{"formattedCitation":"(Miransari, 2010)","plainCitation":"(Miransari, 2010)"},"citationItems":[{"id":1122,"uris":["http://zotero.org/users/local/d1gJDEOw/items/WZ22E9G7"],"uri":["http://zotero.org/users/local/d1gJDEOw/items/WZ22E9G7"],"itemData":{"id":1122,"type":"article-journal","title":"Contribution of arbuscular mycorrhizal symbiosis to plant growth under different types of soil stress","container-title":"Plant Biology","page":"563-569","volume":"12","issue":"4","archive_location":"WOS:000278803100001","abstract":"The development of symbioses between soil fungi, arbuscular mycorrhizae (AM), and most terrestrial plants can be very beneficial to both partners and hence to the ecosystem. Among such beneficial effects, the alleviation of soil stresses by AM is of especial significance. It has been found that AM fungi can alleviate the unfavourable effects on plant growth of stresses such as heavy metals, soil compaction, salinity and drought. In this article, such mechanisms are reviewed, in the hope that this may result in more efficient use of AM under different stress conditions.","DOI":"10.1111/j.1438-8677.2009.00308.x","ISSN":"1435-8603","shortTitle":"Contribution of arbuscular mycorrhizal symbiosis to plant growth under different types of soil stress","author":[{"family":"Miransari","given":"M."}],"issued":{"date-parts":[["2010",7]]}}}],"schema":"https://github.com/citation-style-language/schema/raw/master/csl-citation.json"} </w:instrText>
      </w:r>
      <w:r w:rsidR="00A61C74">
        <w:fldChar w:fldCharType="separate"/>
      </w:r>
      <w:r w:rsidR="00A61C74" w:rsidRPr="00A61C74">
        <w:rPr>
          <w:rFonts w:cs="Times New Roman"/>
        </w:rPr>
        <w:t>(</w:t>
      </w:r>
      <w:proofErr w:type="spellStart"/>
      <w:r w:rsidR="00A61C74" w:rsidRPr="00A61C74">
        <w:rPr>
          <w:rFonts w:cs="Times New Roman"/>
        </w:rPr>
        <w:t>Miransari</w:t>
      </w:r>
      <w:proofErr w:type="spellEnd"/>
      <w:r w:rsidR="00A61C74" w:rsidRPr="00A61C74">
        <w:rPr>
          <w:rFonts w:cs="Times New Roman"/>
        </w:rPr>
        <w:t>, 2010)</w:t>
      </w:r>
      <w:r w:rsidR="00A61C74">
        <w:fldChar w:fldCharType="end"/>
      </w:r>
      <w:r w:rsidRPr="00AA22EE">
        <w:rPr>
          <w:i/>
        </w:rPr>
        <w:t xml:space="preserve">. </w:t>
      </w:r>
      <w:r w:rsidRPr="00AA22EE">
        <w:t>AM</w:t>
      </w:r>
      <w:r>
        <w:t>F</w:t>
      </w:r>
      <w:r w:rsidRPr="00AA22EE">
        <w:t xml:space="preserve"> have been found to have a beneficial effect upon the concentration of </w:t>
      </w:r>
      <w:proofErr w:type="spellStart"/>
      <w:r w:rsidRPr="00AA22EE">
        <w:t>osmolyte</w:t>
      </w:r>
      <w:proofErr w:type="spellEnd"/>
      <w:r w:rsidRPr="00AA22EE">
        <w:t xml:space="preserve"> concentrations organic solutes such as proline, betaine and sucrose and ions such as K</w:t>
      </w:r>
      <w:r w:rsidRPr="00AA22EE">
        <w:rPr>
          <w:vertAlign w:val="superscript"/>
        </w:rPr>
        <w:t>+</w:t>
      </w:r>
      <w:r w:rsidRPr="00AA22EE">
        <w:t xml:space="preserve"> and Cl</w:t>
      </w:r>
      <w:r w:rsidRPr="00AA22EE">
        <w:rPr>
          <w:vertAlign w:val="superscript"/>
        </w:rPr>
        <w:t>-</w:t>
      </w:r>
      <w:r w:rsidRPr="00AA22EE">
        <w:rPr>
          <w:i/>
        </w:rPr>
        <w:t xml:space="preserve"> </w:t>
      </w:r>
      <w:r w:rsidRPr="00AA22EE">
        <w:t>when under drought conditions</w:t>
      </w:r>
      <w:r w:rsidR="00A61C74">
        <w:t xml:space="preserve"> </w:t>
      </w:r>
      <w:r w:rsidR="00A61C74">
        <w:fldChar w:fldCharType="begin"/>
      </w:r>
      <w:r w:rsidR="00A61C74">
        <w:instrText xml:space="preserve"> ADDIN ZOTERO_ITEM CSL_CITATION {"citationID":"223o2ol5kt","properties":{"formattedCitation":"{\\rtf (Ruiz-Lozano {\\i{}et al.}, 2006)}","plainCitation":"(Ruiz-Lozano et al., 2006)"},"citationItems":[{"id":1224,"uris":["http://zotero.org/users/local/d1gJDEOw/items/M6MFS5E2"],"uri":["http://zotero.org/users/local/d1gJDEOw/items/M6MFS5E2"],"itemData":{"id":1224,"type":"article-journal","title":"Does the enhanced tolerance of arbuscular mycorrhizal plants to water deficit involve modulation of drought-induced plant genes?","container-title":"New Phytologist","page":"693-698","volume":"171","issue":"4","archive_location":"WOS:000239517600003","DOI":"10.1111/j.1469-8137.2006.01841.x","ISSN":"0028-646X","shortTitle":"Does the enhanced tolerance of arbuscular mycorrhizal plants to water deficit involve modulation of drought-induced plant genes?","author":[{"family":"Ruiz-Lozano","given":"J. M."},{"family":"Porcel","given":"R."},{"family":"Aroca","given":"R."}],"issued":{"date-parts":[["2006"]]}}}],"schema":"https://github.com/citation-style-language/schema/raw/master/csl-citation.json"} </w:instrText>
      </w:r>
      <w:r w:rsidR="00A61C74">
        <w:fldChar w:fldCharType="separate"/>
      </w:r>
      <w:r w:rsidR="00A61C74" w:rsidRPr="00A61C74">
        <w:rPr>
          <w:rFonts w:cs="Times New Roman"/>
          <w:szCs w:val="24"/>
        </w:rPr>
        <w:t xml:space="preserve">(Ruiz-Lozano </w:t>
      </w:r>
      <w:r w:rsidR="00A61C74" w:rsidRPr="00A61C74">
        <w:rPr>
          <w:rFonts w:cs="Times New Roman"/>
          <w:i/>
          <w:iCs/>
          <w:szCs w:val="24"/>
        </w:rPr>
        <w:t>et al.</w:t>
      </w:r>
      <w:r w:rsidR="00A61C74" w:rsidRPr="00A61C74">
        <w:rPr>
          <w:rFonts w:cs="Times New Roman"/>
          <w:szCs w:val="24"/>
        </w:rPr>
        <w:t>, 2006)</w:t>
      </w:r>
      <w:r w:rsidR="00A61C74">
        <w:fldChar w:fldCharType="end"/>
      </w:r>
      <w:r w:rsidRPr="00AA22EE">
        <w:rPr>
          <w:i/>
        </w:rPr>
        <w:t>.</w:t>
      </w:r>
      <w:r w:rsidRPr="00AA22EE">
        <w:t xml:space="preserve"> </w:t>
      </w:r>
      <w:r w:rsidRPr="00AA22EE">
        <w:lastRenderedPageBreak/>
        <w:t xml:space="preserve">The ability of AM plants to access </w:t>
      </w:r>
      <w:r>
        <w:t>sources of N unavailable to non-</w:t>
      </w:r>
      <w:r w:rsidRPr="00AA22EE">
        <w:t>colonised plants has also been found to account for improved growth under water stressed conditions</w:t>
      </w:r>
      <w:r w:rsidR="00A61C74">
        <w:t xml:space="preserve"> </w:t>
      </w:r>
      <w:r w:rsidR="00A61C74">
        <w:fldChar w:fldCharType="begin"/>
      </w:r>
      <w:r w:rsidR="00A61C74">
        <w:instrText xml:space="preserve"> ADDIN ZOTERO_ITEM CSL_CITATION {"citationID":"5n22a1hh8","properties":{"formattedCitation":"{\\rtf (Subramanian {\\i{}et al.}, 2006)}","plainCitation":"(Subramanian et al., 2006)"},"citationItems":[{"id":1291,"uris":["http://zotero.org/users/local/d1gJDEOw/items/6R3WXMQU"],"uri":["http://zotero.org/users/local/d1gJDEOw/items/6R3WXMQU"],"itemData":{"id":1291,"type":"article-journal","title":"Responses of field grown tomato plants to arbuscular mycorrhizal fungal colonization under varying intensities of drought stress","container-title":"Scientia Horticulturae","page":"245-253","volume":"107","issue":"3","archive_location":"WOS:000235105800004","abstract":"The effects of root colonization by the arbuscular mycorrhizal (AM) fungus Glomus intraradices Schenck and Smith on growth, flower and fruit production, and fruit quality were studied in field-grown tomato plants exposed to varying intensities of drought stress. Inoculated (M+) and non-inoculated (M-) tomato seedlings were exposed to varying intensities of drought stress by adjusting irrigation intervals. Mycorrhizal plants had significantly higher uptake of N and P in both roots and shoots regardless of intensities of drought stress. AM inoculation also significantly increased shoot dry matter and the number of flowers and fruits. The fruit yields of M+ plants under severe, moderate, mild drought-stressed conditions were higher than M- plants by 24.7%, 23.1%, 16.2% and 12.3%, respectively. Furthermore, M+ plants produced tomato fruits that contain significantly higher quantities of ascorbic acid and total soluble solids (TSS) than M- plants. Mycorrhizal effects increased with increasing intensity of drought. The overall results suggest that myocorrhizal colonization affects host plant nutritional status, water stratus and growth under field conditions and thereby alters reproductive behaviour, fruit production and quality of fruits under both well-watered and drought-stressed conditions. (c) 2005 Elsevier B.V. All rights reserved.","DOI":"10.1016/j.scienta.2005.07.006","ISSN":"0304-4238","shortTitle":"Responses of field grown tomato plants to arbuscular mycorrhizal fungal colonization under varying intensities of drought stress","author":[{"family":"Subramanian","given":"K. S."},{"family":"Santhanakrishnan","given":"P."},{"family":"Balasubramanian","given":"P."}],"issued":{"date-parts":[["2006",2]]}}}],"schema":"https://github.com/citation-style-language/schema/raw/master/csl-citation.json"} </w:instrText>
      </w:r>
      <w:r w:rsidR="00A61C74">
        <w:fldChar w:fldCharType="separate"/>
      </w:r>
      <w:r w:rsidR="00A61C74" w:rsidRPr="00A61C74">
        <w:rPr>
          <w:rFonts w:cs="Times New Roman"/>
          <w:szCs w:val="24"/>
        </w:rPr>
        <w:t xml:space="preserve">(Subramanian </w:t>
      </w:r>
      <w:r w:rsidR="00A61C74" w:rsidRPr="00A61C74">
        <w:rPr>
          <w:rFonts w:cs="Times New Roman"/>
          <w:i/>
          <w:iCs/>
          <w:szCs w:val="24"/>
        </w:rPr>
        <w:t>et al.</w:t>
      </w:r>
      <w:r w:rsidR="00A61C74" w:rsidRPr="00A61C74">
        <w:rPr>
          <w:rFonts w:cs="Times New Roman"/>
          <w:szCs w:val="24"/>
        </w:rPr>
        <w:t>, 2006)</w:t>
      </w:r>
      <w:r w:rsidR="00A61C74">
        <w:fldChar w:fldCharType="end"/>
      </w:r>
      <w:r w:rsidRPr="00AA22EE">
        <w:t>. Furthermore studies show AM</w:t>
      </w:r>
      <w:r>
        <w:t>F colonised</w:t>
      </w:r>
      <w:r w:rsidRPr="00AA22EE">
        <w:t xml:space="preserve"> are better able to recover upon rehydration following drought</w:t>
      </w:r>
      <w:r w:rsidR="00A61C74">
        <w:t xml:space="preserve"> </w:t>
      </w:r>
      <w:r w:rsidR="00A61C74">
        <w:fldChar w:fldCharType="begin"/>
      </w:r>
      <w:r w:rsidR="00A61C74">
        <w:instrText xml:space="preserve"> ADDIN ZOTERO_ITEM CSL_CITATION {"citationID":"vfhp6d7ik","properties":{"formattedCitation":"(Miransari, 2010)","plainCitation":"(Miransari, 2010)"},"citationItems":[{"id":1122,"uris":["http://zotero.org/users/local/d1gJDEOw/items/WZ22E9G7"],"uri":["http://zotero.org/users/local/d1gJDEOw/items/WZ22E9G7"],"itemData":{"id":1122,"type":"article-journal","title":"Contribution of arbuscular mycorrhizal symbiosis to plant growth under different types of soil stress","container-title":"Plant Biology","page":"563-569","volume":"12","issue":"4","archive_location":"WOS:000278803100001","abstract":"The development of symbioses between soil fungi, arbuscular mycorrhizae (AM), and most terrestrial plants can be very beneficial to both partners and hence to the ecosystem. Among such beneficial effects, the alleviation of soil stresses by AM is of especial significance. It has been found that AM fungi can alleviate the unfavourable effects on plant growth of stresses such as heavy metals, soil compaction, salinity and drought. In this article, such mechanisms are reviewed, in the hope that this may result in more efficient use of AM under different stress conditions.","DOI":"10.1111/j.1438-8677.2009.00308.x","ISSN":"1435-8603","shortTitle":"Contribution of arbuscular mycorrhizal symbiosis to plant growth under different types of soil stress","author":[{"family":"Miransari","given":"M."}],"issued":{"date-parts":[["2010",7]]}}}],"schema":"https://github.com/citation-style-language/schema/raw/master/csl-citation.json"} </w:instrText>
      </w:r>
      <w:r w:rsidR="00A61C74">
        <w:fldChar w:fldCharType="separate"/>
      </w:r>
      <w:r w:rsidR="00A61C74" w:rsidRPr="00A61C74">
        <w:rPr>
          <w:rFonts w:cs="Times New Roman"/>
        </w:rPr>
        <w:t>(</w:t>
      </w:r>
      <w:proofErr w:type="spellStart"/>
      <w:r w:rsidR="00A61C74" w:rsidRPr="00A61C74">
        <w:rPr>
          <w:rFonts w:cs="Times New Roman"/>
        </w:rPr>
        <w:t>Miransari</w:t>
      </w:r>
      <w:proofErr w:type="spellEnd"/>
      <w:r w:rsidR="00A61C74" w:rsidRPr="00A61C74">
        <w:rPr>
          <w:rFonts w:cs="Times New Roman"/>
        </w:rPr>
        <w:t>, 2010)</w:t>
      </w:r>
      <w:r w:rsidR="00A61C74">
        <w:fldChar w:fldCharType="end"/>
      </w:r>
      <w:r w:rsidRPr="00AA22EE">
        <w:t>. However effects of AM</w:t>
      </w:r>
      <w:r>
        <w:t>F</w:t>
      </w:r>
      <w:r w:rsidRPr="00AA22EE">
        <w:t xml:space="preserve"> under drought conditions are not always positive for the host plant as conditions of severe stress  may  i</w:t>
      </w:r>
      <w:r w:rsidR="00361D64">
        <w:t>n</w:t>
      </w:r>
      <w:r w:rsidRPr="00AA22EE">
        <w:t xml:space="preserve"> so</w:t>
      </w:r>
      <w:r>
        <w:t>me cases lead to reduction in arbuscular mycorrhizal</w:t>
      </w:r>
      <w:r w:rsidRPr="00AA22EE">
        <w:t xml:space="preserve"> performance to the extent </w:t>
      </w:r>
      <w:r>
        <w:t>that the fungi becomes</w:t>
      </w:r>
      <w:r w:rsidRPr="00AA22EE">
        <w:t xml:space="preserve"> parasitic upon the host plant</w:t>
      </w:r>
      <w:r w:rsidR="003717E5">
        <w:t xml:space="preserve"> </w:t>
      </w:r>
      <w:r w:rsidR="003717E5">
        <w:fldChar w:fldCharType="begin"/>
      </w:r>
      <w:r w:rsidR="003717E5">
        <w:instrText xml:space="preserve"> ADDIN ZOTERO_ITEM CSL_CITATION {"citationID":"1guanqq5pt","properties":{"formattedCitation":"(Miransari, 2010)","plainCitation":"(Miransari, 2010)"},"citationItems":[{"id":1122,"uris":["http://zotero.org/users/local/d1gJDEOw/items/WZ22E9G7"],"uri":["http://zotero.org/users/local/d1gJDEOw/items/WZ22E9G7"],"itemData":{"id":1122,"type":"article-journal","title":"Contribution of arbuscular mycorrhizal symbiosis to plant growth under different types of soil stress","container-title":"Plant Biology","page":"563-569","volume":"12","issue":"4","archive_location":"WOS:000278803100001","abstract":"The development of symbioses between soil fungi, arbuscular mycorrhizae (AM), and most terrestrial plants can be very beneficial to both partners and hence to the ecosystem. Among such beneficial effects, the alleviation of soil stresses by AM is of especial significance. It has been found that AM fungi can alleviate the unfavourable effects on plant growth of stresses such as heavy metals, soil compaction, salinity and drought. In this article, such mechanisms are reviewed, in the hope that this may result in more efficient use of AM under different stress conditions.","DOI":"10.1111/j.1438-8677.2009.00308.x","ISSN":"1435-8603","shortTitle":"Contribution of arbuscular mycorrhizal symbiosis to plant growth under different types of soil stress","author":[{"family":"Miransari","given":"M."}],"issued":{"date-parts":[["2010",7]]}}}],"schema":"https://github.com/citation-style-language/schema/raw/master/csl-citation.json"} </w:instrText>
      </w:r>
      <w:r w:rsidR="003717E5">
        <w:fldChar w:fldCharType="separate"/>
      </w:r>
      <w:r w:rsidR="003717E5" w:rsidRPr="003717E5">
        <w:rPr>
          <w:rFonts w:cs="Times New Roman"/>
        </w:rPr>
        <w:t>(</w:t>
      </w:r>
      <w:proofErr w:type="spellStart"/>
      <w:r w:rsidR="003717E5" w:rsidRPr="003717E5">
        <w:rPr>
          <w:rFonts w:cs="Times New Roman"/>
        </w:rPr>
        <w:t>Miransari</w:t>
      </w:r>
      <w:proofErr w:type="spellEnd"/>
      <w:r w:rsidR="003717E5" w:rsidRPr="003717E5">
        <w:rPr>
          <w:rFonts w:cs="Times New Roman"/>
        </w:rPr>
        <w:t>, 2010)</w:t>
      </w:r>
      <w:r w:rsidR="003717E5">
        <w:fldChar w:fldCharType="end"/>
      </w:r>
      <w:r w:rsidRPr="00AA22EE">
        <w:t>.</w:t>
      </w:r>
    </w:p>
    <w:p w:rsidR="007E60E4" w:rsidRPr="00AA22EE" w:rsidRDefault="007E60E4" w:rsidP="007E60E4">
      <w:pPr>
        <w:pStyle w:val="Heading3"/>
        <w:rPr>
          <w:rFonts w:cs="Times New Roman"/>
        </w:rPr>
      </w:pPr>
      <w:bookmarkStart w:id="37" w:name="_Toc463208977"/>
      <w:bookmarkStart w:id="38" w:name="_Toc469855002"/>
      <w:bookmarkStart w:id="39" w:name="_Toc469856002"/>
      <w:bookmarkStart w:id="40" w:name="_Toc469931911"/>
      <w:bookmarkStart w:id="41" w:name="_Toc469982233"/>
      <w:r w:rsidRPr="00AA22EE">
        <w:rPr>
          <w:rFonts w:cs="Times New Roman"/>
        </w:rPr>
        <w:t>Salinity tolerance</w:t>
      </w:r>
      <w:bookmarkEnd w:id="37"/>
      <w:bookmarkEnd w:id="38"/>
      <w:bookmarkEnd w:id="39"/>
      <w:bookmarkEnd w:id="40"/>
      <w:bookmarkEnd w:id="41"/>
    </w:p>
    <w:p w:rsidR="007E60E4" w:rsidRDefault="007E60E4" w:rsidP="00DE54FD">
      <w:r>
        <w:t xml:space="preserve">Salinity is currently estimated to effect over </w:t>
      </w:r>
      <w:r w:rsidRPr="00AC45D7">
        <w:t>5</w:t>
      </w:r>
      <w:r>
        <w:t>% of agricultural land globally</w:t>
      </w:r>
      <w:r w:rsidR="004E508A">
        <w:t xml:space="preserve"> </w:t>
      </w:r>
      <w:r w:rsidR="004E508A">
        <w:fldChar w:fldCharType="begin"/>
      </w:r>
      <w:r w:rsidR="004E508A">
        <w:instrText xml:space="preserve"> ADDIN ZOTERO_ITEM CSL_CITATION {"citationID":"iqgt42h1g","properties":{"formattedCitation":"{\\rtf (Sheng {\\i{}et al.}, 2008)}","plainCitation":"(Sheng et al., 2008)"},"citationItems":[{"id":1261,"uris":["http://zotero.org/users/local/d1gJDEOw/items/H8SFB7UU"],"uri":["http://zotero.org/users/local/d1gJDEOw/items/H8SFB7UU"],"itemData":{"id":1261,"type":"article-journal","title":"Influence of arbuscular mycorrhizae on photosynthesis and water status of maize plants under salt stress","container-title":"Mycorrhiza","page":"287-296","volume":"18","issue":"6-7","archive_location":"WOS:000258705300002","abstract":"The influence of arbuscular mycorrhizal (AM) fungus Glomus mosseae on characteristics of the growth, water status, chlorophyll concentration, gas exchange, and chlorophyll fluorescence of maize plants under salt stress was studied in the greenhouse. Maize plants were grown in sand and soil mixture with five NaCl levels (0, 0.5, 1.0, 1.5, and 2.0 g/kg dry substrate) for 55 days, following 15 days of non-saline pretreatment. Under salt stress, mycorrhizal maize plants had higher dry weight of shoot and root, higher relative chlorophyll content, better water status (decreased water saturation deficit, increased water use efficiency, and relative water content), higher gas exchange capacity (increased photosynthetic rate, stomatal conductance and transpiration rate, and decreased intercellular CO(2) concentration), higher non-photochemistry efficiency [increased non-photochemical quenching values (NPQ)], and higher photochemistry efficiency [increased the maximum quantum yield in the dark-adapted state (Fv/Fm), the maximum quantum yield in the light-adapted sate (Fv'/Fm'), the actual quantum yield in the light-adapted steady state (Delta PSII) and the photochemical quenching values (qP)], compared with non-mycorrhizal maize plants. In addition, AM symbiosis could trigger the regulation of the energy biturcation between photochemical and non-photochemical events reflected in the deexcitation rate constants (kN, kN', kP, and kP'). All the results show that G. mosseae alleviates the deleterious effect of salt stress on plant growth, through improving plant water status, chlorophyll concentration, and photosynthetic capacity, while the influence of AM symbiosis on photosynthetic capacity of maize plants can be indirectly affected by soil salinity and mycorrhizae-mediated enhancement of water status, but not by the mycorrhizae-mediated enhancement of chlorophyll concentration and plant biomass.","DOI":"10.1007/s00572-008-0180-7","ISSN":"0940-6360","shortTitle":"Influence of arbuscular mycorrhizae on photosynthesis and water status of maize plants under salt stress","author":[{"family":"Sheng","given":"M."},{"family":"Tang","given":"M."},{"family":"Chen","given":"H."},{"family":"Yang","given":"B. W."},{"family":"Zhang","given":"F. F."},{"family":"Huang","given":"Y. H."}],"issued":{"date-parts":[["2008",9]]}}}],"schema":"https://github.com/citation-style-language/schema/raw/master/csl-citation.json"} </w:instrText>
      </w:r>
      <w:r w:rsidR="004E508A">
        <w:fldChar w:fldCharType="separate"/>
      </w:r>
      <w:r w:rsidR="004E508A" w:rsidRPr="004E508A">
        <w:rPr>
          <w:rFonts w:cs="Times New Roman"/>
          <w:szCs w:val="24"/>
        </w:rPr>
        <w:t xml:space="preserve">(Sheng </w:t>
      </w:r>
      <w:r w:rsidR="004E508A" w:rsidRPr="004E508A">
        <w:rPr>
          <w:rFonts w:cs="Times New Roman"/>
          <w:i/>
          <w:iCs/>
          <w:szCs w:val="24"/>
        </w:rPr>
        <w:t>et al.</w:t>
      </w:r>
      <w:r w:rsidR="004E508A" w:rsidRPr="004E508A">
        <w:rPr>
          <w:rFonts w:cs="Times New Roman"/>
          <w:szCs w:val="24"/>
        </w:rPr>
        <w:t>, 2008)</w:t>
      </w:r>
      <w:r w:rsidR="004E508A">
        <w:fldChar w:fldCharType="end"/>
      </w:r>
      <w:r>
        <w:t xml:space="preserve"> however this area has been predicted to increase to as much </w:t>
      </w:r>
      <w:r w:rsidRPr="00AC45D7">
        <w:t>50% of agricultural land by 2050</w:t>
      </w:r>
      <w:r w:rsidR="004E508A">
        <w:t xml:space="preserve"> </w:t>
      </w:r>
      <w:r w:rsidR="004E508A">
        <w:fldChar w:fldCharType="begin"/>
      </w:r>
      <w:r w:rsidR="004E508A">
        <w:instrText xml:space="preserve"> ADDIN ZOTERO_ITEM CSL_CITATION {"citationID":"guekkld5a","properties":{"formattedCitation":"{\\rtf (Wang {\\i{}et al.}, 2002)}","plainCitation":"(Wang et al., 2002)"},"citationItems":[{"id":1349,"uris":["http://zotero.org/users/local/d1gJDEOw/items/AWZPMVF8"],"uri":["http://zotero.org/users/local/d1gJDEOw/items/AWZPMVF8"],"itemData":{"id":1349,"type":"paper-conference","title":"Changes of soil characteristics in process of land desertification","page":"187-192","volume":"4890","archive_location":"WOS:000184693700017","event":"International Conference on Ecosystems Dynamics, Ecosystem-Society Interactions, and Remote Sensing Applications for Semi-Arid and Arid Land","abstract":"Desertification taking place in and area is often related with vegetation deterioration in lower reaches of interior river. In the cause of it, the soil characteristics changed regularly due to less surface water and ground water lowing, which cause soil drying and salinizing. Through the analysis and comparison of soil characteristics in different sites with different desertification degree revealed the trend of soil water content, soil salinity, organic matter, soil texture, as well as changing trend from bog soil. meadow soil to adobe soil, halomorphic soil. These changes were accelerated as the vegetation ruined and lead to land desertification. The process of changing from autochthonous soil to adobe soil can be divided into different stages which differ in changing speed, i.e., the formation of climax soil will last long time. But, once its loss the stability, desertification will develop rapidly. Studying the possibility for the converse changes of climax soil is significant to vegetation restoration and should become a research direction in the future.","URL":"://WOS:000184693700017","DOI":"10.1117/12.466215","ISBN":"0277-786X 0-8194-4676-9","shortTitle":"Changes of soil characteristics in process of land desertification","editor":[{"family":"Technol","given":"China China Assoc Sci"},{"family":"Technol","given":"State Ocean Adm Chinese Meteorol Adm Cnsa Natl Nat Sci Fdn China China Aerosp Cooperat Sci"},{"family":"Technol","given":"City Govt Hangzhou Michigan Aerosp Corp Nasda Japan"}],"author":[{"family":"Wang","given":"L. X."},{"family":"Zhang","given":"Y. S."},{"family":"Zhang","given":"H. Q."},{"family":"Xu","given":"J. T."},{"family":"Li","given":"X. Y."}],"issued":{"date-parts":[["2002",10,24]]}}}],"schema":"https://github.com/citation-style-language/schema/raw/master/csl-citation.json"} </w:instrText>
      </w:r>
      <w:r w:rsidR="004E508A">
        <w:fldChar w:fldCharType="separate"/>
      </w:r>
      <w:r w:rsidR="004E508A" w:rsidRPr="004E508A">
        <w:rPr>
          <w:rFonts w:cs="Times New Roman"/>
          <w:szCs w:val="24"/>
        </w:rPr>
        <w:t xml:space="preserve">(Wang </w:t>
      </w:r>
      <w:r w:rsidR="004E508A" w:rsidRPr="004E508A">
        <w:rPr>
          <w:rFonts w:cs="Times New Roman"/>
          <w:i/>
          <w:iCs/>
          <w:szCs w:val="24"/>
        </w:rPr>
        <w:t>et al.</w:t>
      </w:r>
      <w:r w:rsidR="004E508A" w:rsidRPr="004E508A">
        <w:rPr>
          <w:rFonts w:cs="Times New Roman"/>
          <w:szCs w:val="24"/>
        </w:rPr>
        <w:t>, 2002)</w:t>
      </w:r>
      <w:r w:rsidR="004E508A">
        <w:fldChar w:fldCharType="end"/>
      </w:r>
      <w:r w:rsidRPr="00AC45D7">
        <w:t xml:space="preserve"> with an average of 1.5 million hectares of arable land degraded by salinity each year</w:t>
      </w:r>
      <w:r w:rsidR="004E508A">
        <w:t xml:space="preserve"> </w:t>
      </w:r>
      <w:r w:rsidR="004E508A">
        <w:fldChar w:fldCharType="begin"/>
      </w:r>
      <w:r w:rsidR="004E508A">
        <w:instrText xml:space="preserve"> ADDIN ZOTERO_ITEM CSL_CITATION {"citationID":"2pcrab50kb","properties":{"formattedCitation":"{\\rtf (Foley {\\i{}et al.}, 2005)}","plainCitation":"(Foley et al., 2005)"},"citationItems":[{"id":129,"uris":["http://zotero.org/users/local/d1gJDEOw/items/ASHP5TS3"],"uri":["http://zotero.org/users/local/d1gJDEOw/items/ASHP5TS3"],"itemData":{"id":129,"type":"article-journal","title":"Global Consequences of Land Use","container-title":"Science","page":"570-574","volume":"309","issue":"5734","source":"science.sciencemag.org","abstract":"Land use has generally been considered a local environmental issue, but it is becoming a force of global importance. Worldwide changes to forests, farmlands, waterways, and air are being driven by the need to provide food, fiber, water, and shelter to more than six billion people. Global croplands, pastures, plantations, and urban areas have expanded in recent decades, accompanied by large increases in energy, water, and fertilizer consumption, along with considerable losses of biodiversity. Such changes in land use have enabled humans to appropriate an increasing share of the planet's resources, but they also potentially undermine the capacity of ecosystems to sustain food production, maintain freshwater and forest resources, regulate climate and air quality, and ameliorate infectious diseases. We face the challenge of managing trade-offs between immediate human needs and maintaining the capacity of the biosphere to provide goods and services in the long term.","DOI":"10.1126/science.1111772","ISSN":"0036-8075, 1095-9203","note":"PMID: 16040698","language":"en","author":[{"family":"Foley","given":"Jonathan A."},{"family":"DeFries","given":"Ruth"},{"family":"Asner","given":"Gregory P."},{"family":"Barford","given":"Carol"},{"family":"Bonan","given":"Gordon"},{"family":"Carpenter","given":"Stephen R."},{"family":"Chapin","given":"F. Stuart"},{"family":"Coe","given":"Michael T."},{"family":"Daily","given":"Gretchen C."},{"family":"Gibbs","given":"Holly K."},{"family":"Helkowski","given":"Joseph H."},{"family":"Holloway","given":"Tracey"},{"family":"Howard","given":"Erica A."},{"family":"Kucharik","given":"Christopher J."},{"family":"Monfreda","given":"Chad"},{"family":"Patz","given":"Jonathan A."},{"family":"Prentice","given":"I. Colin"},{"family":"Ramankutty","given":"Navin"},{"family":"Snyder","given":"Peter K."}],"issued":{"date-parts":[["2005",7,22]]}}}],"schema":"https://github.com/citation-style-language/schema/raw/master/csl-citation.json"} </w:instrText>
      </w:r>
      <w:r w:rsidR="004E508A">
        <w:fldChar w:fldCharType="separate"/>
      </w:r>
      <w:r w:rsidR="004E508A" w:rsidRPr="004E508A">
        <w:rPr>
          <w:rFonts w:cs="Times New Roman"/>
          <w:szCs w:val="24"/>
        </w:rPr>
        <w:t xml:space="preserve">(Foley </w:t>
      </w:r>
      <w:r w:rsidR="004E508A" w:rsidRPr="004E508A">
        <w:rPr>
          <w:rFonts w:cs="Times New Roman"/>
          <w:i/>
          <w:iCs/>
          <w:szCs w:val="24"/>
        </w:rPr>
        <w:t>et al.</w:t>
      </w:r>
      <w:r w:rsidR="004E508A" w:rsidRPr="004E508A">
        <w:rPr>
          <w:rFonts w:cs="Times New Roman"/>
          <w:szCs w:val="24"/>
        </w:rPr>
        <w:t>, 2005)</w:t>
      </w:r>
      <w:r w:rsidR="004E508A">
        <w:fldChar w:fldCharType="end"/>
      </w:r>
      <w:r w:rsidRPr="00AC45D7">
        <w:t>. This increase in salinity arises from accumulation of soluble salts in agricultural soils due to high</w:t>
      </w:r>
      <w:r w:rsidRPr="00AA22EE">
        <w:t xml:space="preserve"> application of chemical fertilisers and irrigation water</w:t>
      </w:r>
      <w:r w:rsidR="004E508A">
        <w:t xml:space="preserve"> </w:t>
      </w:r>
      <w:r w:rsidR="004E508A">
        <w:fldChar w:fldCharType="begin"/>
      </w:r>
      <w:r w:rsidR="004E508A">
        <w:instrText xml:space="preserve"> ADDIN ZOTERO_ITEM CSL_CITATION {"citationID":"3l1n9l0r8","properties":{"formattedCitation":"{\\rtf (Giri {\\i{}et al.}, 2003)}","plainCitation":"(Giri et al., 2003)"},"citationItems":[{"id":966,"uris":["http://zotero.org/users/local/d1gJDEOw/items/Q49R9S26"],"uri":["http://zotero.org/users/local/d1gJDEOw/items/Q49R9S26"],"itemData":{"id":966,"type":"article-journal","title":"Influence of arbuscular mycorrhizal fungi and salinity on growth, biomass, and mineral nutrition of Acacia auriculiformis","container-title":"Biology and Fertility of Soils","page":"170-175","volume":"38","issue":"3","archive_location":"WOS:000188429500006","abstract":"The effect of salinity on the efficacy of two arbuscular mycorrhizal fungi, Glomus fasciculatum and G. macrocarpum, alone and in combination was investigated on growth, development and nutrition of Acacia auriculiformis. Plants were grown under different salinity levels imposed by 0.3, 0.5 and 1.0 S m(-1) solutions of 1 M NaCl. Both mycorrhizal fungi protected the host plant against the detrimental effect of salinity. The extent of AM response on growth as well as root colonization varied with fungal species, and with the level of salinity. Maximum root colonization and spore production was observed with combined inoculation, which resulted in greater plant growth at all salinity levels. AM fungal inoculated plants showed significantly higher root and shoot weights. Greater nutrient acquisition, changes in root morphology, and electrical conductivity of soil in response to AM colonization was observed, and may be possible mechanisms to protect plants from salt stress.","DOI":"10.1007/s00374-003-0636-z","ISSN":"0178-2762","shortTitle":"Influence of arbuscular mycorrhizal fungi and salinity on growth, biomass, and mineral nutrition of Acacia auriculiformis","author":[{"family":"Giri","given":"B."},{"family":"Kapoor","given":"R."},{"family":"Mukerji","given":"K. G."}],"issued":{"date-parts":[["2003",8]]}}}],"schema":"https://github.com/citation-style-language/schema/raw/master/csl-citation.json"} </w:instrText>
      </w:r>
      <w:r w:rsidR="004E508A">
        <w:fldChar w:fldCharType="separate"/>
      </w:r>
      <w:r w:rsidR="004E508A" w:rsidRPr="004E508A">
        <w:rPr>
          <w:rFonts w:cs="Times New Roman"/>
          <w:szCs w:val="24"/>
        </w:rPr>
        <w:t>(</w:t>
      </w:r>
      <w:proofErr w:type="spellStart"/>
      <w:r w:rsidR="004E508A" w:rsidRPr="004E508A">
        <w:rPr>
          <w:rFonts w:cs="Times New Roman"/>
          <w:szCs w:val="24"/>
        </w:rPr>
        <w:t>Giri</w:t>
      </w:r>
      <w:proofErr w:type="spellEnd"/>
      <w:r w:rsidR="004E508A" w:rsidRPr="004E508A">
        <w:rPr>
          <w:rFonts w:cs="Times New Roman"/>
          <w:szCs w:val="24"/>
        </w:rPr>
        <w:t xml:space="preserve"> </w:t>
      </w:r>
      <w:r w:rsidR="004E508A" w:rsidRPr="004E508A">
        <w:rPr>
          <w:rFonts w:cs="Times New Roman"/>
          <w:i/>
          <w:iCs/>
          <w:szCs w:val="24"/>
        </w:rPr>
        <w:t>et al.</w:t>
      </w:r>
      <w:r w:rsidR="004E508A" w:rsidRPr="004E508A">
        <w:rPr>
          <w:rFonts w:cs="Times New Roman"/>
          <w:szCs w:val="24"/>
        </w:rPr>
        <w:t>, 2003)</w:t>
      </w:r>
      <w:r w:rsidR="004E508A">
        <w:fldChar w:fldCharType="end"/>
      </w:r>
      <w:r w:rsidRPr="00AA22EE">
        <w:t>. Soil salinity may substantially reduce plant growth and productivity due to the toxic effects of excess Na</w:t>
      </w:r>
      <w:r w:rsidRPr="00AA22EE">
        <w:rPr>
          <w:vertAlign w:val="superscript"/>
        </w:rPr>
        <w:t>+</w:t>
      </w:r>
      <w:r w:rsidRPr="00AA22EE">
        <w:t xml:space="preserve"> and Cl</w:t>
      </w:r>
      <w:r w:rsidRPr="00AA22EE">
        <w:rPr>
          <w:vertAlign w:val="superscript"/>
        </w:rPr>
        <w:t>-</w:t>
      </w:r>
      <w:r w:rsidRPr="00AA22EE">
        <w:t xml:space="preserve"> within plants, reduction in plant water potential of salt stressed plants and nutritional deficiencies through induced nutrient imbalances</w:t>
      </w:r>
      <w:r w:rsidR="004E508A">
        <w:t xml:space="preserve"> </w:t>
      </w:r>
      <w:r w:rsidR="004E508A">
        <w:fldChar w:fldCharType="begin"/>
      </w:r>
      <w:r w:rsidR="004E508A">
        <w:instrText xml:space="preserve"> ADDIN ZOTERO_ITEM CSL_CITATION {"citationID":"ca24jsccd","properties":{"formattedCitation":"{\\rtf (Evelin {\\i{}et al.}, 2009)}","plainCitation":"(Evelin et al., 2009)"},"citationItems":[{"id":774,"uris":["http://zotero.org/users/local/d1gJDEOw/items/CK5XB4A3"],"uri":["http://zotero.org/users/local/d1gJDEOw/items/CK5XB4A3"],"itemData":{"id":774,"type":"article-journal","title":"Arbuscular mycorrhizal fungi in alleviation of salt stress: a review","container-title":"Annals of Botany","page":"1263-1280","volume":"104","issue":"7","source":"aob.oxfordjournals.org","abstract":"Background Salt stress has become a major threat to plant growth and productivity. Arbuscular mycorrhizal fungi colonize plant root systems and modulate plant growth in various ways.\nScope This review addresses the significance of arbuscular mycorrhiza in alleviation of salt stress and their beneficial effects on plant growth and productivity. It also focuses on recent progress in unravelling biochemical, physiological and molecular mechanisms in mycorrhizal plants to alleviate salt stress.\nConclusions The role of arbuscular mycorrhizal fungi in alleviating salt stress is well documented. This paper reviews the mechanisms arbuscular mycorrhizal fungi employ to enhance the salt tolerance of host plants such as enhanced nutrient acquisition (P, N, Mg and Ca), maintenance of the K+ : Na+ ratio, biochemical changes (accumulation of proline, betaines, polyamines, carbohydrates and antioxidants), physiological changes (photosynthetic efficiency, relative permeability, water status, abscissic acid accumulation, nodulation and nitrogen fixation), molecular changes (the expression of genes: PIP, Na+/H+ antiporters, Lsnced, Lslea and LsP5CS) and ultra-structural changes. Theis review identifies certain lesser explored areas such as molecular and ultra-structural changes where further research is needed for better understanding of symbiosis with reference to salt stress for optimum usage of this technology in the field on a large scale. This review paper gives useful benchmark information for the development and prioritization of future research programmes.","DOI":"10.1093/aob/mcp251","ISSN":"0305-7364, 1095-8290","note":"PMID: 19815570","shortTitle":"Arbuscular mycorrhizal fungi in alleviation of salt stress","journalAbbreviation":"Ann Bot","language":"en","author":[{"family":"Evelin","given":"Heikham"},{"family":"Kapoor","given":"Rupam"},{"family":"Giri","given":"Bhoopander"}],"issued":{"date-parts":[["2009",1,12]]}}}],"schema":"https://github.com/citation-style-language/schema/raw/master/csl-citation.json"} </w:instrText>
      </w:r>
      <w:r w:rsidR="004E508A">
        <w:fldChar w:fldCharType="separate"/>
      </w:r>
      <w:r w:rsidR="004E508A" w:rsidRPr="004E508A">
        <w:rPr>
          <w:rFonts w:cs="Times New Roman"/>
          <w:szCs w:val="24"/>
        </w:rPr>
        <w:t xml:space="preserve">(Evelin </w:t>
      </w:r>
      <w:r w:rsidR="004E508A" w:rsidRPr="004E508A">
        <w:rPr>
          <w:rFonts w:cs="Times New Roman"/>
          <w:i/>
          <w:iCs/>
          <w:szCs w:val="24"/>
        </w:rPr>
        <w:t>et al.</w:t>
      </w:r>
      <w:r w:rsidR="004E508A" w:rsidRPr="004E508A">
        <w:rPr>
          <w:rFonts w:cs="Times New Roman"/>
          <w:szCs w:val="24"/>
        </w:rPr>
        <w:t>, 2009)</w:t>
      </w:r>
      <w:r w:rsidR="004E508A">
        <w:fldChar w:fldCharType="end"/>
      </w:r>
      <w:r w:rsidR="00E71796">
        <w:t>.</w:t>
      </w:r>
      <w:r w:rsidR="00361D64">
        <w:t xml:space="preserve"> </w:t>
      </w:r>
      <w:r>
        <w:t xml:space="preserve">There is some evidence that AMF colonisation may improve crop productivity within </w:t>
      </w:r>
      <w:r w:rsidRPr="00AA22EE">
        <w:t xml:space="preserve">saline soils </w:t>
      </w:r>
      <w:r w:rsidRPr="00AA22EE">
        <w:fldChar w:fldCharType="begin"/>
      </w:r>
      <w:r w:rsidRPr="00AA22EE">
        <w:instrText xml:space="preserve"> ADDIN EN.CITE &lt;EndNote&gt;&lt;Cite&gt;&lt;Author&gt;Daei&lt;/Author&gt;&lt;Year&gt;2009&lt;/Year&gt;&lt;IDText&gt;Alleviation of salinity stress on wheat yield, yield components, and nutrient uptake using arbuscular mycorrhizal fungi under field conditions&lt;/IDText&gt;&lt;DisplayText&gt;(Daei et al. 2009)&lt;/DisplayText&gt;&lt;record&gt;&lt;urls&gt;&lt;related-urls&gt;&lt;url&gt;&amp;lt;Go to ISI&amp;gt;://WOS:000264806200006&lt;/url&gt;&lt;/related-urls&gt;&lt;/urls&gt;&lt;isbn&gt;0176-1617&lt;/isbn&gt;&lt;titles&gt;&lt;title&gt;Alleviation of salinity stress on wheat yield, yield components, and nutrient uptake using arbuscular mycorrhizal fungi under field conditions&lt;/title&gt;&lt;secondary-title&gt;Journal of Plant Physiology&lt;/secondary-title&gt;&lt;/titles&gt;&lt;pages&gt;617-625&lt;/pages&gt;&lt;number&gt;6&lt;/number&gt;&lt;contributors&gt;&lt;authors&gt;&lt;author&gt;Daei, G.&lt;/author&gt;&lt;author&gt;Ardekani, M. R.&lt;/author&gt;&lt;author&gt;Rejali, F.&lt;/author&gt;&lt;author&gt;Teimuri, S.&lt;/author&gt;&lt;author&gt;Miransari, M.&lt;/author&gt;&lt;/authors&gt;&lt;/contributors&gt;&lt;added-date format="utc"&gt;1359329848&lt;/added-date&gt;&lt;ref-type name="Journal Article"&gt;17&lt;/ref-type&gt;&lt;dates&gt;&lt;year&gt;2009&lt;/year&gt;&lt;/dates&gt;&lt;rec-number&gt;223&lt;/rec-number&gt;&lt;last-updated-date format="utc"&gt;1359329848&lt;/last-updated-date&gt;&lt;accession-num&gt;WOS:000264806200006&lt;/accession-num&gt;&lt;electronic-resource-num&gt;10.1016/j.jplph.2008.09.013&lt;/electronic-resource-num&gt;&lt;volume&gt;166&lt;/volume&gt;&lt;/record&gt;&lt;/Cite&gt;&lt;/EndNote&gt;</w:instrText>
      </w:r>
      <w:r w:rsidRPr="00AA22EE">
        <w:fldChar w:fldCharType="separate"/>
      </w:r>
      <w:r>
        <w:rPr>
          <w:noProof/>
        </w:rPr>
        <w:fldChar w:fldCharType="begin"/>
      </w:r>
      <w:r w:rsidR="00954B3D">
        <w:rPr>
          <w:noProof/>
        </w:rPr>
        <w:instrText xml:space="preserve"> ADDIN ZOTERO_ITEM CSL_CITATION {"citationID":"1j33fl8dpb","properties":{"formattedCitation":"{\\rtf (Evelin {\\i{}et al.}, 2009; Daei {\\i{}et al.}, 2009)}","plainCitation":"(Evelin et al., 2009; Daei et al., 2009)"},"citationItems":[{"id":774,"uris":["http://zotero.org/users/local/d1gJDEOw/items/CK5XB4A3"],"uri":["http://zotero.org/users/local/d1gJDEOw/items/CK5XB4A3"],"itemData":{"id":774,"type":"article-journal","title":"Arbuscular mycorrhizal fungi in alleviation of salt stress: a review","container-title":"Annals of Botany","page":"1263-1280","volume":"104","issue":"7","source":"aob.oxfordjournals.org","abstract":"Background Salt stress has become a major threat to plant growth and productivity. Arbuscular mycorrhizal fungi colonize plant root systems and modulate plant growth in various ways.\nScope This review addresses the significance of arbuscular mycorrhiza in alleviation of salt stress and their beneficial effects on plant growth and productivity. It also focuses on recent progress in unravelling biochemical, physiological and molecular mechanisms in mycorrhizal plants to alleviate salt stress.\nConclusions The role of arbuscular mycorrhizal fungi in alleviating salt stress is well documented. This paper reviews the mechanisms arbuscular mycorrhizal fungi employ to enhance the salt tolerance of host plants such as enhanced nutrient acquisition (P, N, Mg and Ca), maintenance of the K+ : Na+ ratio, biochemical changes (accumulation of proline, betaines, polyamines, carbohydrates and antioxidants), physiological changes (photosynthetic efficiency, relative permeability, water status, abscissic acid accumulation, nodulation and nitrogen fixation), molecular changes (the expression of genes: PIP, Na+/H+ antiporters, Lsnced, Lslea and LsP5CS) and ultra-structural changes. Theis review identifies certain lesser explored areas such as molecular and ultra-structural changes where further research is needed for better understanding of symbiosis with reference to salt stress for optimum usage of this technology in the field on a large scale. This review paper gives useful benchmark information for the development and prioritization of future research programmes.","DOI":"10.1093/aob/mcp251","ISSN":"0305-7364, 1095-8290","note":"PMID: 19815570","shortTitle":"Arbuscular mycorrhizal fungi in alleviation of salt stress","journalAbbreviation":"Ann Bot","language":"en","author":[{"family":"Evelin","given":"Heikham"},{"family":"Kapoor","given":"Rupam"},{"family":"Giri","given":"Bhoopander"}],"issued":{"date-parts":[["2009",1,12]]}}},{"id":146,"uris":["http://zotero.org/users/local/d1gJDEOw/items/2PG4ETTF"],"uri":["http://zotero.org/users/local/d1gJDEOw/items/2PG4ETTF"],"itemData":{"id":146,"type":"article-journal","title":"Alleviation of salinity stress on wheat yield, yield components, and nutrient uptake using arbuscular mycorrhizal fungi under field conditions","container-title":"Journal of Plant Physiology","page":"617-625","volume":"166","issue":"6","source":"ScienceDirect","abstract":"Summary\nWe conducted this study because of the importance of salinity in many parts of the world, and because almost all research regarding the effects of arbuscular mycorrhiza (AM) on plant growth under salinity have been conducted under greenhouse conditions. The hypothesis was that, with respect to the great abilities of AM fungi under stress, they are able to alleviate salinity stress under field conditions. Hence, the objectives were to evaluate the effects of different species of arbuscular mycorrhizal fungi on: (1) the yield and yield components of different wheat cultivars, and (2) nutrient uptake of different wheat genotypes under field saline conditions. The soil salinity of 7.41 dS/m and three AM species including Glomus etunicatum, G. mosseae and G. intraradices and wheat genotypes of Roshan, Kavir and a mutated line of Tabasi were tested. The electrical conductivity of the irrigation water was 13.87 dS/m. Under salinity, AM species significantly increased the growth and nutrient uptake of the mutated Tabasi line compared with the other genotypes, especially in comparison to the Kavir genotype. The mycorrhizal Tabasi genotype resulted in the lowest concentrations of Na+ and Cl−. The influence of different species of AM on enhancing plant growth under salinity was observed in the following order: Glomus etunicatum&amp;gt;G. mosseae&amp;gt;G. intraradices. The symbiosis of Glomus etunicatum and G. intraradices with the Tabasi mutated line resulted in the highest (42.08%) and the lowest (7.55%) increases in wheat dry weight, respectively. The highest (38.3%) and the lowest (4.5%) grain yield increases were related to the symbiosis of Tabasi mutated line with Glomus etunicatum and G. intraradices, respectively. Although different species of AM can be very beneficial to wheat plants under salinity stress, it is obvious from the results of this research that Glomus etunicatum can perform more efficiently under such conditions compared with other AM species. This indicates the great importance of selecting the right combination of AM species and host plant to make cultivation under salinity even more likely.","DOI":"10.1016/j.jplph.2008.09.013","ISSN":"0176-1617","journalAbbreviation":"Journal of Plant Physiology","author":[{"family":"Daei","given":"G."},{"family":"Ardekani","given":"M. R."},{"family":"Rejali","given":"F."},{"family":"Teimuri","given":"S."},{"family":"Miransari","given":"M."}],"issued":{"date-parts":[["2009",4,1]]}}}],"schema":"https://github.com/citation-style-language/schema/raw/master/csl-citation.json"} </w:instrText>
      </w:r>
      <w:r>
        <w:rPr>
          <w:noProof/>
        </w:rPr>
        <w:fldChar w:fldCharType="separate"/>
      </w:r>
      <w:r w:rsidR="00954B3D" w:rsidRPr="00954B3D">
        <w:rPr>
          <w:rFonts w:cs="Times New Roman"/>
          <w:szCs w:val="24"/>
        </w:rPr>
        <w:t xml:space="preserve">(Evelin </w:t>
      </w:r>
      <w:r w:rsidR="00954B3D" w:rsidRPr="00954B3D">
        <w:rPr>
          <w:rFonts w:cs="Times New Roman"/>
          <w:i/>
          <w:iCs/>
          <w:szCs w:val="24"/>
        </w:rPr>
        <w:t>et al.</w:t>
      </w:r>
      <w:r w:rsidR="00954B3D" w:rsidRPr="00954B3D">
        <w:rPr>
          <w:rFonts w:cs="Times New Roman"/>
          <w:szCs w:val="24"/>
        </w:rPr>
        <w:t xml:space="preserve">, 2009; Daei </w:t>
      </w:r>
      <w:r w:rsidR="00954B3D" w:rsidRPr="00954B3D">
        <w:rPr>
          <w:rFonts w:cs="Times New Roman"/>
          <w:i/>
          <w:iCs/>
          <w:szCs w:val="24"/>
        </w:rPr>
        <w:t>et al.</w:t>
      </w:r>
      <w:r w:rsidR="00954B3D" w:rsidRPr="00954B3D">
        <w:rPr>
          <w:rFonts w:cs="Times New Roman"/>
          <w:szCs w:val="24"/>
        </w:rPr>
        <w:t>, 2009)</w:t>
      </w:r>
      <w:r>
        <w:rPr>
          <w:noProof/>
        </w:rPr>
        <w:fldChar w:fldCharType="end"/>
      </w:r>
      <w:r w:rsidRPr="00AA22EE">
        <w:fldChar w:fldCharType="end"/>
      </w:r>
      <w:r w:rsidRPr="00AA22EE">
        <w:t xml:space="preserve">  </w:t>
      </w:r>
      <w:r>
        <w:t xml:space="preserve">however this is likely to vary with AMF taxa colonising crops due </w:t>
      </w:r>
      <w:r w:rsidRPr="00AA22EE">
        <w:t xml:space="preserve">species specific difference in salinity tolerance </w:t>
      </w:r>
      <w:r>
        <w:t>between</w:t>
      </w:r>
      <w:r w:rsidRPr="00AA22EE">
        <w:t xml:space="preserve"> AM</w:t>
      </w:r>
      <w:r>
        <w:t>F taxa</w:t>
      </w:r>
      <w:r w:rsidR="004E508A">
        <w:t xml:space="preserve"> </w:t>
      </w:r>
      <w:r w:rsidR="004E508A">
        <w:fldChar w:fldCharType="begin"/>
      </w:r>
      <w:r w:rsidR="004E508A">
        <w:instrText xml:space="preserve"> ADDIN ZOTERO_ITEM CSL_CITATION {"citationID":"15ru95unmo","properties":{"formattedCitation":"{\\rtf (Tian {\\i{}et al.}, 2004)}","plainCitation":"(Tian et al., 2004)"},"citationItems":[{"id":1304,"uris":["http://zotero.org/users/local/d1gJDEOw/items/UPXSQJ53"],"uri":["http://zotero.org/users/local/d1gJDEOw/items/UPXSQJ53"],"itemData":{"id":1304,"type":"article-journal","title":"Different effects of arbuscular mycorrhizal fungal isolates from saline or non-saline soil on salinity tolerance of plants","container-title":"Applied Soil Ecology","page":"143-148","volume":"26","issue":"2","archive_location":"WOS:000221601300007","abstract":"In order to test the hypothesis that arbuscular mycorrhizal fungi from saline soil have a higher capacity to alleviate the saline stress in plants than that of fungi from non-saline soil, cotton plants growth at four NaCl levels (0-3 g/kg) under greenhouse condition were inoculated with two Glomus mosseae isolates collected from non-saline soil (GM1) and saline soil (GM2). The results shown that the two isolates had different effects on growth and phosphorus; sodium and chloride uptake by cotton: isolate GM1 increased biomass and phosphorus concentrations, but had no significant effects on sodium and chloride concentrations in cotton at the four NaCl levels. Isolate GM2 significantly improved plant growth at 3 g/kg NaCl and increased phosphorus concentrations at 0 and 1 g/kg NaCl, respectively. It also significantly increased sodium concentrations at 2 and 3 g/kg NaCl and chloride concentrations at 1-3 g/kg NaCl: Comparing the two isolates, cotton plants inoculated with GM1 had significantly higher biomass and phosphorus concentrations; but lower sodium and chloride concentrations than those inoculated with GM2 at 2 and 3 g/kg NaCl. These results did pot support our initial hypothesis. The isolate GM2 had a lower capacity to alleviate saline stress in cotton than GM1 and this can be attributed to its higher capacity to increase the concentrations of sodium and chloride in cotton: It is concluded that the mechanisms for protecting plants from the detrimental effects of salinity by AM fungi may differ in their capability to influence the uptake of sodium and chloride. (C) 2003 Elsevier B.V. All rights reserved.","DOI":"10.1016/j.apsoil.2003.10.010","ISSN":"0929-1393","shortTitle":"Different effects of arbuscular mycorrhizal fungal isolates from saline or non-saline soil on salinity tolerance of plants","author":[{"family":"Tian","given":"C. Y."},{"family":"Feng","given":"G."},{"family":"Li","given":"X. L."},{"family":"Zhang","given":"F. S."}],"issued":{"date-parts":[["2004",6]]}}}],"schema":"https://github.com/citation-style-language/schema/raw/master/csl-citation.json"} </w:instrText>
      </w:r>
      <w:r w:rsidR="004E508A">
        <w:fldChar w:fldCharType="separate"/>
      </w:r>
      <w:r w:rsidR="004E508A" w:rsidRPr="004E508A">
        <w:rPr>
          <w:rFonts w:cs="Times New Roman"/>
          <w:szCs w:val="24"/>
        </w:rPr>
        <w:t xml:space="preserve">(Tian </w:t>
      </w:r>
      <w:r w:rsidR="004E508A" w:rsidRPr="004E508A">
        <w:rPr>
          <w:rFonts w:cs="Times New Roman"/>
          <w:i/>
          <w:iCs/>
          <w:szCs w:val="24"/>
        </w:rPr>
        <w:t>et al.</w:t>
      </w:r>
      <w:r w:rsidR="004E508A" w:rsidRPr="004E508A">
        <w:rPr>
          <w:rFonts w:cs="Times New Roman"/>
          <w:szCs w:val="24"/>
        </w:rPr>
        <w:t>, 2004)</w:t>
      </w:r>
      <w:r w:rsidR="004E508A">
        <w:fldChar w:fldCharType="end"/>
      </w:r>
      <w:r w:rsidRPr="00AA22EE">
        <w:t>. A number of studies have reported the negative effects of salinity upon  non</w:t>
      </w:r>
      <w:r w:rsidR="00361D64">
        <w:t>-</w:t>
      </w:r>
      <w:r w:rsidRPr="00AA22EE">
        <w:t>tolerant AM</w:t>
      </w:r>
      <w:r>
        <w:t>F taxa</w:t>
      </w:r>
      <w:r w:rsidRPr="00AA22EE">
        <w:t xml:space="preserve"> </w:t>
      </w:r>
      <w:r w:rsidR="00E71796">
        <w:t>including reductions in</w:t>
      </w:r>
      <w:r w:rsidRPr="00AA22EE">
        <w:t xml:space="preserve"> root colonisation, </w:t>
      </w:r>
      <w:proofErr w:type="spellStart"/>
      <w:r w:rsidRPr="00AA22EE">
        <w:t>arbuscule</w:t>
      </w:r>
      <w:proofErr w:type="spellEnd"/>
      <w:r w:rsidRPr="00AA22EE">
        <w:t xml:space="preserve"> production, hyphal growth and </w:t>
      </w:r>
      <w:r w:rsidR="00E71796">
        <w:t>delayed sporulation</w:t>
      </w:r>
      <w:r w:rsidR="004E508A">
        <w:t xml:space="preserve"> </w:t>
      </w:r>
      <w:r w:rsidR="004E508A">
        <w:fldChar w:fldCharType="begin"/>
      </w:r>
      <w:r w:rsidR="004E508A">
        <w:instrText xml:space="preserve"> ADDIN ZOTERO_ITEM CSL_CITATION {"citationID":"l4uimvuma","properties":{"formattedCitation":"{\\rtf (Juniper &amp; Abbott, 2006; Sheng {\\i{}et al.}, 2008)}","plainCitation":"(Juniper &amp; Abbott, 2006; Sheng et al., 2008)"},"citationItems":[{"id":1042,"uris":["http://zotero.org/users/local/d1gJDEOw/items/JUK6AAX2"],"uri":["http://zotero.org/users/local/d1gJDEOw/items/JUK6AAX2"],"itemData":{"id":1042,"type":"article-journal","title":"Soil salinity delays germination and limits growth of hyphae from propagules of arbuscular mycorrhizal fungi","container-title":"Mycorrhiza","page":"371-379","volume":"16","issue":"5","archive_location":"WOS:000239088100003","abstract":"Colonisation of plant roots by some arbuscular mycorrhizal (AM) fungi is reduced in the presence of sodium chloride (NaCl), probably due to a direct effect of NaCl on the fungi. However, there appear to be differences between the fungi in their ability to colonise plants in the presence of NaCl. This experiment tested the hypothesis that propagules of different isolates and species of AM fungi from saline and nonsaline soils would differ in their ability to germinate and grow in the presence of NaCl in the soil solution. Spores or pieces of root colonised by a range of AM fungi were incubated between filters buried in soil to which NaCl had been added at concentrations of 0, 150 or 300 mM in the soil solution. At regular intervals, filters were removed from the soil and both the percentage of propagules which had germinated and the length of proliferating hyphae were determined. Germination of spores of AM fungi studied was delayed in the presence of NaCl, but the fungi differed in the extent to which germination was inhibited. Two isolates of Scutellospora calospora reached maximum germination in 300 mM NaCl, but neither of two isolates of Acaulospora laevis germinated in the presence of NaCl. Germination of spores of the other fungi, including some isolated from saline soil, fell between these extremes. For some fungi, the specific rate of hyphal extension was reduced by NaCl. For others, the specific rate of growth was similar in the presence of NaCl to that in the control treatment, but overall production of hyphae was reduced in the NaCl treatments because germination was reduced.","DOI":"10.1007/s00572-006-0046-9","ISSN":"0940-6360","shortTitle":"Soil salinity delays germination and limits growth of hyphae from propagules of arbuscular mycorrhizal fungi","author":[{"family":"Juniper","given":"S."},{"family":"Abbott","given":"L. K."}],"issued":{"date-parts":[["2006",7]]}}},{"id":1261,"uris":["http://zotero.org/users/local/d1gJDEOw/items/H8SFB7UU"],"uri":["http://zotero.org/users/local/d1gJDEOw/items/H8SFB7UU"],"itemData":{"id":1261,"type":"article-journal","title":"Influence of arbuscular mycorrhizae on photosynthesis and water status of maize plants under salt stress","container-title":"Mycorrhiza","page":"287-296","volume":"18","issue":"6-7","archive_location":"WOS:000258705300002","abstract":"The influence of arbuscular mycorrhizal (AM) fungus Glomus mosseae on characteristics of the growth, water status, chlorophyll concentration, gas exchange, and chlorophyll fluorescence of maize plants under salt stress was studied in the greenhouse. Maize plants were grown in sand and soil mixture with five NaCl levels (0, 0.5, 1.0, 1.5, and 2.0 g/kg dry substrate) for 55 days, following 15 days of non-saline pretreatment. Under salt stress, mycorrhizal maize plants had higher dry weight of shoot and root, higher relative chlorophyll content, better water status (decreased water saturation deficit, increased water use efficiency, and relative water content), higher gas exchange capacity (increased photosynthetic rate, stomatal conductance and transpiration rate, and decreased intercellular CO(2) concentration), higher non-photochemistry efficiency [increased non-photochemical quenching values (NPQ)], and higher photochemistry efficiency [increased the maximum quantum yield in the dark-adapted state (Fv/Fm), the maximum quantum yield in the light-adapted sate (Fv'/Fm'), the actual quantum yield in the light-adapted steady state (Delta PSII) and the photochemical quenching values (qP)], compared with non-mycorrhizal maize plants. In addition, AM symbiosis could trigger the regulation of the energy biturcation between photochemical and non-photochemical events reflected in the deexcitation rate constants (kN, kN', kP, and kP'). All the results show that G. mosseae alleviates the deleterious effect of salt stress on plant growth, through improving plant water status, chlorophyll concentration, and photosynthetic capacity, while the influence of AM symbiosis on photosynthetic capacity of maize plants can be indirectly affected by soil salinity and mycorrhizae-mediated enhancement of water status, but not by the mycorrhizae-mediated enhancement of chlorophyll concentration and plant biomass.","DOI":"10.1007/s00572-008-0180-7","ISSN":"0940-6360","shortTitle":"Influence of arbuscular mycorrhizae on photosynthesis and water status of maize plants under salt stress","author":[{"family":"Sheng","given":"M."},{"family":"Tang","given":"M."},{"family":"Chen","given":"H."},{"family":"Yang","given":"B. W."},{"family":"Zhang","given":"F. F."},{"family":"Huang","given":"Y. H."}],"issued":{"date-parts":[["2008",9]]}}}],"schema":"https://github.com/citation-style-language/schema/raw/master/csl-citation.json"} </w:instrText>
      </w:r>
      <w:r w:rsidR="004E508A">
        <w:fldChar w:fldCharType="separate"/>
      </w:r>
      <w:r w:rsidR="004E508A" w:rsidRPr="004E508A">
        <w:rPr>
          <w:rFonts w:cs="Times New Roman"/>
          <w:szCs w:val="24"/>
        </w:rPr>
        <w:t xml:space="preserve">(Juniper &amp; Abbott, 2006; Sheng </w:t>
      </w:r>
      <w:r w:rsidR="004E508A" w:rsidRPr="004E508A">
        <w:rPr>
          <w:rFonts w:cs="Times New Roman"/>
          <w:i/>
          <w:iCs/>
          <w:szCs w:val="24"/>
        </w:rPr>
        <w:t>et al.</w:t>
      </w:r>
      <w:r w:rsidR="004E508A" w:rsidRPr="004E508A">
        <w:rPr>
          <w:rFonts w:cs="Times New Roman"/>
          <w:szCs w:val="24"/>
        </w:rPr>
        <w:t>, 2008)</w:t>
      </w:r>
      <w:r w:rsidR="004E508A">
        <w:fldChar w:fldCharType="end"/>
      </w:r>
      <w:r w:rsidR="00E71796">
        <w:t>.</w:t>
      </w:r>
    </w:p>
    <w:p w:rsidR="007E60E4" w:rsidRPr="00AA22EE" w:rsidRDefault="007E60E4" w:rsidP="007E60E4">
      <w:pPr>
        <w:pStyle w:val="Heading3"/>
        <w:rPr>
          <w:rFonts w:cs="Times New Roman"/>
        </w:rPr>
      </w:pPr>
      <w:bookmarkStart w:id="42" w:name="_Toc463208978"/>
      <w:bookmarkStart w:id="43" w:name="_Toc469855003"/>
      <w:bookmarkStart w:id="44" w:name="_Toc469856003"/>
      <w:bookmarkStart w:id="45" w:name="_Toc469931912"/>
      <w:bookmarkStart w:id="46" w:name="_Toc469982234"/>
      <w:r w:rsidRPr="00AA22EE">
        <w:rPr>
          <w:rFonts w:cs="Times New Roman"/>
        </w:rPr>
        <w:t>Toxicity tolerance</w:t>
      </w:r>
      <w:bookmarkEnd w:id="42"/>
      <w:bookmarkEnd w:id="43"/>
      <w:bookmarkEnd w:id="44"/>
      <w:bookmarkEnd w:id="45"/>
      <w:bookmarkEnd w:id="46"/>
    </w:p>
    <w:p w:rsidR="007E60E4" w:rsidRPr="00E97DBE" w:rsidRDefault="007E60E4" w:rsidP="00DE54FD">
      <w:r w:rsidRPr="00AA22EE">
        <w:t>Heavy metals</w:t>
      </w:r>
      <w:r w:rsidR="00E71796">
        <w:t xml:space="preserve"> contamination of soils</w:t>
      </w:r>
      <w:r w:rsidRPr="00AA22EE">
        <w:t xml:space="preserve"> </w:t>
      </w:r>
      <w:r w:rsidR="00E71796">
        <w:t>may</w:t>
      </w:r>
      <w:r w:rsidRPr="00AA22EE">
        <w:t xml:space="preserve"> adversely affect plant growth </w:t>
      </w:r>
      <w:r w:rsidR="00E71796">
        <w:t>yet</w:t>
      </w:r>
      <w:r w:rsidRPr="00AA22EE">
        <w:t xml:space="preserve"> studies </w:t>
      </w:r>
      <w:r w:rsidR="00E71796">
        <w:t xml:space="preserve">show </w:t>
      </w:r>
      <w:r w:rsidRPr="00AA22EE">
        <w:t>that AM</w:t>
      </w:r>
      <w:r w:rsidR="00E71796">
        <w:t>F</w:t>
      </w:r>
      <w:r w:rsidRPr="00AA22EE">
        <w:t xml:space="preserve"> may improve plant tolerance to soils containing heavy metals such as </w:t>
      </w:r>
      <w:proofErr w:type="spellStart"/>
      <w:r w:rsidRPr="00AA22EE">
        <w:t>Pb</w:t>
      </w:r>
      <w:proofErr w:type="spellEnd"/>
      <w:r w:rsidRPr="00AA22EE">
        <w:t>, Zn and Cd</w:t>
      </w:r>
      <w:r w:rsidR="004E508A">
        <w:t xml:space="preserve"> </w:t>
      </w:r>
      <w:r w:rsidR="004E508A">
        <w:fldChar w:fldCharType="begin"/>
      </w:r>
      <w:r w:rsidR="004E508A">
        <w:instrText xml:space="preserve"> ADDIN ZOTERO_ITEM CSL_CITATION {"citationID":"1sjlhmtr2k","properties":{"formattedCitation":"{\\rtf (Vogel-Mikus {\\i{}et al.}, 2006; de Souza {\\i{}et al.}, 2012)}","plainCitation":"(Vogel-Mikus et al., 2006; de Souza et al., 2012)"},"citationItems":[{"id":1335,"uris":["http://zotero.org/users/local/d1gJDEOw/items/BX69AUUJ"],"uri":["http://zotero.org/users/local/d1gJDEOw/items/BX69AUUJ"],"itemData":{"id":1335,"type":"article-journal","title":"Colonisation of a Zn, Cd and Pb hyperaccumulator Thlaspi praecox Wulfen with indigenous arbuscular mycorrhizal fungal mixture induces changes in heavy metal and nutrient uptake","container-title":"Environmental Pollution","page":"362-371","volume":"139","issue":"2","archive_location":"WOS:000235701100017","abstract":"Plants of the Zn, Cd and Pb hyperaccumulator Thlaspi praecox Wulfen (Brassicaceac) inoculated or not with indigenous arbuscular mycorrhizal (AM) fungal mixture were grown in a highly Cd, Zn and Pb contaminated substrate in order to evaluate the functionality of symbiosis and assess the possible impact of AM colonisation on heavy metal uptake and tolerance. The results suggest AM development in the metal hyperaccumulating T. praecox is favoured at elevated nutrient demands, e.g. during the reproductive period. AM colonisation parameters positively correlated with total soil Cd and Pb. Colonised plants showed significantly improved nutrient and a decreased Cd and Zn uptake as revealed by TRXRF, thus confirming the functionality of the symbiosis. Reduced heavy metal uptake, especially at higher soil metal contents, indicates a changed metal tolerance strategy in colonised T. praecox plants. This is to our knowledge the first report on AM colonisation of the Zn, Cd and Pb hyperaccumulator T. praecox in a greenhouse experiment. (C) 2005 Elsevier Ltd. All rights reserved.","DOI":"10.1016/j.envpol.2005.05.005","ISSN":"0269-7491","shortTitle":"Colonisation of a Zn, Cd and Pb hyperaccumulator Thlaspi praecox Wulfen with indigenous arbuscular mycorrhizal fungal mixture induces changes in heavy metal and nutrient uptake","author":[{"family":"Vogel-Mikus","given":"K."},{"family":"Pongrac","given":"P."},{"family":"Kump","given":"P."},{"family":"Necemer","given":"M."},{"family":"Regvar","given":"M."}],"issued":{"date-parts":[["2006",1]]}}},{"id":911,"uris":["http://zotero.org/users/local/d1gJDEOw/items/UH8JJRV3"],"uri":["http://zotero.org/users/local/d1gJDEOw/items/UH8JJRV3"],"itemData":{"id":911,"type":"article-journal","title":"Arbuscular mycorrhiza confers Pb tolerance in Calopogonium mucunoides","container-title":"Acta Physiologiae Plantarum","page":"523-531","volume":"34","issue":"2","archive_location":"WOS:000300453500013","abstract":"Heavy metals (HMs) are environmental pollutants of great concern to humans because of their high potential toxicity. Lead is a HM that is present in the soil in very small amounts, but anthropogenic activities have increased its content in some locations, which can make these areas unproductive or inappropriate for crop production. However, there are some plants that can grow in contaminated soils and, thus, can be useful for the removal or stabilisation of such contaminants. In addition, plants that are not able to tolerate high concentrations of HMs in the soil can become tolerant or increase their performance when associated with arbuscular mycorrhizal (AM) fungi. Accordingly, this study was carried out to verify whether the inoculation of Glomus etunicatum, an AM fungus species, in Calopogonium mucunoides would influence plant tolerance to increasing concentrations of Pb in the soil. The experimental design was completely randomised, in a 2 x 4 factorial design, and the treatments consisted of inoculation (or not) with the AM fungus, G. etunicatum, and the addition of four Pb concentrations (0, 250, 500 or 1,000 mg kg(-1)) to the soil. The results showed that the association of C. mucunoides with G. etunicatum promoted biomass production, and nutrient uptake (P, S and Fe) was also positively influenced by mycorrhization. The malondialdehyde content was higher in non-mycorrhizal leaves, suggesting a reduction in the damage to membranes by lipid peroxidation in plants associated with mycorrhizae. However, the Pb concentration in the shoots did not differ between the mycorrhizal and non-mycorrhizal plants. The results of our study suggest that the AM symbiosis can be considered very effective in contributing to the tolerance of C. mucunoides to Pb.","DOI":"10.1007/s11738-011-0849-y","ISSN":"0137-5881","shortTitle":"Arbuscular mycorrhiza confers Pb tolerance in Calopogonium mucunoides","author":[{"family":"Souza","given":"L. A.","non-dropping-particle":"de"},{"family":"Andrade","given":"S. A. L.","non-dropping-particle":"de"},{"family":"Souza","given":"S. C. R.","non-dropping-particle":"de"},{"family":"Schiavinato","given":"M. A."}],"issued":{"date-parts":[["2012",3]]}}}],"schema":"https://github.com/citation-style-language/schema/raw/master/csl-citation.json"} </w:instrText>
      </w:r>
      <w:r w:rsidR="004E508A">
        <w:fldChar w:fldCharType="separate"/>
      </w:r>
      <w:r w:rsidR="004E508A" w:rsidRPr="004E508A">
        <w:rPr>
          <w:rFonts w:cs="Times New Roman"/>
          <w:szCs w:val="24"/>
        </w:rPr>
        <w:t>(Vogel-</w:t>
      </w:r>
      <w:proofErr w:type="spellStart"/>
      <w:r w:rsidR="004E508A" w:rsidRPr="004E508A">
        <w:rPr>
          <w:rFonts w:cs="Times New Roman"/>
          <w:szCs w:val="24"/>
        </w:rPr>
        <w:t>Mikus</w:t>
      </w:r>
      <w:proofErr w:type="spellEnd"/>
      <w:r w:rsidR="004E508A" w:rsidRPr="004E508A">
        <w:rPr>
          <w:rFonts w:cs="Times New Roman"/>
          <w:szCs w:val="24"/>
        </w:rPr>
        <w:t xml:space="preserve"> </w:t>
      </w:r>
      <w:r w:rsidR="004E508A" w:rsidRPr="004E508A">
        <w:rPr>
          <w:rFonts w:cs="Times New Roman"/>
          <w:i/>
          <w:iCs/>
          <w:szCs w:val="24"/>
        </w:rPr>
        <w:t>et al.</w:t>
      </w:r>
      <w:r w:rsidR="004E508A" w:rsidRPr="004E508A">
        <w:rPr>
          <w:rFonts w:cs="Times New Roman"/>
          <w:szCs w:val="24"/>
        </w:rPr>
        <w:t xml:space="preserve">, 2006; de Souza </w:t>
      </w:r>
      <w:r w:rsidR="004E508A" w:rsidRPr="004E508A">
        <w:rPr>
          <w:rFonts w:cs="Times New Roman"/>
          <w:i/>
          <w:iCs/>
          <w:szCs w:val="24"/>
        </w:rPr>
        <w:t>et al.</w:t>
      </w:r>
      <w:r w:rsidR="004E508A" w:rsidRPr="004E508A">
        <w:rPr>
          <w:rFonts w:cs="Times New Roman"/>
          <w:szCs w:val="24"/>
        </w:rPr>
        <w:t>, 2012)</w:t>
      </w:r>
      <w:r w:rsidR="004E508A">
        <w:fldChar w:fldCharType="end"/>
      </w:r>
      <w:r w:rsidRPr="00AA22EE">
        <w:t>, along with toxic compounds such as arsenic</w:t>
      </w:r>
      <w:r w:rsidR="004E508A">
        <w:t xml:space="preserve"> </w:t>
      </w:r>
      <w:r w:rsidR="004E508A">
        <w:fldChar w:fldCharType="begin"/>
      </w:r>
      <w:r w:rsidR="004E508A">
        <w:instrText xml:space="preserve"> ADDIN ZOTERO_ITEM CSL_CITATION {"citationID":"22v1bf3o1j","properties":{"formattedCitation":"{\\rtf (Smith {\\i{}et al.}, 2010)}","plainCitation":"(Smith et al., 2010)"},"citationItems":[{"id":1273,"uris":["http://zotero.org/users/local/d1gJDEOw/items/SASH7CPG"],"uri":["http://zotero.org/users/local/d1gJDEOw/items/SASH7CPG"],"itemData":{"id":1273,"type":"article-journal","title":"Arsenic uptake and toxicity in plants: integrating mycorrhizal influences","container-title":"Plant and Soil","page":"1-21","volume":"327","issue":"1-2","archive_location":"WOS:000273754800001","abstract":"Arsenic (As) contamination of soil and water is a global problem that impacts on many areas of biology. This review firstly covers aspects of soil chemistry and soil-plant interactions relevant to the ways plants take up As (particularly arsenate (As(V)) from aerobic soils, with especial attention to As-phosphorus (P) interactions. It then assesses the extent to which studies of plant As tolerance based on short-term uptake of As(V) from nutrient solutions can be extrapolated to longer-term growth in contaminated soil. Mycorrhizal symbioses are then highlighted, because they are formed by similar to 90% of higher plants, often with increased uptake of phosphate (Pi) compared with non-mycorrhizal (NM) counterparts. It is therefore likely that mycorrhizas influence As(V) uptake. Published work shows that arbuscular mycorrhizal (AM) plants (the most common mycorrhizal type) have higher P/As ratios than NM plants, and this would be expected to affect sensitivity to soil As. We discuss ways in which higher P/As selectivity might result from differential operation of P and As uptake pathways in AM compared with NM plants, taking into account new understanding of P uptake mechanisms. We also give suggestions for future research required to increase understanding of mechanisms of As(V) uptake, and its interactions with plant P.","DOI":"10.1007/s11104-009-0089-8","ISSN":"0032-079X","shortTitle":"Arsenic uptake and toxicity in plants: integrating mycorrhizal influences","author":[{"family":"Smith","given":"S. E."},{"family":"Christophersen","given":"H. M."},{"family":"Pope","given":"S."},{"family":"Smith","given":"F. A."}],"issued":{"date-parts":[["2010",2]]}}}],"schema":"https://github.com/citation-style-language/schema/raw/master/csl-citation.json"} </w:instrText>
      </w:r>
      <w:r w:rsidR="004E508A">
        <w:fldChar w:fldCharType="separate"/>
      </w:r>
      <w:r w:rsidR="004E508A" w:rsidRPr="004E508A">
        <w:rPr>
          <w:rFonts w:cs="Times New Roman"/>
          <w:szCs w:val="24"/>
        </w:rPr>
        <w:t xml:space="preserve">(Smith </w:t>
      </w:r>
      <w:r w:rsidR="004E508A" w:rsidRPr="004E508A">
        <w:rPr>
          <w:rFonts w:cs="Times New Roman"/>
          <w:i/>
          <w:iCs/>
          <w:szCs w:val="24"/>
        </w:rPr>
        <w:t>et al.</w:t>
      </w:r>
      <w:r w:rsidR="004E508A" w:rsidRPr="004E508A">
        <w:rPr>
          <w:rFonts w:cs="Times New Roman"/>
          <w:szCs w:val="24"/>
        </w:rPr>
        <w:t>, 2010)</w:t>
      </w:r>
      <w:r w:rsidR="004E508A">
        <w:fldChar w:fldCharType="end"/>
      </w:r>
      <w:r w:rsidR="00D653CB">
        <w:t xml:space="preserve">. </w:t>
      </w:r>
      <w:r w:rsidRPr="00AA22EE">
        <w:t>A number of studies report improved plant biomass and nutrient uptake of AM colonised plants growing within contaminated soils</w:t>
      </w:r>
      <w:r w:rsidR="004E508A">
        <w:t xml:space="preserve"> </w:t>
      </w:r>
      <w:r w:rsidR="004E508A">
        <w:fldChar w:fldCharType="begin"/>
      </w:r>
      <w:r w:rsidR="004E508A">
        <w:instrText xml:space="preserve"> ADDIN ZOTERO_ITEM CSL_CITATION {"citationID":"hs93src8c","properties":{"formattedCitation":"{\\rtf (Vogel-Mikus {\\i{}et al.}, 2006; de Souza {\\i{}et al.}, 2012)}","plainCitation":"(Vogel-Mikus et al., 2006; de Souza et al., 2012)"},"citationItems":[{"id":1335,"uris":["http://zotero.org/users/local/d1gJDEOw/items/BX69AUUJ"],"uri":["http://zotero.org/users/local/d1gJDEOw/items/BX69AUUJ"],"itemData":{"id":1335,"type":"article-journal","title":"Colonisation of a Zn, Cd and Pb hyperaccumulator Thlaspi praecox Wulfen with indigenous arbuscular mycorrhizal fungal mixture induces changes in heavy metal and nutrient uptake","container-title":"Environmental Pollution","page":"362-371","volume":"139","issue":"2","archive_location":"WOS:000235701100017","abstract":"Plants of the Zn, Cd and Pb hyperaccumulator Thlaspi praecox Wulfen (Brassicaceac) inoculated or not with indigenous arbuscular mycorrhizal (AM) fungal mixture were grown in a highly Cd, Zn and Pb contaminated substrate in order to evaluate the functionality of symbiosis and assess the possible impact of AM colonisation on heavy metal uptake and tolerance. The results suggest AM development in the metal hyperaccumulating T. praecox is favoured at elevated nutrient demands, e.g. during the reproductive period. AM colonisation parameters positively correlated with total soil Cd and Pb. Colonised plants showed significantly improved nutrient and a decreased Cd and Zn uptake as revealed by TRXRF, thus confirming the functionality of the symbiosis. Reduced heavy metal uptake, especially at higher soil metal contents, indicates a changed metal tolerance strategy in colonised T. praecox plants. This is to our knowledge the first report on AM colonisation of the Zn, Cd and Pb hyperaccumulator T. praecox in a greenhouse experiment. (C) 2005 Elsevier Ltd. All rights reserved.","DOI":"10.1016/j.envpol.2005.05.005","ISSN":"0269-7491","shortTitle":"Colonisation of a Zn, Cd and Pb hyperaccumulator Thlaspi praecox Wulfen with indigenous arbuscular mycorrhizal fungal mixture induces changes in heavy metal and nutrient uptake","author":[{"family":"Vogel-Mikus","given":"K."},{"family":"Pongrac","given":"P."},{"family":"Kump","given":"P."},{"family":"Necemer","given":"M."},{"family":"Regvar","given":"M."}],"issued":{"date-parts":[["2006",1]]}}},{"id":911,"uris":["http://zotero.org/users/local/d1gJDEOw/items/UH8JJRV3"],"uri":["http://zotero.org/users/local/d1gJDEOw/items/UH8JJRV3"],"itemData":{"id":911,"type":"article-journal","title":"Arbuscular mycorrhiza confers Pb tolerance in Calopogonium mucunoides","container-title":"Acta Physiologiae Plantarum","page":"523-531","volume":"34","issue":"2","archive_location":"WOS:000300453500013","abstract":"Heavy metals (HMs) are environmental pollutants of great concern to humans because of their high potential toxicity. Lead is a HM that is present in the soil in very small amounts, but anthropogenic activities have increased its content in some locations, which can make these areas unproductive or inappropriate for crop production. However, there are some plants that can grow in contaminated soils and, thus, can be useful for the removal or stabilisation of such contaminants. In addition, plants that are not able to tolerate high concentrations of HMs in the soil can become tolerant or increase their performance when associated with arbuscular mycorrhizal (AM) fungi. Accordingly, this study was carried out to verify whether the inoculation of Glomus etunicatum, an AM fungus species, in Calopogonium mucunoides would influence plant tolerance to increasing concentrations of Pb in the soil. The experimental design was completely randomised, in a 2 x 4 factorial design, and the treatments consisted of inoculation (or not) with the AM fungus, G. etunicatum, and the addition of four Pb concentrations (0, 250, 500 or 1,000 mg kg(-1)) to the soil. The results showed that the association of C. mucunoides with G. etunicatum promoted biomass production, and nutrient uptake (P, S and Fe) was also positively influenced by mycorrhization. The malondialdehyde content was higher in non-mycorrhizal leaves, suggesting a reduction in the damage to membranes by lipid peroxidation in plants associated with mycorrhizae. However, the Pb concentration in the shoots did not differ between the mycorrhizal and non-mycorrhizal plants. The results of our study suggest that the AM symbiosis can be considered very effective in contributing to the tolerance of C. mucunoides to Pb.","DOI":"10.1007/s11738-011-0849-y","ISSN":"0137-5881","shortTitle":"Arbuscular mycorrhiza confers Pb tolerance in Calopogonium mucunoides","author":[{"family":"Souza","given":"L. A.","non-dropping-particle":"de"},{"family":"Andrade","given":"S. A. L.","non-dropping-particle":"de"},{"family":"Souza","given":"S. C. R.","non-dropping-particle":"de"},{"family":"Schiavinato","given":"M. A."}],"issued":{"date-parts":[["2012",3]]}}}],"schema":"https://github.com/citation-style-language/schema/raw/master/csl-citation.json"} </w:instrText>
      </w:r>
      <w:r w:rsidR="004E508A">
        <w:fldChar w:fldCharType="separate"/>
      </w:r>
      <w:r w:rsidR="004E508A" w:rsidRPr="004E508A">
        <w:rPr>
          <w:rFonts w:cs="Times New Roman"/>
          <w:szCs w:val="24"/>
        </w:rPr>
        <w:t>(Vogel-</w:t>
      </w:r>
      <w:proofErr w:type="spellStart"/>
      <w:r w:rsidR="004E508A" w:rsidRPr="004E508A">
        <w:rPr>
          <w:rFonts w:cs="Times New Roman"/>
          <w:szCs w:val="24"/>
        </w:rPr>
        <w:t>Mikus</w:t>
      </w:r>
      <w:proofErr w:type="spellEnd"/>
      <w:r w:rsidR="004E508A" w:rsidRPr="004E508A">
        <w:rPr>
          <w:rFonts w:cs="Times New Roman"/>
          <w:szCs w:val="24"/>
        </w:rPr>
        <w:t xml:space="preserve"> </w:t>
      </w:r>
      <w:r w:rsidR="004E508A" w:rsidRPr="004E508A">
        <w:rPr>
          <w:rFonts w:cs="Times New Roman"/>
          <w:i/>
          <w:iCs/>
          <w:szCs w:val="24"/>
        </w:rPr>
        <w:t>et al.</w:t>
      </w:r>
      <w:r w:rsidR="004E508A" w:rsidRPr="004E508A">
        <w:rPr>
          <w:rFonts w:cs="Times New Roman"/>
          <w:szCs w:val="24"/>
        </w:rPr>
        <w:t xml:space="preserve">, 2006; de Souza </w:t>
      </w:r>
      <w:r w:rsidR="004E508A" w:rsidRPr="004E508A">
        <w:rPr>
          <w:rFonts w:cs="Times New Roman"/>
          <w:i/>
          <w:iCs/>
          <w:szCs w:val="24"/>
        </w:rPr>
        <w:t>et al.</w:t>
      </w:r>
      <w:r w:rsidR="004E508A" w:rsidRPr="004E508A">
        <w:rPr>
          <w:rFonts w:cs="Times New Roman"/>
          <w:szCs w:val="24"/>
        </w:rPr>
        <w:t>, 2012)</w:t>
      </w:r>
      <w:r w:rsidR="004E508A">
        <w:fldChar w:fldCharType="end"/>
      </w:r>
      <w:r w:rsidRPr="00AA22EE">
        <w:t>. This has been attributed to the ability of AM</w:t>
      </w:r>
      <w:r w:rsidR="00D76319">
        <w:t>F</w:t>
      </w:r>
      <w:r w:rsidRPr="00AA22EE">
        <w:t xml:space="preserve"> to protect host plants and reduce concentrations of toxic metals in plant tissue through accumulation of metals within hyphae. Hyphae are</w:t>
      </w:r>
      <w:r w:rsidR="00E71796">
        <w:t xml:space="preserve"> able to accumulate metals at </w:t>
      </w:r>
      <w:r w:rsidRPr="00AA22EE">
        <w:t xml:space="preserve">higher concentrations than roots for example a study by </w:t>
      </w:r>
      <w:r w:rsidRPr="00AA22EE">
        <w:fldChar w:fldCharType="begin"/>
      </w:r>
      <w:r w:rsidRPr="00AA22EE">
        <w:instrText xml:space="preserve"> ADDIN EN.CITE &lt;EndNote&gt;&lt;Cite&gt;&lt;Author&gt;Janouskova&lt;/Author&gt;&lt;Year&gt;2006&lt;/Year&gt;&lt;IDText&gt;Potential contribution of arbuscular mycorrhiza to cadmium immobilisation in soil&lt;/IDText&gt;&lt;DisplayText&gt;(Janouskova, Pavlikova and Vosatka 2006)&lt;/DisplayText&gt;&lt;record&gt;&lt;dates&gt;&lt;pub-dates&gt;&lt;date&gt;Dec&lt;/date&gt;&lt;/pub-dates&gt;&lt;year&gt;2006&lt;/year&gt;&lt;/dates&gt;&lt;urls&gt;&lt;related-urls&gt;&lt;url&gt;&amp;lt;Go to ISI&amp;gt;://WOS:000243019400007&lt;/url&gt;&lt;/related-urls&gt;&lt;/urls&gt;&lt;isbn&gt;0045-6535&lt;/isbn&gt;&lt;titles&gt;&lt;title&gt;Potential contribution of arbuscular mycorrhiza to cadmium immobilisation in soil&lt;/title&gt;&lt;secondary-title&gt;Chemosphere&lt;/secondary-title&gt;&lt;/titles&gt;&lt;pages&gt;1959-1965&lt;/pages&gt;&lt;number&gt;11&lt;/number&gt;&lt;contributors&gt;&lt;authors&gt;&lt;author&gt;Janouskova, M.&lt;/author&gt;&lt;author&gt;Pavlikova, D.&lt;/author&gt;&lt;author&gt;Vosatka, M.&lt;/author&gt;&lt;/authors&gt;&lt;/contributors&gt;&lt;added-date format="utc"&gt;1359341470&lt;/added-date&gt;&lt;ref-type name="Journal Article"&gt;17&lt;/ref-type&gt;&lt;rec-number&gt;258&lt;/rec-number&gt;&lt;last-updated-date format="utc"&gt;1359341470&lt;/last-updated-date&gt;&lt;accession-num&gt;WOS:000243019400007&lt;/accession-num&gt;&lt;electronic-resource-num&gt;10.1016/j.chemosphere.2006.07.007&lt;/electronic-resource-num&gt;&lt;volume&gt;65&lt;/volume&gt;&lt;/record&gt;&lt;/Cite&gt;&lt;/EndNote&gt;</w:instrText>
      </w:r>
      <w:r w:rsidRPr="00AA22EE">
        <w:fldChar w:fldCharType="separate"/>
      </w:r>
      <w:r w:rsidRPr="00CF5BD0">
        <w:rPr>
          <w:noProof/>
        </w:rPr>
        <w:t xml:space="preserve">Janouskova, Pavlikova and Vosatka </w:t>
      </w:r>
      <w:r w:rsidR="004E508A">
        <w:rPr>
          <w:noProof/>
          <w:highlight w:val="yellow"/>
        </w:rPr>
        <w:fldChar w:fldCharType="begin"/>
      </w:r>
      <w:r w:rsidR="004E508A">
        <w:rPr>
          <w:noProof/>
          <w:highlight w:val="yellow"/>
        </w:rPr>
        <w:instrText xml:space="preserve"> ADDIN ZOTERO_ITEM CSL_CITATION {"citationID":"1s4odmv47l","properties":{"formattedCitation":"{\\rtf (Janouskova {\\i{}et al.}, 2006)}","plainCitation":"(Janouskova et al., 2006)"},"citationItems":[{"id":1017,"uris":["http://zotero.org/users/local/d1gJDEOw/items/A297R36H"],"uri":["http://zotero.org/users/local/d1gJDEOw/items/A297R36H"],"itemData":{"id":1017,"type":"article-journal","title":"Potential contribution of arbuscular mycorrhiza to cadmium immobilisation in soil","container-title":"Chemosphere","page":"1959-1965","volume":"65","issue":"11","archive_location":"WOS:000243019400007","abstract":"The contribution of arbuscular mycorrhiza, (AM) to immobilisation of Cd in substrate was studied in two experiments. In the first experiment, substrates prepared by cultivating tobacco, either non-mycorrhizal or inoculated with the AM fungus Glomus intraradices were enriched with a range of Cd concentrations, and Cd toxicity in the substrates was assessed using root growth tests with lettuce as a test plant. The tests revealed lower Cd toxicity in the mycorrhizal than in the non-mycorrhizal substrate, and the difference increased with increasing total Cd concentration in the substrates. In the second experiment, extraradical mycelium (ERM) of G. intraradices exposed in vivo to Cd was collected and analysed on Cd concentration. The ERM accumulated 10-20 times more Cd per unit of biomass than tobacco roots. While Cd concentrations were lower in the biomass of mycorrhizal plants than of non-mycorrhizal plants, Cd immobilisation by ERM did not affect the total Cd content in mycorrhizal tobacco. It is concluded that mycorrhiza may decrease Cd toxicity to plants by enhancing Cd immobilisation in soil. The results therefore suggest a potential role of AM symbiosis in the phytostabilisation of contaminated soils, where high Cd availability inhibits plant growth. (c) 2006 Elsevier Ltd. All rights reserved.","DOI":"10.1016/j.chemosphere.2006.07.007","ISSN":"0045-6535","shortTitle":"Potential contribution of arbuscular mycorrhiza to cadmium immobilisation in soil","author":[{"family":"Janouskova","given":"M."},{"family":"Pavlikova","given":"D."},{"family":"Vosatka","given":"M."}],"issued":{"date-parts":[["2006",12]]}}}],"schema":"https://github.com/citation-style-language/schema/raw/master/csl-citation.json"} </w:instrText>
      </w:r>
      <w:r w:rsidR="004E508A">
        <w:rPr>
          <w:noProof/>
          <w:highlight w:val="yellow"/>
        </w:rPr>
        <w:fldChar w:fldCharType="separate"/>
      </w:r>
      <w:r w:rsidR="004E508A">
        <w:rPr>
          <w:rFonts w:cs="Times New Roman"/>
          <w:szCs w:val="24"/>
        </w:rPr>
        <w:t>(</w:t>
      </w:r>
      <w:r w:rsidR="004E508A" w:rsidRPr="004E508A">
        <w:rPr>
          <w:rFonts w:cs="Times New Roman"/>
          <w:szCs w:val="24"/>
        </w:rPr>
        <w:t>2006)</w:t>
      </w:r>
      <w:r w:rsidR="004E508A">
        <w:rPr>
          <w:noProof/>
          <w:highlight w:val="yellow"/>
        </w:rPr>
        <w:fldChar w:fldCharType="end"/>
      </w:r>
      <w:r w:rsidRPr="00AA22EE">
        <w:fldChar w:fldCharType="end"/>
      </w:r>
      <w:r w:rsidR="004E508A" w:rsidRPr="00AA22EE">
        <w:t xml:space="preserve"> </w:t>
      </w:r>
      <w:r w:rsidRPr="00AA22EE">
        <w:t xml:space="preserve"> found that AM</w:t>
      </w:r>
      <w:r>
        <w:t>F colonised</w:t>
      </w:r>
      <w:r w:rsidRPr="00AA22EE">
        <w:t xml:space="preserve"> plants growing in Cd contaminated soil were able to contain over 10 to 20 times higher levels of Cd in their hyphae than in roots and that this effectively reduced the accumulation of Cd in plant tissue. </w:t>
      </w:r>
      <w:r>
        <w:t xml:space="preserve">However, </w:t>
      </w:r>
      <w:r w:rsidRPr="00AA22EE">
        <w:t>AM</w:t>
      </w:r>
      <w:r>
        <w:t>F</w:t>
      </w:r>
      <w:r w:rsidRPr="00AA22EE">
        <w:t xml:space="preserve"> species differ in their ability to alleviate toxicity stress</w:t>
      </w:r>
      <w:r w:rsidR="004E508A">
        <w:t xml:space="preserve"> </w:t>
      </w:r>
      <w:r w:rsidR="004E508A">
        <w:fldChar w:fldCharType="begin"/>
      </w:r>
      <w:r w:rsidR="004E508A">
        <w:instrText xml:space="preserve"> ADDIN ZOTERO_ITEM CSL_CITATION {"citationID":"5jf5jm2gi","properties":{"formattedCitation":"(Miransari, 2011)","plainCitation":"(Miransari, 2011)"},"citationItems":[{"id":1124,"uris":["http://zotero.org/users/local/d1gJDEOw/items/AFPADVVE"],"uri":["http://zotero.org/users/local/d1gJDEOw/items/AFPADVVE"],"itemData":{"id":1124,"type":"article-journal","title":"Hyperaccumulators, arbuscular mycorrhizal fungi and stress of heavy metals","container-title":"Biotechnology Advances","page":"645-653","volume":"29","issue":"6","archive_location":"WOS:000296821900008","abstract":"Use of plants, with hyperaccumulating ability or in association with soil microbes including the symbiotic fungi, arbuscular mycorrhiza (AM), are among the most common biological methods of treating heavy metals in soil. Both hyperaccumulating plants and AM fungi have some unique abilities, which make them suitable to treat heavy metals. Hyperaccumulator plants have some genes, being expressed at the time of heavy metal pollution, and can accordingly localize high concentration of heavy metals to their tissues, without showing the toxicity symptoms. A key solution to the issue of heavy metal pollution may be the proper integration of hyperaccumulator plants and AM fungi. The interactions between the soil microbes and the host plant can also be important for the treatment of soils polluted with heavy metals. (C) 2011 Elsevier Inc. All rights reserved.","DOI":"10.1016/j.biotechadv.2011.04.006","ISSN":"0734-9750","shortTitle":"Hyperaccumulators, arbuscular mycorrhizal fungi and stress of heavy metals","journalAbbreviation":"Biotechnol. Adv.","language":"English","author":[{"family":"Miransari","given":"M."}],"issued":{"date-parts":[["2011",11]]}}}],"schema":"https://github.com/citation-style-language/schema/raw/master/csl-citation.json"} </w:instrText>
      </w:r>
      <w:r w:rsidR="004E508A">
        <w:fldChar w:fldCharType="separate"/>
      </w:r>
      <w:r w:rsidR="004E508A" w:rsidRPr="004E508A">
        <w:rPr>
          <w:rFonts w:cs="Times New Roman"/>
        </w:rPr>
        <w:t>(</w:t>
      </w:r>
      <w:proofErr w:type="spellStart"/>
      <w:r w:rsidR="004E508A" w:rsidRPr="004E508A">
        <w:rPr>
          <w:rFonts w:cs="Times New Roman"/>
        </w:rPr>
        <w:t>Miransari</w:t>
      </w:r>
      <w:proofErr w:type="spellEnd"/>
      <w:r w:rsidR="004E508A" w:rsidRPr="004E508A">
        <w:rPr>
          <w:rFonts w:cs="Times New Roman"/>
        </w:rPr>
        <w:t>, 2011)</w:t>
      </w:r>
      <w:r w:rsidR="004E508A">
        <w:fldChar w:fldCharType="end"/>
      </w:r>
      <w:r w:rsidRPr="00AA22EE">
        <w:t>.</w:t>
      </w:r>
    </w:p>
    <w:p w:rsidR="007E60E4" w:rsidRPr="00E97DBE" w:rsidRDefault="007E60E4" w:rsidP="007E60E4">
      <w:pPr>
        <w:pStyle w:val="Heading3"/>
        <w:rPr>
          <w:rFonts w:cs="Times New Roman"/>
        </w:rPr>
      </w:pPr>
      <w:bookmarkStart w:id="47" w:name="_Toc463208979"/>
      <w:bookmarkStart w:id="48" w:name="_Toc469855004"/>
      <w:bookmarkStart w:id="49" w:name="_Toc469856004"/>
      <w:bookmarkStart w:id="50" w:name="_Toc469931913"/>
      <w:bookmarkStart w:id="51" w:name="_Toc469982235"/>
      <w:r w:rsidRPr="00AA22EE">
        <w:rPr>
          <w:rFonts w:cs="Times New Roman"/>
        </w:rPr>
        <w:lastRenderedPageBreak/>
        <w:t>Improved soil structure and properties</w:t>
      </w:r>
      <w:bookmarkEnd w:id="47"/>
      <w:bookmarkEnd w:id="48"/>
      <w:bookmarkEnd w:id="49"/>
      <w:bookmarkEnd w:id="50"/>
      <w:bookmarkEnd w:id="51"/>
    </w:p>
    <w:p w:rsidR="007E60E4" w:rsidRPr="00AA22EE" w:rsidRDefault="00E71796" w:rsidP="00DE54FD">
      <w:r>
        <w:t xml:space="preserve">Arbuscular </w:t>
      </w:r>
      <w:r w:rsidR="00844B37">
        <w:t>mycorrhizal</w:t>
      </w:r>
      <w:r>
        <w:t xml:space="preserve"> fungi influence soil properties </w:t>
      </w:r>
      <w:r w:rsidR="007E60E4" w:rsidRPr="00AA22EE">
        <w:t>through a number of mechanisms.  Firstly AM</w:t>
      </w:r>
      <w:r w:rsidR="00844B37">
        <w:t>F</w:t>
      </w:r>
      <w:r w:rsidR="007E60E4" w:rsidRPr="00AA22EE">
        <w:t xml:space="preserve"> improve soil structure (the arrangement and size of soil particles and the pore size between them) by </w:t>
      </w:r>
      <w:r>
        <w:t>aiding</w:t>
      </w:r>
      <w:r w:rsidR="007E60E4" w:rsidRPr="00AA22EE">
        <w:t xml:space="preserve"> the formation of</w:t>
      </w:r>
      <w:r w:rsidR="007E60E4">
        <w:t xml:space="preserve"> soil aggregates</w:t>
      </w:r>
      <w:r>
        <w:t>,</w:t>
      </w:r>
      <w:r w:rsidR="007E60E4">
        <w:t xml:space="preserve"> in particularly </w:t>
      </w:r>
      <w:r w:rsidR="007E60E4" w:rsidRPr="00AA22EE">
        <w:t>macro-aggregates with a diameter of 20-200µm</w:t>
      </w:r>
      <w:r w:rsidR="004E508A">
        <w:t xml:space="preserve"> </w:t>
      </w:r>
      <w:r w:rsidR="004E508A">
        <w:fldChar w:fldCharType="begin"/>
      </w:r>
      <w:r w:rsidR="004E508A">
        <w:instrText xml:space="preserve"> ADDIN ZOTERO_ITEM CSL_CITATION {"citationID":"1o4gidfch0","properties":{"formattedCitation":"{\\rtf (Hallett {\\i{}et al.}, 2009)}","plainCitation":"(Hallett et al., 2009)"},"citationItems":[{"id":988,"uris":["http://zotero.org/users/local/d1gJDEOw/items/U45IJDFK"],"uri":["http://zotero.org/users/local/d1gJDEOw/items/U45IJDFK"],"itemData":{"id":988,"type":"article-journal","title":"Disentangling the impact of AM fungi versus roots on soil structure and water transport","container-title":"Plant and Soil","page":"183-196","volume":"314","issue":"1-2","archive_location":"WOS:000261579500016","abstract":"The relative importance of roots and AM-fungi on soil physical processes was investigated by controlling the presence of roots and AM fungi in pot experiments using a mycorrhiza-defective tomato mutant and a wild-type tomato (Solanum lycopersicum L.). Root-Zone and Bulk Soil sections were established by splitting pots into two lengthwise halves using a nylon mesh that contained roots whilst allowing the free movement of fungal hyphae. Post-incubation microbial populations and fungal biomass were measured and related to soil stability, pore structure and water repellency. Unplanted controls consistently had the least fungal biomass, fatty acids, water-stable aggregates (WSA) and water repellency. Wild-type-planted treatments had significantly more WSA than mycorrhiza-defective treatments (P&lt;0.01). Fluctuations in water content induced by transpiration caused significant changes in soil pore structure, measured using high-resolution X-Ray computer tomography. Porosity and mean pore size increased in soil aggregates from planted treatments, which had larger more heterogeneous pores than those in the unplanted soils. AM fungi accentuated soil stability. However, changes were not linked to repellency and fungal biomass. The presence of plants, regardless of AM fungi, appears to have the greatest impact on increasing soil stability.","DOI":"10.1007/s11104-008-9717-y","ISSN":"0032-079X","shortTitle":"Disentangling the impact of AM fungi versus roots on soil structure and water transport","author":[{"family":"Hallett","given":"P. D."},{"family":"Feeney","given":"D. S."},{"family":"Bengough","given":"A. G."},{"family":"Rillig","given":"M. C."},{"family":"Scrimgeour","given":"C. M."},{"family":"Young","given":"I. M."}],"issued":{"date-parts":[["2009",1]]}}}],"schema":"https://github.com/citation-style-language/schema/raw/master/csl-citation.json"} </w:instrText>
      </w:r>
      <w:r w:rsidR="004E508A">
        <w:fldChar w:fldCharType="separate"/>
      </w:r>
      <w:r w:rsidR="004E508A" w:rsidRPr="004E508A">
        <w:rPr>
          <w:rFonts w:cs="Times New Roman"/>
          <w:szCs w:val="24"/>
        </w:rPr>
        <w:t xml:space="preserve">(Hallett </w:t>
      </w:r>
      <w:r w:rsidR="004E508A" w:rsidRPr="004E508A">
        <w:rPr>
          <w:rFonts w:cs="Times New Roman"/>
          <w:i/>
          <w:iCs/>
          <w:szCs w:val="24"/>
        </w:rPr>
        <w:t>et al.</w:t>
      </w:r>
      <w:r w:rsidR="004E508A" w:rsidRPr="004E508A">
        <w:rPr>
          <w:rFonts w:cs="Times New Roman"/>
          <w:szCs w:val="24"/>
        </w:rPr>
        <w:t>, 2009)</w:t>
      </w:r>
      <w:r w:rsidR="004E508A">
        <w:fldChar w:fldCharType="end"/>
      </w:r>
      <w:r w:rsidR="007E60E4" w:rsidRPr="00AA22EE">
        <w:t>. The naturally high density and fine structure of AM</w:t>
      </w:r>
      <w:r>
        <w:t>F</w:t>
      </w:r>
      <w:r w:rsidR="007E60E4" w:rsidRPr="00AA22EE">
        <w:t xml:space="preserve"> hyphae within unmanaged soils in addition to relatively long persistence of hyphae allows them to sustain an influence on soil structure and make them particularly effective at binding soil particles into aggregates </w:t>
      </w:r>
      <w:r w:rsidR="007E60E4" w:rsidRPr="00AA22EE">
        <w:fldChar w:fldCharType="begin"/>
      </w:r>
      <w:r w:rsidR="007E60E4" w:rsidRPr="00AA22EE">
        <w:instrText xml:space="preserve"> ADDIN EN.CITE &lt;EndNote&gt;&lt;Cite&gt;&lt;Author&gt;Auge&lt;/Author&gt;&lt;Year&gt;2004&lt;/Year&gt;&lt;IDText&gt;Arbuscular mycorrhizae and soil/plant water relations&lt;/IDText&gt;&lt;DisplayText&gt;(Auge 2004)&lt;/DisplayText&gt;&lt;record&gt;&lt;dates&gt;&lt;pub-dates&gt;&lt;date&gt;Nov-Dec&lt;/date&gt;&lt;/pub-dates&gt;&lt;year&gt;2004&lt;/year&gt;&lt;/dates&gt;&lt;urls&gt;&lt;related-urls&gt;&lt;url&gt;&amp;lt;Go to ISI&amp;gt;://WOS:000226685500004&lt;/url&gt;&lt;/related-urls&gt;&lt;/urls&gt;&lt;isbn&gt;0008-4271&lt;/isbn&gt;&lt;titles&gt;&lt;title&gt;Arbuscular mycorrhizae and soil/plant water relations&lt;/title&gt;&lt;secondary-title&gt;Canadian Journal of Soil Science&lt;/secondary-title&gt;&lt;/titles&gt;&lt;pages&gt;373-381&lt;/pages&gt;&lt;number&gt;4&lt;/number&gt;&lt;contributors&gt;&lt;authors&gt;&lt;author&gt;Auge, R. M.&lt;/author&gt;&lt;/authors&gt;&lt;/contributors&gt;&lt;added-date format="utc"&gt;1355135517&lt;/added-date&gt;&lt;ref-type name="Journal Article"&gt;17&lt;/ref-type&gt;&lt;rec-number&gt;171&lt;/rec-number&gt;&lt;last-updated-date format="utc"&gt;1355135517&lt;/last-updated-date&gt;&lt;accession-num&gt;WOS:000226685500004&lt;/accession-num&gt;&lt;volume&gt;84&lt;/volume&gt;&lt;/record&gt;&lt;/Cite&gt;&lt;Cite&gt;&lt;Author&gt;Auge&lt;/Author&gt;&lt;Year&gt;2004&lt;/Year&gt;&lt;IDText&gt;Arbuscular mycorrhizae and soil/plant water relations&lt;/IDText&gt;&lt;record&gt;&lt;dates&gt;&lt;pub-dates&gt;&lt;date&gt;Nov-Dec&lt;/date&gt;&lt;/pub-dates&gt;&lt;year&gt;2004&lt;/year&gt;&lt;/dates&gt;&lt;urls&gt;&lt;related-urls&gt;&lt;url&gt;&amp;lt;Go to ISI&amp;gt;://WOS:000226685500004&lt;/url&gt;&lt;/related-urls&gt;&lt;/urls&gt;&lt;isbn&gt;0008-4271&lt;/isbn&gt;&lt;titles&gt;&lt;title&gt;Arbuscular mycorrhizae and soil/plant water relations&lt;/title&gt;&lt;secondary-title&gt;Canadian Journal of Soil Science&lt;/secondary-title&gt;&lt;/titles&gt;&lt;pages&gt;373-381&lt;/pages&gt;&lt;number&gt;4&lt;/number&gt;&lt;contributors&gt;&lt;authors&gt;&lt;author&gt;Auge, R. M.&lt;/author&gt;&lt;/authors&gt;&lt;/contributors&gt;&lt;added-date format="utc"&gt;1355135517&lt;/added-date&gt;&lt;ref-type name="Journal Article"&gt;17&lt;/ref-type&gt;&lt;rec-number&gt;171&lt;/rec-number&gt;&lt;last-updated-date format="utc"&gt;1355135517&lt;/last-updated-date&gt;&lt;accession-num&gt;WOS:000226685500004&lt;/accession-num&gt;&lt;volume&gt;84&lt;/volume&gt;&lt;/record&gt;&lt;/Cite&gt;&lt;/EndNote&gt;</w:instrText>
      </w:r>
      <w:r w:rsidR="007E60E4" w:rsidRPr="00AA22EE">
        <w:fldChar w:fldCharType="separate"/>
      </w:r>
      <w:r w:rsidR="007A30D0">
        <w:rPr>
          <w:noProof/>
        </w:rPr>
        <w:fldChar w:fldCharType="begin"/>
      </w:r>
      <w:r w:rsidR="007A30D0">
        <w:rPr>
          <w:noProof/>
        </w:rPr>
        <w:instrText xml:space="preserve"> ADDIN ZOTERO_ITEM CSL_CITATION {"citationID":"1bn0vg6vlc","properties":{"formattedCitation":"{\\rtf (Aug\\uc0\\u233{}, 2004)}","plainCitation":"(Augé, 2004)"},"citationItems":[{"id":145,"uris":["http://zotero.org/users/local/d1gJDEOw/items/AUICBQE2"],"uri":["http://zotero.org/users/local/d1gJDEOw/items/AUICBQE2"],"itemData":{"id":145,"type":"article-journal","title":"Arbuscular mycorrhizae and soil/plant water relations","container-title":"Canadian Journal of Soil Science","page":"373-381","volume":"84","issue":"4","source":"Web of Science","ISSN":"0008-4271","note":"WOS:000226685500004","journalAbbreviation":"Can. J. Soil Sci.","language":"English","author":[{"family":"Augé","given":"R. M."}],"issued":{"date-parts":[["2004",12]]}}}],"schema":"https://github.com/citation-style-language/schema/raw/master/csl-citation.json"} </w:instrText>
      </w:r>
      <w:r w:rsidR="007A30D0">
        <w:rPr>
          <w:noProof/>
        </w:rPr>
        <w:fldChar w:fldCharType="separate"/>
      </w:r>
      <w:r w:rsidR="007A30D0" w:rsidRPr="00F00459">
        <w:rPr>
          <w:rFonts w:cs="Times New Roman"/>
          <w:szCs w:val="24"/>
        </w:rPr>
        <w:t>(Augé, 2004)</w:t>
      </w:r>
      <w:r w:rsidR="007A30D0">
        <w:rPr>
          <w:noProof/>
        </w:rPr>
        <w:fldChar w:fldCharType="end"/>
      </w:r>
      <w:r w:rsidR="007E60E4" w:rsidRPr="00AA22EE">
        <w:fldChar w:fldCharType="end"/>
      </w:r>
      <w:r w:rsidR="007E60E4">
        <w:t xml:space="preserve">. </w:t>
      </w:r>
      <w:r w:rsidR="00E2551B">
        <w:t xml:space="preserve">AMF are associated with the glycoprotein </w:t>
      </w:r>
      <w:proofErr w:type="spellStart"/>
      <w:r w:rsidR="00E2551B">
        <w:t>glomalin</w:t>
      </w:r>
      <w:proofErr w:type="spellEnd"/>
      <w:r w:rsidR="00E2551B">
        <w:t xml:space="preserve"> which is thought to contribute to soil aggregate formation </w:t>
      </w:r>
      <w:r w:rsidR="004E508A">
        <w:fldChar w:fldCharType="begin"/>
      </w:r>
      <w:r w:rsidR="004E508A">
        <w:instrText xml:space="preserve"> ADDIN ZOTERO_ITEM CSL_CITATION {"citationID":"rdi28j35d","properties":{"formattedCitation":"(Wright &amp; Anderson, 2000)","plainCitation":"(Wright &amp; Anderson, 2000)"},"citationItems":[{"id":1366,"uris":["http://zotero.org/users/local/d1gJDEOw/items/9TC47UKI"],"uri":["http://zotero.org/users/local/d1gJDEOw/items/9TC47UKI"],"itemData":{"id":1366,"type":"article-journal","title":"Aggregate stability and glomalin in alternative crop rotations for the central Great Plains","container-title":"Biology and Fertility of Soils","page":"249-253","volume":"31","issue":"3-4","archive_location":"WOS:000087906100010","abstract":"Land productivity, along with improvement or maintenance of soil health, must be evaluated together to achieve sustainable agricultural practices. Winter wheat-fallow (W-F) has been the prevalent cropping system in the central Great Plains for 60 years where moisture is a limitation to crop production. Alternative cropping systems show that producers can crop more frequently if residue management and minimum tillage are used. The impact of different crops, crop rotations and tillage management practices on soil quality was assessed by measuring aggregate stability and glomalin production by arbuscular mycorrhizal (AM) fungi in soil from cropping trials established in 1990. Crops were wheat (W), corn (C), prose millet (M), and sunflower (S). Rotations sampled were W-F, W-C-M, W-C-M-F, W-C-F, and W-S-F. In the same area as the cropping trials, soils were taken from a perennial grass (crested wheatgrass) and from a buffer area that had been planted to Triticale for the past 2 years but prior to that had been extensively plowed for weed control. We found that aggregate stability and glomalin were linearly correlated (r=0.73, n=54, P&lt;0.001) across all treatments sampled. Highest and lowest aggregate stability and glomalin values were seen in perennial grass and Triticale soils, respectively. Aggregate stability in W-S-F was significantly lower than in the other crop rotations (P less than or equal to 0.03), while W-C-M had significantly higher glomalin than the other rotations (P&lt;0.05). Differences between crop rotations and the perennial grass indicate that selected comparisons should be studied in greater detail to determine ways to manage AM fungi to increase glomalin and aggregate stability in these soils.","DOI":"10.1007/s003740050653","ISSN":"0178-2762","shortTitle":"Aggregate stability and glomalin in alternative crop rotations for the central Great Plains","author":[{"family":"Wright","given":"S. F."},{"family":"Anderson","given":"R. L."}],"issued":{"date-parts":[["2000",6]]}}}],"schema":"https://github.com/citation-style-language/schema/raw/master/csl-citation.json"} </w:instrText>
      </w:r>
      <w:r w:rsidR="004E508A">
        <w:fldChar w:fldCharType="separate"/>
      </w:r>
      <w:r w:rsidR="004E508A" w:rsidRPr="004E508A">
        <w:rPr>
          <w:rFonts w:cs="Times New Roman"/>
        </w:rPr>
        <w:t>(Wright &amp; Anderson, 2000)</w:t>
      </w:r>
      <w:r w:rsidR="004E508A">
        <w:fldChar w:fldCharType="end"/>
      </w:r>
      <w:r w:rsidR="007E60E4" w:rsidRPr="00AA22EE">
        <w:t>.  A strong positive relationship has been found between the abundance of fungal hyphae and the number of soil aggregates</w:t>
      </w:r>
      <w:r w:rsidR="004E508A">
        <w:t xml:space="preserve"> </w:t>
      </w:r>
      <w:r w:rsidR="004E508A">
        <w:fldChar w:fldCharType="begin"/>
      </w:r>
      <w:r w:rsidR="004E508A">
        <w:instrText xml:space="preserve"> ADDIN ZOTERO_ITEM CSL_CITATION {"citationID":"1bv8els8ol","properties":{"formattedCitation":"{\\rtf (Wilson {\\i{}et al.}, 2009)}","plainCitation":"(Wilson et al., 2009)"},"citationItems":[{"id":166,"uris":["http://zotero.org/users/local/d1gJDEOw/items/3AZT9DIF"],"uri":["http://zotero.org/users/local/d1gJDEOw/items/3AZT9DIF"],"itemData":{"id":166,"type":"article-journal","title":"Soil aggregation and carbon sequestration are tightly correlated with the abundance of arbuscular mycorrhizal fungi: results from long-term field experiments","container-title":"Ecology Letters","page":"452-461","volume":"12","issue":"5","source":"Web of Science","abstract":"We examined the role of arbuscular mycorrhizal fungi (AMF) in ecosystems using soil aggregate stability and C and N storage as representative ecosystem processes. We utilized a wide gradient in AMF abundance, obtained through long-term (17 and 6 years) large-scale field manipulations. Burning and N-fertilization increased soil AMF hyphae, glomalin-related soil protein (GRSP) pools and water-stable macroaggregates while fungicide applications reduced AMF hyphae, GRSP and water-stable macroaggregates. We found that AMF abundance was a surprisingly dominant factor explaining the vast majority of variability in soil aggregation. This experimental field study, involving long-term diverse management practices of native multispecies prairie communities, invariably showed a close positive correlation between AMF hyphal abundance and soil aggregation, and C and N sequestration. This highly significant linear correlation suggests there are serious consequences to the loss of AMF from ecosystems.","DOI":"10.1111/j.1461-0248.2009.01303.x","ISSN":"1461-023X","note":"WOS:000265010400008","shortTitle":"Soil aggregation and carbon sequestration are tightly correlated with the abundance of arbuscular mycorrhizal fungi","journalAbbreviation":"Ecol. Lett.","language":"English","author":[{"family":"Wilson","given":"Gail W. T."},{"family":"Rice","given":"Charles W."},{"family":"Rillig","given":"Matthias C."},{"family":"Springer","given":"Adam"},{"family":"Hartnett","given":"David C."}],"issued":{"date-parts":[["2009",5]]}}}],"schema":"https://github.com/citation-style-language/schema/raw/master/csl-citation.json"} </w:instrText>
      </w:r>
      <w:r w:rsidR="004E508A">
        <w:fldChar w:fldCharType="separate"/>
      </w:r>
      <w:r w:rsidR="004E508A" w:rsidRPr="004E508A">
        <w:rPr>
          <w:rFonts w:cs="Times New Roman"/>
          <w:szCs w:val="24"/>
        </w:rPr>
        <w:t xml:space="preserve">(Wilson </w:t>
      </w:r>
      <w:r w:rsidR="004E508A" w:rsidRPr="004E508A">
        <w:rPr>
          <w:rFonts w:cs="Times New Roman"/>
          <w:i/>
          <w:iCs/>
          <w:szCs w:val="24"/>
        </w:rPr>
        <w:t>et al.</w:t>
      </w:r>
      <w:r w:rsidR="004E508A" w:rsidRPr="004E508A">
        <w:rPr>
          <w:rFonts w:cs="Times New Roman"/>
          <w:szCs w:val="24"/>
        </w:rPr>
        <w:t>, 2009)</w:t>
      </w:r>
      <w:r w:rsidR="004E508A">
        <w:fldChar w:fldCharType="end"/>
      </w:r>
      <w:r w:rsidR="007E60E4" w:rsidRPr="00AA22EE">
        <w:t xml:space="preserve"> which are a </w:t>
      </w:r>
      <w:r>
        <w:t>fundamental</w:t>
      </w:r>
      <w:r w:rsidR="007E60E4" w:rsidRPr="00AA22EE">
        <w:t xml:space="preserve"> component of soil structure as they determine vital properties such as soil porosity, aeration, water storage capacity, nutrient retention</w:t>
      </w:r>
      <w:r w:rsidR="00337E2B">
        <w:t xml:space="preserve">, </w:t>
      </w:r>
      <w:r w:rsidR="007E60E4" w:rsidRPr="00AA22EE">
        <w:t>carbon storage and resilience to erosion</w:t>
      </w:r>
      <w:r w:rsidR="004E508A">
        <w:t xml:space="preserve"> </w:t>
      </w:r>
      <w:r w:rsidR="004E508A">
        <w:fldChar w:fldCharType="begin"/>
      </w:r>
      <w:r w:rsidR="004E508A">
        <w:instrText xml:space="preserve"> ADDIN ZOTERO_ITEM CSL_CITATION {"citationID":"be1efdlkd","properties":{"formattedCitation":"(Oades, 1984)","plainCitation":"(Oades, 1984)"},"citationItems":[{"id":1153,"uris":["http://zotero.org/users/local/d1gJDEOw/items/JKZPAP7B"],"uri":["http://zotero.org/users/local/d1gJDEOw/items/JKZPAP7B"],"itemData":{"id":1153,"type":"article-journal","title":"SOIL ORGANIC-MATTER AND STRUCTURAL STABILITY - MECHANISMS AND IMPLICATIONS FOR MANAGEMENT","container-title":"Plant and Soil","page":"319-337","volume":"76","issue":"1-3","archive_location":"WOS:A1984SJ06100028","DOI":"10.1007/bf02205590","ISSN":"0032-079X","shortTitle":"SOIL ORGANIC-MATTER AND STRUCTURAL STABILITY - MECHANISMS AND IMPLICATIONS FOR MANAGEMENT","author":[{"family":"Oades","given":"J. M."}],"issued":{"date-parts":[["1984"]]}}}],"schema":"https://github.com/citation-style-language/schema/raw/master/csl-citation.json"} </w:instrText>
      </w:r>
      <w:r w:rsidR="004E508A">
        <w:fldChar w:fldCharType="separate"/>
      </w:r>
      <w:r w:rsidR="004E508A" w:rsidRPr="004E508A">
        <w:rPr>
          <w:rFonts w:cs="Times New Roman"/>
        </w:rPr>
        <w:t>(</w:t>
      </w:r>
      <w:proofErr w:type="spellStart"/>
      <w:r w:rsidR="004E508A" w:rsidRPr="004E508A">
        <w:rPr>
          <w:rFonts w:cs="Times New Roman"/>
        </w:rPr>
        <w:t>Oades</w:t>
      </w:r>
      <w:proofErr w:type="spellEnd"/>
      <w:r w:rsidR="004E508A" w:rsidRPr="004E508A">
        <w:rPr>
          <w:rFonts w:cs="Times New Roman"/>
        </w:rPr>
        <w:t>, 1984)</w:t>
      </w:r>
      <w:r w:rsidR="004E508A">
        <w:fldChar w:fldCharType="end"/>
      </w:r>
      <w:r w:rsidR="007E60E4" w:rsidRPr="00AA22EE">
        <w:t>. AM</w:t>
      </w:r>
      <w:r w:rsidR="00D76319">
        <w:t>F</w:t>
      </w:r>
      <w:r w:rsidR="007E60E4" w:rsidRPr="00AA22EE">
        <w:t xml:space="preserve"> </w:t>
      </w:r>
      <w:r w:rsidR="00E2551B">
        <w:t>may also</w:t>
      </w:r>
      <w:r w:rsidR="007E60E4" w:rsidRPr="00AA22EE">
        <w:t xml:space="preserve"> </w:t>
      </w:r>
      <w:r w:rsidR="00E2551B">
        <w:t>modify</w:t>
      </w:r>
      <w:r w:rsidR="007E60E4" w:rsidRPr="00AA22EE">
        <w:t xml:space="preserve"> soil hydrological processes as </w:t>
      </w:r>
      <w:proofErr w:type="spellStart"/>
      <w:r w:rsidR="007E60E4" w:rsidRPr="00AA22EE">
        <w:t>glomalin</w:t>
      </w:r>
      <w:proofErr w:type="spellEnd"/>
      <w:r w:rsidR="007E60E4" w:rsidRPr="00AA22EE">
        <w:t xml:space="preserve"> </w:t>
      </w:r>
      <w:r w:rsidR="0055532F">
        <w:t>which is associated with AMF</w:t>
      </w:r>
      <w:r w:rsidR="007E60E4" w:rsidRPr="00AA22EE">
        <w:t xml:space="preserve"> hyphae improves moisture retention and is known to </w:t>
      </w:r>
      <w:r w:rsidR="00844B37">
        <w:t>improve</w:t>
      </w:r>
      <w:r w:rsidR="007E60E4" w:rsidRPr="00AA22EE">
        <w:t xml:space="preserve"> soil stability in water</w:t>
      </w:r>
      <w:r w:rsidR="004E508A">
        <w:t xml:space="preserve"> </w:t>
      </w:r>
      <w:r w:rsidR="004E508A">
        <w:fldChar w:fldCharType="begin"/>
      </w:r>
      <w:r w:rsidR="004E508A">
        <w:instrText xml:space="preserve"> ADDIN ZOTERO_ITEM CSL_CITATION {"citationID":"1358k4o0al","properties":{"formattedCitation":"(Rillig, 2004)","plainCitation":"(Rillig, 2004)"},"citationItems":[{"id":1216,"uris":["http://zotero.org/users/local/d1gJDEOw/items/7PEQEZ5C"],"uri":["http://zotero.org/users/local/d1gJDEOw/items/7PEQEZ5C"],"itemData":{"id":1216,"type":"article-journal","title":"Arbuscular mycorrhizae, glomalin, and soil aggregation","container-title":"Canadian Journal of Soil Science","page":"355-363","volume":"84","issue":"4","archive_location":"WOS:000226685500002","abstract":"Arbuscular mycorrhizae are important factors of soil quality through their effects on host plant physiology, soil ecological interactions, and their contributions to maintaining soil structure. The symbiosis is faced with numerous challenges in agroecosystems; in order to inform sustainable management strategies it is hence a high priority to work towards mechanistic understanding of arbuscular mycorrhizae contributions to soil quality. This review focuses on glomalin-related soil protein (GRSP), operationally defined soil C pools that have been linked to arbuscular mycorrhizal fungi (AMF). In discussing this protein pool, we propose a new terminology used to describe fractions of soil proteins and glomalin. GRSP concentrations in soil are positively correlated with aggregate water stability. GRSP has relatively slow turnover in soil, contributing to lasting effects on aggregation. Controls on production of GRSP at the phenomenological and mechanistic level are evaluated. While there are significant gaps in our knowledge about GRSP and glomalin (particularly at the biochemical level), it is concluded that research on GRSP holds great promise for furthering our knowledge of soil structure and quality, for informing suitable management, and as a foundation for novel biotechnological applications in agriculture and beyond.","ISSN":"0008-4271","shortTitle":"Arbuscular mycorrhizae, glomalin, and soil aggregation","author":[{"family":"Rillig","given":"M. C."}],"issued":{"date-parts":[["2004",11]]}}}],"schema":"https://github.com/citation-style-language/schema/raw/master/csl-citation.json"} </w:instrText>
      </w:r>
      <w:r w:rsidR="004E508A">
        <w:fldChar w:fldCharType="separate"/>
      </w:r>
      <w:r w:rsidR="004E508A" w:rsidRPr="004E508A">
        <w:rPr>
          <w:rFonts w:cs="Times New Roman"/>
        </w:rPr>
        <w:t>(</w:t>
      </w:r>
      <w:proofErr w:type="spellStart"/>
      <w:r w:rsidR="004E508A" w:rsidRPr="004E508A">
        <w:rPr>
          <w:rFonts w:cs="Times New Roman"/>
        </w:rPr>
        <w:t>Rillig</w:t>
      </w:r>
      <w:proofErr w:type="spellEnd"/>
      <w:r w:rsidR="004E508A" w:rsidRPr="004E508A">
        <w:rPr>
          <w:rFonts w:cs="Times New Roman"/>
        </w:rPr>
        <w:t>, 2004)</w:t>
      </w:r>
      <w:r w:rsidR="004E508A">
        <w:fldChar w:fldCharType="end"/>
      </w:r>
      <w:r w:rsidR="007E60E4" w:rsidRPr="00AA22EE">
        <w:t>. This is particularly important for preventing loss of soils and the leaching of nutrients from fields during heavy rainfall</w:t>
      </w:r>
      <w:r w:rsidR="00A7251C">
        <w:t xml:space="preserve"> </w:t>
      </w:r>
      <w:r w:rsidR="00A7251C">
        <w:fldChar w:fldCharType="begin"/>
      </w:r>
      <w:r w:rsidR="00A7251C">
        <w:instrText xml:space="preserve"> ADDIN ZOTERO_ITEM CSL_CITATION {"citationID":"nqvjcpi6o","properties":{"formattedCitation":"(van der Heijden, 2010)","plainCitation":"(van der Heijden, 2010)"},"citationItems":[{"id":1321,"uris":["http://zotero.org/users/local/d1gJDEOw/items/2GU7357G"],"uri":["http://zotero.org/users/local/d1gJDEOw/items/2GU7357G"],"itemData":{"id":1321,"type":"article-journal","title":"Mycorrhizal fungi reduce nutrient loss from model grassland ecosystems","container-title":"Ecology","page":"1163-1171","volume":"91","issue":"4","archive_location":"WOS:000277525300023","abstract":"Nutrient loss from ecosystems is among the top environmental threats to ecosystems worldwide, leading to reduced plant productivity in nutrient-poor ecosystems and eutrophication of surface water near nutrient-rich ecosystems. Hence, it is of pivotal importance to understand which factors influence nutrient loss. Here it is demonstrated that arbuscular mycorrhizal (AM) fungi, widespread soil fungi that form mutualistic relationships with the majority of land plants, reduce nutrient loss from grassland microcosms during rain-induced leaching events. Grassland microcosms with AM fungi lost 60% less phosphorus and 7.5% less ammonium compared to control microcosms without AM fungi. Similar results were obtained for microcosms planted with each of three different grass species. In contrast, nitrate leaching was not affected by AM fungi but depended on the amount of nutrients supplied to the microcosms. Moreover, fertilization of the microcosms reduced the abundance of AM fungi and their ability to reduce phosphorus leaching losses. Extrapolation of these results suggests that the disruption of the mycorrhizal symbiosis is one of the reasons for enhanced phosphorus loss from fertilized ecosystems. The microcosms contained a sandy soil, a soil type vulnerable to leaching losses. The reduction of phosphorus leaching by AM fungi may, therefore, represent an upper limit. Advantages and limitations of the experimental setup for assessing the impact of AM fungi on nutrient cycling are discussed. The results indicate that AM fungi contribute to ecosystem sustainability by promoting a closed phosphorus cycle and reducing phosphorus leaching losses.","ISSN":"0012-9658","shortTitle":"Mycorrhizal fungi reduce nutrient loss from model grassland ecosystems","author":[{"family":"Heijden","given":"M. G. A.","non-dropping-particle":"van der"}],"issued":{"date-parts":[["2010",4]]}}}],"schema":"https://github.com/citation-style-language/schema/raw/master/csl-citation.json"} </w:instrText>
      </w:r>
      <w:r w:rsidR="00A7251C">
        <w:fldChar w:fldCharType="separate"/>
      </w:r>
      <w:r w:rsidR="00A7251C" w:rsidRPr="00A7251C">
        <w:rPr>
          <w:rFonts w:cs="Times New Roman"/>
        </w:rPr>
        <w:t xml:space="preserve">(van der </w:t>
      </w:r>
      <w:proofErr w:type="spellStart"/>
      <w:r w:rsidR="00A7251C" w:rsidRPr="00A7251C">
        <w:rPr>
          <w:rFonts w:cs="Times New Roman"/>
        </w:rPr>
        <w:t>Heijden</w:t>
      </w:r>
      <w:proofErr w:type="spellEnd"/>
      <w:r w:rsidR="00A7251C" w:rsidRPr="00A7251C">
        <w:rPr>
          <w:rFonts w:cs="Times New Roman"/>
        </w:rPr>
        <w:t>, 2010)</w:t>
      </w:r>
      <w:r w:rsidR="00A7251C">
        <w:fldChar w:fldCharType="end"/>
      </w:r>
      <w:r w:rsidR="007E60E4" w:rsidRPr="00AA22EE">
        <w:t>.  Additionally AM play a fundamental role in storage of soil organic carbon as unlike other soil microbes fungal hyphae are able to directly access C from host plants and therefore enhance rather than deplete soil C pools</w:t>
      </w:r>
      <w:r w:rsidR="00A7251C">
        <w:t xml:space="preserve"> </w:t>
      </w:r>
      <w:r w:rsidR="00A7251C">
        <w:fldChar w:fldCharType="begin"/>
      </w:r>
      <w:r w:rsidR="00A7251C">
        <w:instrText xml:space="preserve"> ADDIN ZOTERO_ITEM CSL_CITATION {"citationID":"ulmmavgf4","properties":{"formattedCitation":"{\\rtf (Leake {\\i{}et al.}, 2004)}","plainCitation":"(Leake et al., 2004)"},"citationItems":[{"id":407,"uris":["http://zotero.org/users/local/d1gJDEOw/items/K6JB6KE3"],"uri":["http://zotero.org/users/local/d1gJDEOw/items/K6JB6KE3"],"itemData":{"id":407,"type":"article-journal","title":"Networks of power and influence: the role of mycorrhizal mycelium in controlling plant communities and agroecosystem functioning","container-title":"Canadian Journal of Botany","page":"1016-1045","volume":"82","issue":"8","DOI":"10.1139/b04-060","ISSN":"0008-4026","journalAbbreviation":"Can. J. Bot.","author":[{"family":"Leake","given":"Jonathan"},{"family":"Johnson","given":"David"},{"family":"Donnelly","given":"Damian"},{"family":"Muckle","given":"Gemma"},{"family":"Boddy","given":"Lynne"},{"family":"Read","given":"David"}],"issued":{"date-parts":[["2004",8,1]]}}}],"schema":"https://github.com/citation-style-language/schema/raw/master/csl-citation.json"} </w:instrText>
      </w:r>
      <w:r w:rsidR="00A7251C">
        <w:fldChar w:fldCharType="separate"/>
      </w:r>
      <w:r w:rsidR="00A7251C" w:rsidRPr="00A7251C">
        <w:rPr>
          <w:rFonts w:cs="Times New Roman"/>
          <w:szCs w:val="24"/>
        </w:rPr>
        <w:t>(</w:t>
      </w:r>
      <w:proofErr w:type="spellStart"/>
      <w:r w:rsidR="00A7251C" w:rsidRPr="00A7251C">
        <w:rPr>
          <w:rFonts w:cs="Times New Roman"/>
          <w:szCs w:val="24"/>
        </w:rPr>
        <w:t>Leake</w:t>
      </w:r>
      <w:proofErr w:type="spellEnd"/>
      <w:r w:rsidR="00A7251C" w:rsidRPr="00A7251C">
        <w:rPr>
          <w:rFonts w:cs="Times New Roman"/>
          <w:szCs w:val="24"/>
        </w:rPr>
        <w:t xml:space="preserve"> </w:t>
      </w:r>
      <w:r w:rsidR="00A7251C" w:rsidRPr="00A7251C">
        <w:rPr>
          <w:rFonts w:cs="Times New Roman"/>
          <w:i/>
          <w:iCs/>
          <w:szCs w:val="24"/>
        </w:rPr>
        <w:t>et al.</w:t>
      </w:r>
      <w:r w:rsidR="00A7251C" w:rsidRPr="00A7251C">
        <w:rPr>
          <w:rFonts w:cs="Times New Roman"/>
          <w:szCs w:val="24"/>
        </w:rPr>
        <w:t>, 2004)</w:t>
      </w:r>
      <w:r w:rsidR="00A7251C">
        <w:fldChar w:fldCharType="end"/>
      </w:r>
      <w:r w:rsidR="007E60E4" w:rsidRPr="00AA22EE">
        <w:t>.</w:t>
      </w:r>
      <w:r w:rsidR="007E60E4">
        <w:t xml:space="preserve"> </w:t>
      </w:r>
    </w:p>
    <w:p w:rsidR="007E60E4" w:rsidRPr="00AA22EE" w:rsidRDefault="007E60E4" w:rsidP="007E60E4">
      <w:pPr>
        <w:pStyle w:val="Heading2"/>
        <w:rPr>
          <w:rFonts w:cs="Times New Roman"/>
        </w:rPr>
      </w:pPr>
      <w:bookmarkStart w:id="52" w:name="_Toc463208980"/>
      <w:bookmarkStart w:id="53" w:name="_Toc469855005"/>
      <w:bookmarkStart w:id="54" w:name="_Toc469856005"/>
      <w:bookmarkStart w:id="55" w:name="_Toc469931914"/>
      <w:bookmarkStart w:id="56" w:name="_Toc469982236"/>
      <w:r w:rsidRPr="00AA22EE">
        <w:rPr>
          <w:rFonts w:cs="Times New Roman"/>
        </w:rPr>
        <w:t xml:space="preserve">Impact of intensive agricultural upon </w:t>
      </w:r>
      <w:bookmarkEnd w:id="52"/>
      <w:r>
        <w:rPr>
          <w:rFonts w:cs="Times New Roman"/>
        </w:rPr>
        <w:t>arbuscular mycorrhizal fungi</w:t>
      </w:r>
      <w:bookmarkEnd w:id="53"/>
      <w:bookmarkEnd w:id="54"/>
      <w:bookmarkEnd w:id="55"/>
      <w:bookmarkEnd w:id="56"/>
    </w:p>
    <w:p w:rsidR="0009776A" w:rsidRDefault="00844B37" w:rsidP="00DE54FD">
      <w:r>
        <w:t xml:space="preserve">As a result of management practices, the ecology of agricultural systems contrasts with that of natural ecosystem thus affecting AMF communities </w:t>
      </w:r>
      <w:r w:rsidR="007E60E4" w:rsidRPr="00AA22EE">
        <w:t>(</w:t>
      </w:r>
      <w:r w:rsidR="003C6D28">
        <w:fldChar w:fldCharType="begin"/>
      </w:r>
      <w:r w:rsidR="003C6D28">
        <w:instrText xml:space="preserve"> REF _Ref469853280 \h </w:instrText>
      </w:r>
      <w:r w:rsidR="003C6D28">
        <w:fldChar w:fldCharType="separate"/>
      </w:r>
      <w:r w:rsidR="00E0714D" w:rsidRPr="00AA22EE">
        <w:rPr>
          <w:rFonts w:cs="Times New Roman"/>
        </w:rPr>
        <w:t xml:space="preserve">Table </w:t>
      </w:r>
      <w:r w:rsidR="00E0714D">
        <w:rPr>
          <w:rFonts w:cs="Times New Roman"/>
          <w:noProof/>
        </w:rPr>
        <w:t>1</w:t>
      </w:r>
      <w:r w:rsidR="00E0714D">
        <w:rPr>
          <w:rFonts w:cs="Times New Roman"/>
        </w:rPr>
        <w:t>.</w:t>
      </w:r>
      <w:r w:rsidR="00E0714D">
        <w:rPr>
          <w:rFonts w:cs="Times New Roman"/>
          <w:noProof/>
        </w:rPr>
        <w:t>2</w:t>
      </w:r>
      <w:r w:rsidR="003C6D28">
        <w:fldChar w:fldCharType="end"/>
      </w:r>
      <w:r w:rsidR="007E60E4" w:rsidRPr="00AA22EE">
        <w:t>)</w:t>
      </w:r>
      <w:r>
        <w:t>.</w:t>
      </w:r>
      <w:r w:rsidR="0009776A">
        <w:br w:type="page"/>
      </w:r>
    </w:p>
    <w:p w:rsidR="00D76319" w:rsidRPr="00AA22EE" w:rsidRDefault="00D76319" w:rsidP="00DE54FD"/>
    <w:p w:rsidR="007E60E4" w:rsidRPr="00AA22EE" w:rsidRDefault="007E60E4" w:rsidP="007E60E4">
      <w:pPr>
        <w:pStyle w:val="Caption"/>
        <w:rPr>
          <w:rFonts w:cs="Times New Roman"/>
        </w:rPr>
      </w:pPr>
      <w:bookmarkStart w:id="57" w:name="_Ref469853280"/>
      <w:bookmarkStart w:id="58" w:name="_Toc469868570"/>
      <w:r w:rsidRPr="00AA22EE">
        <w:rPr>
          <w:rFonts w:cs="Times New Roman"/>
        </w:rPr>
        <w:t xml:space="preserve">Table </w:t>
      </w:r>
      <w:r>
        <w:rPr>
          <w:rFonts w:cs="Times New Roman"/>
        </w:rPr>
        <w:fldChar w:fldCharType="begin"/>
      </w:r>
      <w:r>
        <w:rPr>
          <w:rFonts w:cs="Times New Roman"/>
        </w:rPr>
        <w:instrText xml:space="preserve"> STYLEREF 1 \s </w:instrText>
      </w:r>
      <w:r>
        <w:rPr>
          <w:rFonts w:cs="Times New Roman"/>
        </w:rPr>
        <w:fldChar w:fldCharType="separate"/>
      </w:r>
      <w:r w:rsidR="00E0714D">
        <w:rPr>
          <w:rFonts w:cs="Times New Roman"/>
          <w:noProof/>
        </w:rPr>
        <w:t>1</w:t>
      </w:r>
      <w:r>
        <w:rPr>
          <w:rFonts w:cs="Times New Roman"/>
        </w:rPr>
        <w:fldChar w:fldCharType="end"/>
      </w:r>
      <w:r>
        <w:rPr>
          <w:rFonts w:cs="Times New Roman"/>
        </w:rPr>
        <w:t>.</w:t>
      </w:r>
      <w:r>
        <w:rPr>
          <w:rFonts w:cs="Times New Roman"/>
        </w:rPr>
        <w:fldChar w:fldCharType="begin"/>
      </w:r>
      <w:r>
        <w:rPr>
          <w:rFonts w:cs="Times New Roman"/>
        </w:rPr>
        <w:instrText xml:space="preserve"> SEQ Table \* ARABIC \s 1 </w:instrText>
      </w:r>
      <w:r>
        <w:rPr>
          <w:rFonts w:cs="Times New Roman"/>
        </w:rPr>
        <w:fldChar w:fldCharType="separate"/>
      </w:r>
      <w:r w:rsidR="00E0714D">
        <w:rPr>
          <w:rFonts w:cs="Times New Roman"/>
          <w:noProof/>
        </w:rPr>
        <w:t>2</w:t>
      </w:r>
      <w:r>
        <w:rPr>
          <w:rFonts w:cs="Times New Roman"/>
        </w:rPr>
        <w:fldChar w:fldCharType="end"/>
      </w:r>
      <w:bookmarkEnd w:id="57"/>
      <w:r w:rsidRPr="00AA22EE">
        <w:rPr>
          <w:rFonts w:cs="Times New Roman"/>
        </w:rPr>
        <w:t xml:space="preserve"> Comparison between the properties of natural ecosystems and i</w:t>
      </w:r>
      <w:r w:rsidR="008C190E">
        <w:rPr>
          <w:rFonts w:cs="Times New Roman"/>
        </w:rPr>
        <w:t xml:space="preserve">ntensive agricultural systems. </w:t>
      </w:r>
      <w:r w:rsidRPr="00AA22EE">
        <w:rPr>
          <w:rFonts w:cs="Times New Roman"/>
        </w:rPr>
        <w:t xml:space="preserve">Adapted from </w:t>
      </w:r>
      <w:r w:rsidRPr="00AA22EE">
        <w:rPr>
          <w:rFonts w:cs="Times New Roman"/>
        </w:rPr>
        <w:fldChar w:fldCharType="begin"/>
      </w:r>
      <w:r w:rsidRPr="00AA22EE">
        <w:rPr>
          <w:rFonts w:cs="Times New Roman"/>
        </w:rPr>
        <w:instrText xml:space="preserve"> ADDIN EN.CITE &lt;EndNote&gt;&lt;Cite&gt;&lt;Author&gt;Pretty&lt;/Author&gt;&lt;Year&gt;2008&lt;/Year&gt;&lt;IDText&gt;Agricultural sustainability: concepts, principles and evidence&lt;/IDText&gt;&lt;DisplayText&gt;(Pretty 2008)&lt;/DisplayText&gt;&lt;record&gt;&lt;dates&gt;&lt;pub-dates&gt;&lt;date&gt;Feb&lt;/date&gt;&lt;/pub-dates&gt;&lt;year&gt;2008&lt;/year&gt;&lt;/dates&gt;&lt;keywords&gt;&lt;keyword&gt;environmental goods and services&lt;/keyword&gt;&lt;keyword&gt;natural capital&lt;/keyword&gt;&lt;keyword&gt;social capital&lt;/keyword&gt;&lt;keyword&gt;&lt;/keyword&gt;&lt;keyword&gt;agroecology&lt;/keyword&gt;&lt;keyword&gt;carbon sequestration&lt;/keyword&gt;&lt;keyword&gt;pesticides&lt;/keyword&gt;&lt;keyword&gt;INTEGRATED PEST-MANAGEMENT&lt;/keyword&gt;&lt;keyword&gt;AGRI-ENVIRONMENT SCHEMES&lt;/keyword&gt;&lt;keyword&gt;&lt;/keyword&gt;&lt;keyword&gt;DEVELOPING-COUNTRIES&lt;/keyword&gt;&lt;keyword&gt;CONTINGENT VALUATION&lt;/keyword&gt;&lt;keyword&gt;ECOLOGICAL KNOWLEDGE&lt;/keyword&gt;&lt;keyword&gt;&lt;/keyword&gt;&lt;keyword&gt;ECONOMIC-EVALUATION&lt;/keyword&gt;&lt;keyword&gt;ECOSYSTEM SERVICES&lt;/keyword&gt;&lt;keyword&gt;RIGHT QUESTIONS&lt;/keyword&gt;&lt;keyword&gt;N-LOSSES&lt;/keyword&gt;&lt;keyword&gt;&lt;/keyword&gt;&lt;keyword&gt;SYSTEMS&lt;/keyword&gt;&lt;/keywords&gt;&lt;urls&gt;&lt;related-urls&gt;&lt;url&gt;&amp;lt;Go to ISI&amp;gt;://WOS:000252663100002&lt;/url&gt;&lt;/related-urls&gt;&lt;/urls&gt;&lt;isbn&gt;0962-8436&lt;/isbn&gt;&lt;work-type&gt;Review&lt;/work-type&gt;&lt;titles&gt;&lt;title&gt;Agricultural sustainability: concepts, principles and evidence&lt;/title&gt;&lt;secondary-title&gt;Philosophical Transactions of the Royal Society B-Biological Sciences&lt;/secondary-title&gt;&lt;alt-title&gt;Philos. Trans. R. Soc. B-Biol. Sci.&lt;/alt-title&gt;&lt;/titles&gt;&lt;pages&gt;447-465&lt;/pages&gt;&lt;number&gt;1491&lt;/number&gt;&lt;contributors&gt;&lt;authors&gt;&lt;author&gt;Pretty, J.&lt;/author&gt;&lt;/authors&gt;&lt;/contributors&gt;&lt;language&gt;English&lt;/language&gt;&lt;added-date format="utc"&gt;1359198273&lt;/added-date&gt;&lt;ref-type name="Journal Article"&gt;17&lt;/ref-type&gt;&lt;auth-address&gt;Pretty, J (reprint author), Univ Essex, Dept Biol Sci, Colchester CO4 3SQ, Essex, England.&lt;/auth-address&gt;&lt;rec-number&gt;199&lt;/rec-number&gt;&lt;last-updated-date format="utc"&gt;1359198273&lt;/last-updated-date&gt;&lt;accession-num&gt;WOS:000252663100002&lt;/accession-num&gt;&lt;electronic-resource-num&gt;10.1098/rstb.2007.2163&lt;/electronic-resource-num&gt;&lt;volume&gt;363&lt;/volume&gt;&lt;/record&gt;&lt;/Cite&gt;&lt;/EndNote&gt;</w:instrText>
      </w:r>
      <w:r w:rsidRPr="00AA22EE">
        <w:rPr>
          <w:rFonts w:cs="Times New Roman"/>
        </w:rPr>
        <w:fldChar w:fldCharType="separate"/>
      </w:r>
      <w:r w:rsidRPr="00AA22EE">
        <w:rPr>
          <w:rFonts w:cs="Times New Roman"/>
          <w:noProof/>
        </w:rPr>
        <w:t xml:space="preserve">Pretty </w:t>
      </w:r>
      <w:r w:rsidR="008C190E">
        <w:rPr>
          <w:rFonts w:cs="Times New Roman"/>
          <w:noProof/>
        </w:rPr>
        <w:t>(</w:t>
      </w:r>
      <w:r w:rsidRPr="00AA22EE">
        <w:rPr>
          <w:rFonts w:cs="Times New Roman"/>
          <w:noProof/>
        </w:rPr>
        <w:t>2008)</w:t>
      </w:r>
      <w:bookmarkEnd w:id="58"/>
      <w:r w:rsidRPr="00AA22EE">
        <w:rPr>
          <w:rFonts w:cs="Times New Roman"/>
        </w:rPr>
        <w:fldChar w:fldCharType="end"/>
      </w:r>
    </w:p>
    <w:tbl>
      <w:tblPr>
        <w:tblStyle w:val="TableGrid"/>
        <w:tblW w:w="0" w:type="auto"/>
        <w:tblLook w:val="04A0" w:firstRow="1" w:lastRow="0" w:firstColumn="1" w:lastColumn="0" w:noHBand="0" w:noVBand="1"/>
      </w:tblPr>
      <w:tblGrid>
        <w:gridCol w:w="3542"/>
        <w:gridCol w:w="2267"/>
        <w:gridCol w:w="2695"/>
      </w:tblGrid>
      <w:tr w:rsidR="007E60E4" w:rsidRPr="00AA22EE" w:rsidTr="00DC59CF">
        <w:tc>
          <w:tcPr>
            <w:tcW w:w="3542" w:type="dxa"/>
            <w:tcBorders>
              <w:top w:val="nil"/>
              <w:left w:val="nil"/>
              <w:bottom w:val="single" w:sz="4" w:space="0" w:color="auto"/>
              <w:right w:val="nil"/>
            </w:tcBorders>
          </w:tcPr>
          <w:p w:rsidR="007E60E4" w:rsidRPr="00AA22EE" w:rsidRDefault="007E60E4" w:rsidP="007E60E4">
            <w:pPr>
              <w:contextualSpacing/>
              <w:rPr>
                <w:rFonts w:cs="Times New Roman"/>
                <w:b/>
                <w:sz w:val="20"/>
                <w:szCs w:val="20"/>
              </w:rPr>
            </w:pPr>
            <w:r w:rsidRPr="00AA22EE">
              <w:rPr>
                <w:rFonts w:cs="Times New Roman"/>
                <w:b/>
                <w:sz w:val="20"/>
                <w:szCs w:val="20"/>
              </w:rPr>
              <w:t>Property</w:t>
            </w:r>
          </w:p>
        </w:tc>
        <w:tc>
          <w:tcPr>
            <w:tcW w:w="2267" w:type="dxa"/>
            <w:tcBorders>
              <w:top w:val="nil"/>
              <w:left w:val="nil"/>
              <w:bottom w:val="single" w:sz="4" w:space="0" w:color="auto"/>
              <w:right w:val="nil"/>
            </w:tcBorders>
          </w:tcPr>
          <w:p w:rsidR="007E60E4" w:rsidRPr="00AA22EE" w:rsidRDefault="007E60E4" w:rsidP="007E60E4">
            <w:pPr>
              <w:contextualSpacing/>
              <w:rPr>
                <w:rFonts w:cs="Times New Roman"/>
                <w:b/>
                <w:sz w:val="20"/>
                <w:szCs w:val="20"/>
              </w:rPr>
            </w:pPr>
            <w:r w:rsidRPr="00AA22EE">
              <w:rPr>
                <w:rFonts w:cs="Times New Roman"/>
                <w:b/>
                <w:sz w:val="20"/>
                <w:szCs w:val="20"/>
              </w:rPr>
              <w:t>Natural Ecosystem</w:t>
            </w:r>
          </w:p>
        </w:tc>
        <w:tc>
          <w:tcPr>
            <w:tcW w:w="2695" w:type="dxa"/>
            <w:tcBorders>
              <w:top w:val="nil"/>
              <w:left w:val="nil"/>
              <w:bottom w:val="single" w:sz="4" w:space="0" w:color="auto"/>
              <w:right w:val="nil"/>
            </w:tcBorders>
          </w:tcPr>
          <w:p w:rsidR="007E60E4" w:rsidRPr="00AA22EE" w:rsidRDefault="007E60E4" w:rsidP="007E60E4">
            <w:pPr>
              <w:contextualSpacing/>
              <w:jc w:val="center"/>
              <w:rPr>
                <w:rFonts w:cs="Times New Roman"/>
                <w:b/>
                <w:sz w:val="20"/>
                <w:szCs w:val="20"/>
              </w:rPr>
            </w:pPr>
            <w:r w:rsidRPr="00AA22EE">
              <w:rPr>
                <w:rFonts w:cs="Times New Roman"/>
                <w:b/>
                <w:sz w:val="20"/>
                <w:szCs w:val="20"/>
              </w:rPr>
              <w:t>Intensive Agro-ecosystem</w:t>
            </w:r>
          </w:p>
        </w:tc>
      </w:tr>
      <w:tr w:rsidR="007E60E4" w:rsidRPr="00AA22EE" w:rsidTr="00DC59CF">
        <w:tc>
          <w:tcPr>
            <w:tcW w:w="3542" w:type="dxa"/>
            <w:tcBorders>
              <w:top w:val="single" w:sz="4" w:space="0" w:color="auto"/>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Productivity</w:t>
            </w:r>
          </w:p>
        </w:tc>
        <w:tc>
          <w:tcPr>
            <w:tcW w:w="2267" w:type="dxa"/>
            <w:tcBorders>
              <w:top w:val="single" w:sz="4" w:space="0" w:color="auto"/>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Medium</w:t>
            </w:r>
          </w:p>
        </w:tc>
        <w:tc>
          <w:tcPr>
            <w:tcW w:w="2695" w:type="dxa"/>
            <w:tcBorders>
              <w:top w:val="single" w:sz="4" w:space="0" w:color="auto"/>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High</w:t>
            </w:r>
          </w:p>
        </w:tc>
      </w:tr>
      <w:tr w:rsidR="007E60E4" w:rsidRPr="00AA22EE" w:rsidTr="00DC59CF">
        <w:tc>
          <w:tcPr>
            <w:tcW w:w="3542"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Biodiversity</w:t>
            </w:r>
          </w:p>
        </w:tc>
        <w:tc>
          <w:tcPr>
            <w:tcW w:w="2267"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High</w:t>
            </w:r>
          </w:p>
        </w:tc>
        <w:tc>
          <w:tcPr>
            <w:tcW w:w="2695"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Low</w:t>
            </w:r>
          </w:p>
        </w:tc>
      </w:tr>
      <w:tr w:rsidR="007E60E4" w:rsidRPr="00AA22EE" w:rsidTr="00DC59CF">
        <w:tc>
          <w:tcPr>
            <w:tcW w:w="3542"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Dependence upon external inputs (e.g. fertilisers, pesticides)</w:t>
            </w:r>
          </w:p>
        </w:tc>
        <w:tc>
          <w:tcPr>
            <w:tcW w:w="2267"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Low</w:t>
            </w:r>
          </w:p>
        </w:tc>
        <w:tc>
          <w:tcPr>
            <w:tcW w:w="2695"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High</w:t>
            </w:r>
          </w:p>
        </w:tc>
      </w:tr>
      <w:tr w:rsidR="007E60E4" w:rsidRPr="00AA22EE" w:rsidTr="00DC59CF">
        <w:tc>
          <w:tcPr>
            <w:tcW w:w="3542"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Nutrient recycling</w:t>
            </w:r>
          </w:p>
        </w:tc>
        <w:tc>
          <w:tcPr>
            <w:tcW w:w="2267"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Closed</w:t>
            </w:r>
          </w:p>
        </w:tc>
        <w:tc>
          <w:tcPr>
            <w:tcW w:w="2695"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Open</w:t>
            </w:r>
          </w:p>
        </w:tc>
      </w:tr>
      <w:tr w:rsidR="007E60E4" w:rsidRPr="00AA22EE" w:rsidTr="00DC59CF">
        <w:tc>
          <w:tcPr>
            <w:tcW w:w="3542"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Soil disturbance</w:t>
            </w:r>
          </w:p>
        </w:tc>
        <w:tc>
          <w:tcPr>
            <w:tcW w:w="2267"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Low</w:t>
            </w:r>
          </w:p>
        </w:tc>
        <w:tc>
          <w:tcPr>
            <w:tcW w:w="2695"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High</w:t>
            </w:r>
          </w:p>
        </w:tc>
      </w:tr>
      <w:tr w:rsidR="007E60E4" w:rsidRPr="00AA22EE" w:rsidTr="00DC59CF">
        <w:tc>
          <w:tcPr>
            <w:tcW w:w="3542"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Biomass accumulation</w:t>
            </w:r>
          </w:p>
        </w:tc>
        <w:tc>
          <w:tcPr>
            <w:tcW w:w="2267"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High</w:t>
            </w:r>
          </w:p>
        </w:tc>
        <w:tc>
          <w:tcPr>
            <w:tcW w:w="2695"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Low</w:t>
            </w:r>
          </w:p>
        </w:tc>
      </w:tr>
      <w:tr w:rsidR="007E60E4" w:rsidRPr="00AA22EE" w:rsidTr="00DC59CF">
        <w:tc>
          <w:tcPr>
            <w:tcW w:w="3542"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Natural population regulation</w:t>
            </w:r>
          </w:p>
        </w:tc>
        <w:tc>
          <w:tcPr>
            <w:tcW w:w="2267"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High</w:t>
            </w:r>
          </w:p>
        </w:tc>
        <w:tc>
          <w:tcPr>
            <w:tcW w:w="2695"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Low</w:t>
            </w:r>
          </w:p>
        </w:tc>
      </w:tr>
      <w:tr w:rsidR="007E60E4" w:rsidRPr="00AA22EE" w:rsidTr="00DC59CF">
        <w:tc>
          <w:tcPr>
            <w:tcW w:w="3542"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Resilience</w:t>
            </w:r>
          </w:p>
        </w:tc>
        <w:tc>
          <w:tcPr>
            <w:tcW w:w="2267"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High</w:t>
            </w:r>
          </w:p>
        </w:tc>
        <w:tc>
          <w:tcPr>
            <w:tcW w:w="2695"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Low</w:t>
            </w:r>
          </w:p>
        </w:tc>
      </w:tr>
      <w:tr w:rsidR="007E60E4" w:rsidRPr="00AA22EE" w:rsidTr="00DC59CF">
        <w:tc>
          <w:tcPr>
            <w:tcW w:w="3542"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Trophic relationships</w:t>
            </w:r>
          </w:p>
        </w:tc>
        <w:tc>
          <w:tcPr>
            <w:tcW w:w="2267"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Complex</w:t>
            </w:r>
          </w:p>
        </w:tc>
        <w:tc>
          <w:tcPr>
            <w:tcW w:w="2695"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Simple</w:t>
            </w:r>
          </w:p>
        </w:tc>
      </w:tr>
      <w:tr w:rsidR="007E60E4" w:rsidRPr="00AA22EE" w:rsidTr="00DC59CF">
        <w:tc>
          <w:tcPr>
            <w:tcW w:w="3542"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Human displacement of ecological processes</w:t>
            </w:r>
          </w:p>
        </w:tc>
        <w:tc>
          <w:tcPr>
            <w:tcW w:w="2267"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Low</w:t>
            </w:r>
          </w:p>
        </w:tc>
        <w:tc>
          <w:tcPr>
            <w:tcW w:w="2695" w:type="dxa"/>
            <w:tcBorders>
              <w:top w:val="nil"/>
              <w:left w:val="nil"/>
              <w:bottom w:val="nil"/>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High</w:t>
            </w:r>
          </w:p>
        </w:tc>
      </w:tr>
      <w:tr w:rsidR="007E60E4" w:rsidRPr="00AA22EE" w:rsidTr="00DC59CF">
        <w:tc>
          <w:tcPr>
            <w:tcW w:w="3542" w:type="dxa"/>
            <w:tcBorders>
              <w:top w:val="nil"/>
              <w:left w:val="nil"/>
              <w:bottom w:val="single" w:sz="4" w:space="0" w:color="auto"/>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Sustainability</w:t>
            </w:r>
          </w:p>
        </w:tc>
        <w:tc>
          <w:tcPr>
            <w:tcW w:w="2267" w:type="dxa"/>
            <w:tcBorders>
              <w:top w:val="nil"/>
              <w:left w:val="nil"/>
              <w:bottom w:val="single" w:sz="4" w:space="0" w:color="auto"/>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High</w:t>
            </w:r>
          </w:p>
        </w:tc>
        <w:tc>
          <w:tcPr>
            <w:tcW w:w="2695" w:type="dxa"/>
            <w:tcBorders>
              <w:top w:val="nil"/>
              <w:left w:val="nil"/>
              <w:bottom w:val="single" w:sz="4" w:space="0" w:color="auto"/>
              <w:right w:val="nil"/>
            </w:tcBorders>
          </w:tcPr>
          <w:p w:rsidR="007E60E4" w:rsidRPr="00AA22EE" w:rsidRDefault="007E60E4" w:rsidP="008C190E">
            <w:pPr>
              <w:contextualSpacing/>
              <w:jc w:val="left"/>
              <w:rPr>
                <w:rFonts w:cs="Times New Roman"/>
                <w:sz w:val="20"/>
                <w:szCs w:val="20"/>
              </w:rPr>
            </w:pPr>
            <w:r w:rsidRPr="00AA22EE">
              <w:rPr>
                <w:rFonts w:cs="Times New Roman"/>
                <w:sz w:val="20"/>
                <w:szCs w:val="20"/>
              </w:rPr>
              <w:t>Low</w:t>
            </w:r>
          </w:p>
        </w:tc>
      </w:tr>
    </w:tbl>
    <w:p w:rsidR="007E60E4" w:rsidRDefault="007E60E4" w:rsidP="007E60E4">
      <w:pPr>
        <w:contextualSpacing/>
        <w:rPr>
          <w:rFonts w:cs="Times New Roman"/>
        </w:rPr>
      </w:pPr>
    </w:p>
    <w:p w:rsidR="007E60E4" w:rsidRPr="00AA22EE" w:rsidRDefault="007E60E4" w:rsidP="007E60E4">
      <w:pPr>
        <w:pStyle w:val="Heading3"/>
        <w:rPr>
          <w:rFonts w:cs="Times New Roman"/>
        </w:rPr>
      </w:pPr>
      <w:bookmarkStart w:id="59" w:name="_Toc463208981"/>
      <w:bookmarkStart w:id="60" w:name="_Toc469855006"/>
      <w:bookmarkStart w:id="61" w:name="_Toc469856006"/>
      <w:bookmarkStart w:id="62" w:name="_Toc469931915"/>
      <w:bookmarkStart w:id="63" w:name="_Toc469982237"/>
      <w:r w:rsidRPr="00AA22EE">
        <w:rPr>
          <w:rFonts w:cs="Times New Roman"/>
        </w:rPr>
        <w:t>Chemical application</w:t>
      </w:r>
      <w:bookmarkEnd w:id="59"/>
      <w:bookmarkEnd w:id="60"/>
      <w:bookmarkEnd w:id="61"/>
      <w:bookmarkEnd w:id="62"/>
      <w:bookmarkEnd w:id="63"/>
    </w:p>
    <w:p w:rsidR="007E60E4" w:rsidRPr="00AA22EE" w:rsidRDefault="007E60E4" w:rsidP="007E60E4">
      <w:pPr>
        <w:pStyle w:val="Heading4"/>
        <w:numPr>
          <w:ilvl w:val="3"/>
          <w:numId w:val="1"/>
        </w:numPr>
      </w:pPr>
      <w:r w:rsidRPr="00AA22EE">
        <w:t>Fertilisers</w:t>
      </w:r>
    </w:p>
    <w:p w:rsidR="007E60E4" w:rsidRDefault="007E60E4" w:rsidP="00DE54FD">
      <w:r w:rsidRPr="00AA22EE">
        <w:t xml:space="preserve">Soil fertility is known </w:t>
      </w:r>
      <w:r w:rsidR="00844B37">
        <w:t>to influence plant -</w:t>
      </w:r>
      <w:r w:rsidRPr="00AA22EE">
        <w:t>AM</w:t>
      </w:r>
      <w:r>
        <w:t>F</w:t>
      </w:r>
      <w:r w:rsidRPr="00AA22EE">
        <w:t xml:space="preserve"> </w:t>
      </w:r>
      <w:r w:rsidR="00844B37">
        <w:t xml:space="preserve">symbiosis </w:t>
      </w:r>
      <w:r w:rsidRPr="00AA22EE">
        <w:t>due to the role of AM</w:t>
      </w:r>
      <w:r>
        <w:t>F</w:t>
      </w:r>
      <w:r w:rsidRPr="00AA22EE">
        <w:t xml:space="preserve"> in plant nutrient provision. AM</w:t>
      </w:r>
      <w:r>
        <w:t>F</w:t>
      </w:r>
      <w:r w:rsidRPr="00AA22EE">
        <w:t xml:space="preserve"> associations require a carbon cost from the host plant therefore in fertile soils in which plants are able to access adequate nutrition by their own roots, the benefit of AM</w:t>
      </w:r>
      <w:r w:rsidR="00844B37">
        <w:t>F</w:t>
      </w:r>
      <w:r w:rsidRPr="00AA22EE">
        <w:t xml:space="preserve"> </w:t>
      </w:r>
      <w:r w:rsidR="00844B37">
        <w:t>symbiosis</w:t>
      </w:r>
      <w:r w:rsidRPr="00AA22EE">
        <w:t xml:space="preserve"> is reduced</w:t>
      </w:r>
      <w:r w:rsidR="00A7251C">
        <w:t xml:space="preserve"> </w:t>
      </w:r>
      <w:r w:rsidR="00A7251C">
        <w:fldChar w:fldCharType="begin"/>
      </w:r>
      <w:r w:rsidR="00A7251C">
        <w:instrText xml:space="preserve"> ADDIN ZOTERO_ITEM CSL_CITATION {"citationID":"1ql2qq8o78","properties":{"formattedCitation":"{\\rtf (Smith {\\i{}et al.}, 2009)}","plainCitation":"(Smith et al., 2009)"},"citationItems":[{"id":1265,"uris":["http://zotero.org/users/local/d1gJDEOw/items/AGWG82DC"],"uri":["http://zotero.org/users/local/d1gJDEOw/items/AGWG82DC"],"itemData":{"id":1265,"type":"article-journal","title":"More than a carbon economy: nutrient trade and ecological sustainability in facultative arbuscular mycorrhizal symbioses","container-title":"New Phytologist","page":"347-358","volume":"182","issue":"2","archive_location":"WOS:000264635400009","abstract":"Symbiosis is well recognized as a major force in plant ecology and evolution. However, there is considerable uncertainty about the functional, ecological and evolutionary benefits of the very widespread facultative arbuscular mycorrhizal ( AM) associations, in which the plants can grow and reproduce whether or not they are colonized by AM fungi. Here we address the significance of new research findings that are overturning conventional views that facultative AM associations can be likened to parasitic fungus-plant associations. Specifically, we address the occurrence and importance of phosphate uptake via AM fungi that does not result in increases in total phosphorus ( P) uptake or in plant growth, and possible signalling between AM fungi and plants that can result in plant growth depressions even when fungal colonization remains very low. We conclude that, depending on the individual AM fungi that are present, the role of facultative AM associations in the field, especially in relation to plant competition, may be much more subtle than has been previously envisaged.","DOI":"10.1111/j.1469-8137.2008.02753.x","ISSN":"0028-646X","shortTitle":"More than a carbon economy: nutrient trade and ecological sustainability in facultative arbuscular mycorrhizal symbioses","journalAbbreviation":"New Phytol.","language":"English","author":[{"family":"Smith","given":"F. A."},{"family":"Grace","given":"E. J."},{"family":"Smith","given":"S. E."}],"issued":{"date-parts":[["2009"]]}}}],"schema":"https://github.com/citation-style-language/schema/raw/master/csl-citation.json"} </w:instrText>
      </w:r>
      <w:r w:rsidR="00A7251C">
        <w:fldChar w:fldCharType="separate"/>
      </w:r>
      <w:r w:rsidR="00A7251C" w:rsidRPr="00A7251C">
        <w:rPr>
          <w:rFonts w:cs="Times New Roman"/>
          <w:szCs w:val="24"/>
        </w:rPr>
        <w:t xml:space="preserve">(Smith </w:t>
      </w:r>
      <w:r w:rsidR="00A7251C" w:rsidRPr="00A7251C">
        <w:rPr>
          <w:rFonts w:cs="Times New Roman"/>
          <w:i/>
          <w:iCs/>
          <w:szCs w:val="24"/>
        </w:rPr>
        <w:t>et al.</w:t>
      </w:r>
      <w:r w:rsidR="00A7251C" w:rsidRPr="00A7251C">
        <w:rPr>
          <w:rFonts w:cs="Times New Roman"/>
          <w:szCs w:val="24"/>
        </w:rPr>
        <w:t>, 2009)</w:t>
      </w:r>
      <w:r w:rsidR="00A7251C">
        <w:fldChar w:fldCharType="end"/>
      </w:r>
      <w:r w:rsidRPr="00AA22EE">
        <w:t xml:space="preserve"> and plants </w:t>
      </w:r>
      <w:r w:rsidR="00D76319">
        <w:t>may</w:t>
      </w:r>
      <w:r w:rsidRPr="00AA22EE">
        <w:t xml:space="preserve"> limit C allocation to </w:t>
      </w:r>
      <w:r>
        <w:t xml:space="preserve">AMF </w:t>
      </w:r>
      <w:r>
        <w:rPr>
          <w:szCs w:val="24"/>
        </w:rPr>
        <w:fldChar w:fldCharType="begin"/>
      </w:r>
      <w:r w:rsidR="00954B3D">
        <w:rPr>
          <w:szCs w:val="24"/>
        </w:rPr>
        <w:instrText xml:space="preserve"> ADDIN ZOTERO_ITEM CSL_CITATION {"citationID":"2elsls149g","properties":{"formattedCitation":"{\\rtf (Kiers {\\i{}et al.}, 2011; Johnson {\\i{}et al.}, 2013)}","plainCitation":"(Kiers et al., 2011; Johnson et al., 2013)"},"citationItems":[{"id":177,"uris":["http://zotero.org/users/local/d1gJDEOw/items/N3DHFNGH"],"uri":["http://zotero.org/users/local/d1gJDEOw/items/N3DHFNGH"],"itemData":{"id":177,"type":"article-journal","title":"Reciprocal Rewards Stabilize Cooperation in the Mycorrhizal Symbiosis","container-title":"Science","page":"880-882","volume":"333","issue":"6044","source":"Web of Science","abstract":"Plants and their arbuscular mycorrhizal fungal symbionts interact in complex underground networks involving multiple partners. This increases the potential for exploitation and defection by individuals, raising the question of how partners maintain a fair, two-way transfer of resources. We manipulated cooperation in plants and fungal partners to show that plants can detect, discriminate, and reward the best fungal partners with more carbohydrates. In turn, their fungal partners enforce cooperation by increasing nutrient transfer only to those roots providing more carbohydrates. On the basis of these observations we conclude that, unlike many other mutualisms, the symbiont cannot be \"enslaved.\" Rather, the mutualism is evolutionarily stable because control is bidirectional, and partners offering the best rate of exchange are rewarded.","DOI":"10.1126/science.1208473","ISSN":"0036-8075","note":"WOS:000293785400041","journalAbbreviation":"Science","language":"English","author":[{"family":"Kiers","given":"E. Toby"},{"family":"Duhamel","given":"Marie"},{"family":"Beesetty","given":"Yugandhar"},{"family":"Mensah","given":"Jerry A."},{"family":"Franken","given":"Oscar"},{"family":"Verbruggen","given":"Erik"},{"family":"Fellbaum","given":"Carl R."},{"family":"Kowalchuk","given":"George A."},{"family":"Hart","given":"Miranda M."},{"family":"Bago","given":"Alberto"},{"family":"Palmer","given":"Todd M."},{"family":"West","given":"Stuart A."},{"family":"Vandenkoornhuyse","given":"Philippe"},{"family":"Jansa","given":"Jan"},{"family":"Buecking","given":"Heike"}],"issued":{"date-parts":[["2011",8,12]]}}},{"id":516,"uris":["http://zotero.org/users/local/d1gJDEOw/items/6MEDDGRI"],"uri":["http://zotero.org/users/local/d1gJDEOw/items/6MEDDGRI"],"itemData":{"id":516,"type":"article-journal","title":"Predicting community and ecosystem outcomes of mycorrhizal responses to global change","container-title":"Ecology Letters","page":"140-153","volume":"16","source":"Wiley Online Library","abstract":"Mycorrhizal symbioses link the biosphere with the lithosphere by mediating nutrient cycles and energy flow though terrestrial ecosystems. A more mechanistic understanding of these plant–fungal associations may help ameliorate anthropogenic changes to C and N cycles and biotic communities. We explore three interacting principles: (1) optimal allocation, (2) biotic context and (3) fungal adaptability that may help predict mycorrhizal responses to carbon dioxide enrichment, nitrogen eutrophication, invasive species and land-use changes. Plant–microbial feedbacks and thresholds are discussed in light of these principles with the goal of generating testable hypotheses. Ideas to develop large-scale collaborative research efforts are presented. It is our hope that mycorrhizal symbioses can be effectively integrated into global change models and eventually their ecology will be understood well enough so that they can be managed to help offset some of the detrimental effects of anthropogenic environmental change.","DOI":"10.1111/ele.12085","ISSN":"1461-0248","journalAbbreviation":"Ecol Lett","language":"en","author":[{"family":"Johnson","given":"Nancy C."},{"family":"Angelard","given":"Caroline"},{"family":"Sanders","given":"Ian R."},{"family":"Kiers","given":"E. Toby"}],"issued":{"date-parts":[["2013",5,1]]}}}],"schema":"https://github.com/citation-style-language/schema/raw/master/csl-citation.json"} </w:instrText>
      </w:r>
      <w:r>
        <w:rPr>
          <w:szCs w:val="24"/>
        </w:rPr>
        <w:fldChar w:fldCharType="separate"/>
      </w:r>
      <w:r w:rsidR="00954B3D" w:rsidRPr="00954B3D">
        <w:rPr>
          <w:rFonts w:cs="Times New Roman"/>
          <w:szCs w:val="24"/>
        </w:rPr>
        <w:t xml:space="preserve">(Kiers </w:t>
      </w:r>
      <w:r w:rsidR="00954B3D" w:rsidRPr="00954B3D">
        <w:rPr>
          <w:rFonts w:cs="Times New Roman"/>
          <w:i/>
          <w:iCs/>
          <w:szCs w:val="24"/>
        </w:rPr>
        <w:t>et al.</w:t>
      </w:r>
      <w:r w:rsidR="00954B3D" w:rsidRPr="00954B3D">
        <w:rPr>
          <w:rFonts w:cs="Times New Roman"/>
          <w:szCs w:val="24"/>
        </w:rPr>
        <w:t xml:space="preserve">, 2011; Johnson </w:t>
      </w:r>
      <w:r w:rsidR="00954B3D" w:rsidRPr="00954B3D">
        <w:rPr>
          <w:rFonts w:cs="Times New Roman"/>
          <w:i/>
          <w:iCs/>
          <w:szCs w:val="24"/>
        </w:rPr>
        <w:t>et al.</w:t>
      </w:r>
      <w:r w:rsidR="00954B3D" w:rsidRPr="00954B3D">
        <w:rPr>
          <w:rFonts w:cs="Times New Roman"/>
          <w:szCs w:val="24"/>
        </w:rPr>
        <w:t>, 2013)</w:t>
      </w:r>
      <w:r>
        <w:rPr>
          <w:szCs w:val="24"/>
        </w:rPr>
        <w:fldChar w:fldCharType="end"/>
      </w:r>
      <w:r>
        <w:rPr>
          <w:szCs w:val="24"/>
        </w:rPr>
        <w:t>.</w:t>
      </w:r>
    </w:p>
    <w:p w:rsidR="007E60E4" w:rsidRDefault="00D76319" w:rsidP="00DE54FD">
      <w:r>
        <w:t>Studies</w:t>
      </w:r>
      <w:r w:rsidR="00844B37">
        <w:t xml:space="preserve"> comparing </w:t>
      </w:r>
      <w:r w:rsidR="007E60E4" w:rsidRPr="00AA22EE">
        <w:t>root colonisation</w:t>
      </w:r>
      <w:r w:rsidR="00844B37">
        <w:t xml:space="preserve"> by AMF</w:t>
      </w:r>
      <w:r w:rsidR="007E60E4" w:rsidRPr="00AA22EE">
        <w:t xml:space="preserve"> between intensively managed agricultural land receiving high inorganic fertiliser inputs in contrast to less intensively managed land have demonstrated that intensive management results in reduced root colonisation. For example</w:t>
      </w:r>
      <w:r w:rsidR="00A7251C">
        <w:t xml:space="preserve"> </w:t>
      </w:r>
      <w:r w:rsidR="00A7251C">
        <w:fldChar w:fldCharType="begin"/>
      </w:r>
      <w:r w:rsidR="00A7251C">
        <w:instrText xml:space="preserve"> ADDIN ZOTERO_ITEM CSL_CITATION {"citationID":"2hiuts5r42","properties":{"formattedCitation":"{\\rtf (Mader {\\i{}et al.}, 2002)}","plainCitation":"(Mader et al., 2002)"},"citationItems":[{"id":1095,"uris":["http://zotero.org/users/local/d1gJDEOw/items/PR3RP4M7"],"uri":["http://zotero.org/users/local/d1gJDEOw/items/PR3RP4M7"],"itemData":{"id":1095,"type":"article-journal","title":"Soil fertility and biodiversity in organic farming","container-title":"Science","page":"1694-1697","volume":"296","issue":"5573","archive_location":"WOS:000175976200061","abstract":"An understanding of agroecosystems is key to determining effective farming systems. Here we report results from a 21-year study of agronomic and ecological performance of biodynamic, bioorganic, and conventional farming systems in Central Europe. We found crop yields to be 20% Lower in the organic systems, although input of fertilizer and energy was reduced by 34 to 53% and pesticide input by 97%. Enhanced soil fertility and higher biodiversity found in organic plots may render these systems less dependent on external inputs.","DOI":"10.1126/science.1071148","ISSN":"0036-8075","shortTitle":"Soil fertility and biodiversity in organic farming","author":[{"family":"Mader","given":"P."},{"family":"Fliessbach","given":"A."},{"family":"Dubois","given":"D."},{"family":"Gunst","given":"L."},{"family":"Fried","given":"P."},{"family":"Niggli","given":"U."}],"issued":{"date-parts":[["2002",5]]}}}],"schema":"https://github.com/citation-style-language/schema/raw/master/csl-citation.json"} </w:instrText>
      </w:r>
      <w:r w:rsidR="00A7251C">
        <w:fldChar w:fldCharType="separate"/>
      </w:r>
      <w:r w:rsidR="00A7251C" w:rsidRPr="00A7251C">
        <w:rPr>
          <w:rFonts w:cs="Times New Roman"/>
          <w:szCs w:val="24"/>
        </w:rPr>
        <w:t>(</w:t>
      </w:r>
      <w:proofErr w:type="spellStart"/>
      <w:r w:rsidR="00A7251C" w:rsidRPr="00A7251C">
        <w:rPr>
          <w:rFonts w:cs="Times New Roman"/>
          <w:szCs w:val="24"/>
        </w:rPr>
        <w:t>Mader</w:t>
      </w:r>
      <w:proofErr w:type="spellEnd"/>
      <w:r w:rsidR="00A7251C" w:rsidRPr="00A7251C">
        <w:rPr>
          <w:rFonts w:cs="Times New Roman"/>
          <w:szCs w:val="24"/>
        </w:rPr>
        <w:t xml:space="preserve"> </w:t>
      </w:r>
      <w:r w:rsidR="00A7251C" w:rsidRPr="00A7251C">
        <w:rPr>
          <w:rFonts w:cs="Times New Roman"/>
          <w:i/>
          <w:iCs/>
          <w:szCs w:val="24"/>
        </w:rPr>
        <w:t>et al.</w:t>
      </w:r>
      <w:r w:rsidR="00A7251C" w:rsidRPr="00A7251C">
        <w:rPr>
          <w:rFonts w:cs="Times New Roman"/>
          <w:szCs w:val="24"/>
        </w:rPr>
        <w:t>, 2002)</w:t>
      </w:r>
      <w:r w:rsidR="00A7251C">
        <w:fldChar w:fldCharType="end"/>
      </w:r>
      <w:r w:rsidR="007E60E4" w:rsidRPr="00AA22EE">
        <w:t xml:space="preserve"> found that colonisation of roots by AM</w:t>
      </w:r>
      <w:r w:rsidR="007E60E4">
        <w:t>F</w:t>
      </w:r>
      <w:r w:rsidR="007E60E4" w:rsidRPr="00AA22EE">
        <w:t xml:space="preserve"> were reduced by as much as 60% in conventionally farmed soils in comparison to ones which had received lower application of inorganic fertilisers and attributed this effect to the comparatively lower levels of labile P. Similarly,</w:t>
      </w:r>
      <w:r w:rsidR="00A7251C">
        <w:t xml:space="preserve"> </w:t>
      </w:r>
      <w:r w:rsidR="00A7251C">
        <w:fldChar w:fldCharType="begin"/>
      </w:r>
      <w:r w:rsidR="00A7251C">
        <w:instrText xml:space="preserve"> ADDIN ZOTERO_ITEM CSL_CITATION {"citationID":"g97sec7f9","properties":{"formattedCitation":"(Ryan &amp; Ash, 1999)","plainCitation":"(Ryan &amp; Ash, 1999)"},"citationItems":[{"id":1231,"uris":["http://zotero.org/users/local/d1gJDEOw/items/SJU3N6NS"],"uri":["http://zotero.org/users/local/d1gJDEOw/items/SJU3N6NS"],"itemData":{"id":1231,"type":"article-journal","title":"Effects of phosphorus and nitrogen on growth of pasture plants and VAM fungi in SE Australian soils with contrasting fertiliser histories (conventional and biodynamic)","container-title":"Agriculture Ecosystems &amp; Environment","page":"51-62","volume":"73","issue":"1","archive_location":"WOS:000079567800006","abstract":"The soil biological community has been reported to differ between conventional and alternative (organic and biodynamic) farming systems. However, few studies have investigated whether this results in substantial differences in the biological pathways controlling major ecosystem processes, such as plant nutrient uptake. This paper describes a glasshouse experiment conducted using a red-brown earth (Natrixeralf) soil sampled from three conventional and three biodynamic irrigated dairy pastures located in the Goulburn River Valley, Victoria, Australia. The biodynamic soils had not had organic or inorganic fertilisers applied for, on average, 17 years, while the conventional soils had received regular inputs of fertilisers containing soluble phosphorus (P) and nitrogen (N). The experiment examined whether the contrasting fertiliser histories had resulted in different pathways of plant nutrient uptake through assessing the response of white clover (Trifolium repens L.), perennial rye grass (Lolium perenne L.) and the indigenous vesicular-arbuscular mycorrhizal (VAM) fungi to addition of four levels of soluble P and N. The response to added P and N did not differ between the conventional and biodynamic soils, although, plants in the biodynamic soils had a slower growth rate and a higher level of colonisation by VAM fungi due to lower initial soil P and N concentrations. Overall, there was no indication that the biodynamic and conventional soils had developed substantially different processes to enhance plant nutrient uptake or that the indigenous VAM fungi differed in their tolerance to applications of soluble nutrients. (C) 1999 Published by Elsevier Science B.V. All rights reserved.","DOI":"10.1016/s0167-8809(99)00014-6","ISSN":"0167-8809","shortTitle":"Effects of phosphorus and nitrogen on growth of pasture plants and VAM fungi in SE Australian soils with contrasting fertiliser histories (conventional and biodynamic)","author":[{"family":"Ryan","given":"M."},{"family":"Ash","given":"J."}],"issued":{"date-parts":[["1999",3]]}}}],"schema":"https://github.com/citation-style-language/schema/raw/master/csl-citation.json"} </w:instrText>
      </w:r>
      <w:r w:rsidR="00A7251C">
        <w:fldChar w:fldCharType="separate"/>
      </w:r>
      <w:r w:rsidR="00A7251C" w:rsidRPr="00A7251C">
        <w:rPr>
          <w:rFonts w:cs="Times New Roman"/>
        </w:rPr>
        <w:t>(Ryan &amp; Ash, 1999)</w:t>
      </w:r>
      <w:r w:rsidR="00A7251C">
        <w:fldChar w:fldCharType="end"/>
      </w:r>
      <w:r w:rsidR="007E60E4" w:rsidRPr="00AA22EE">
        <w:t xml:space="preserve"> </w:t>
      </w:r>
      <w:r w:rsidR="007E60E4">
        <w:t>found AM colonis</w:t>
      </w:r>
      <w:r w:rsidR="007E60E4" w:rsidRPr="00AA22EE">
        <w:t>ation substantially reduced in intensively farmed pasture in comparison to pasture receiving lower inputs of inorganic N and P fertiliser.</w:t>
      </w:r>
      <w:r w:rsidR="007E60E4" w:rsidRPr="00AA22EE">
        <w:rPr>
          <w:color w:val="131413"/>
        </w:rPr>
        <w:t xml:space="preserve"> </w:t>
      </w:r>
      <w:r w:rsidR="007E60E4" w:rsidRPr="00AA22EE">
        <w:t xml:space="preserve">Application of inorganic fertilisers has also been found to result in decreased spore production </w:t>
      </w:r>
      <w:r w:rsidR="007E60E4">
        <w:fldChar w:fldCharType="begin"/>
      </w:r>
      <w:r w:rsidR="0057400B">
        <w:instrText xml:space="preserve"> ADDIN ZOTERO_ITEM CSL_CITATION {"citationID":"1ia05bsft4","properties":{"formattedCitation":"{\\rtf (Wang {\\i{}et al.}, 2009)}","plainCitation":"(Wang et al., 2009)"},"citationItems":[{"id":425,"uris":["http://zotero.org/users/local/d1gJDEOw/items/U7HEC2GK"],"uri":["http://zotero.org/users/local/d1gJDEOw/items/U7HEC2GK"],"itemData":{"id":425,"type":"article-journal","title":"Influence of Long-Term Fixed Fertilization on Diversity of Arbuscular Mycorrhizal Fungi","container-title":"Pedosphere","page":"663-672","volume":"19","issue":"5, 1002-0160","source":"www.scholarmate.com","abstract":"Diversity of arbuscular mycorrhizal fungi (AMF) was investigated in a field that had received long-term fixed fertilization (LFF) for 26 years. There were a total of 12 treatments in triplicates with different amounts of manure, urea, calcium phosphate, and potassium chloride. Rhizosphere soil samples of maize and wheat grown in the experimental field in Shandong Province, China, were collected in September 2003 and May 2004, respectively. Arbuscular mycorrhizal fungal spores were isolated and identified using morphological characters. Mycorrhizal colonization percentage, spore density (SD), species richness (SR), relative abundance (RA), and Shannon-Weiner index (SWI) were determined. Nineteen recognized species of AMF belonging to 5 genera were identified. Long-term fixed fertilization significantly influenced colonization percentage, SR, SD, and species diversity of AMF. The adaptability of AMF to soil fertility was different among species. Species richness and SD of AMF in maize and wheat rhizosphere soils were the highest in the nonfertilization treatment (control) and lowest in the high manure + high nitrogen treatment (M2N2). The SWI decreased as the fertilization level increased except in the low manure treatment (M-1) on maize. Compared with the other treatments, Treatment M2N2 significantly reduced SD of Glomus, and the high manure + low nitrogen treatment (M2N1) significantly retarded sporulation of Scutellospora. Manure treatments stimulated sporulation of Glomus mosseae. Spore density of G. mosseae was higher in the high nitrogen + phosphorus + potassium treatment (N2PK) than in the high nitrogen + phosphorus treatment (N2P) and the high nitrogen + potassium treatment (N2K). The SD of S. pellucida was higher in Treatment N2K than Treatments N2PK and N2P. In conclusion, long-term fixed fertilization, especially with high levels of manure and N, decreased SR, SD, and colonization and changed the species composition of AMF.","ISSN":"1002-0160","language":"eng","author":[{"family":"Wang","given":"Miao-Yan"},{"family":"Liang-Bin","given":"Hu"},{"family":"Wei-Hua","given":"Wang"},{"family":"Shu-Tang","given":"Liu"},{"family":"Min","given":"Li"},{"family":"Run-Jin","given":"Liu"},{"family":"Miao-Yan","given":"Wang"},{"family":"Liang-Bin","given":"Hu"},{"family":"Wei-Hua","given":"Wang"},{"family":"Shu-Tang","given":"Liu"},{"family":"Min","given":"Li"},{"family":"Run-Jin","given":"Liu"}],"issued":{"date-parts":[["2009"]]}}}],"schema":"https://github.com/citation-style-language/schema/raw/master/csl-citation.json"} </w:instrText>
      </w:r>
      <w:r w:rsidR="007E60E4">
        <w:fldChar w:fldCharType="separate"/>
      </w:r>
      <w:r w:rsidR="00954B3D" w:rsidRPr="00954B3D">
        <w:rPr>
          <w:rFonts w:cs="Times New Roman"/>
          <w:szCs w:val="24"/>
        </w:rPr>
        <w:t xml:space="preserve">(Wang </w:t>
      </w:r>
      <w:r w:rsidR="00954B3D" w:rsidRPr="00954B3D">
        <w:rPr>
          <w:rFonts w:cs="Times New Roman"/>
          <w:i/>
          <w:iCs/>
          <w:szCs w:val="24"/>
        </w:rPr>
        <w:t>et al.</w:t>
      </w:r>
      <w:r w:rsidR="00954B3D" w:rsidRPr="00954B3D">
        <w:rPr>
          <w:rFonts w:cs="Times New Roman"/>
          <w:szCs w:val="24"/>
        </w:rPr>
        <w:t>, 2009)</w:t>
      </w:r>
      <w:r w:rsidR="007E60E4">
        <w:fldChar w:fldCharType="end"/>
      </w:r>
      <w:r w:rsidR="007E60E4" w:rsidRPr="00AA22EE">
        <w:t>, hyphal biomass</w:t>
      </w:r>
      <w:r w:rsidR="00A7251C">
        <w:t xml:space="preserve"> </w:t>
      </w:r>
      <w:r w:rsidR="00A7251C">
        <w:fldChar w:fldCharType="begin"/>
      </w:r>
      <w:r w:rsidR="00A7251C">
        <w:instrText xml:space="preserve"> ADDIN ZOTERO_ITEM CSL_CITATION {"citationID":"172qtl45ot","properties":{"formattedCitation":"{\\rtf (Bruce {\\i{}et al.}, 1994)}","plainCitation":"(Bruce et al., 1994)"},"citationItems":[{"id":874,"uris":["http://zotero.org/users/local/d1gJDEOw/items/EZ2A7USA"],"uri":["http://zotero.org/users/local/d1gJDEOw/items/EZ2A7USA"],"itemData":{"id":874,"type":"article-journal","title":"THE DEVELOPMENT OF MYCORRHIZAL INFECTION IN CUCUMBER - EFFECTS OF P-SUPPLY ON ROOT-GROWTH, FORMATION OF ENTRY POINTS AND GROWTH OF INFECTION UNITS","container-title":"New Phytologist","page":"507-514","volume":"127","issue":"3","archive_location":"WOS:A1994PB08500009","abstract":"This paper describes an experiment in which the effects of soil phosphorus (P) on root growth and mycorrhizal colonization of Cucumis sativus L. were studied. The aim was to determine the relative contributions of root growth, formation of new infections and growth of infections within the root to the % colonization. Plants were harvested daily between 7 and 24 d. Added P had no effect on root or shoot f. wt or on root length up to 14 d. After that time plants given additional P grew well, but those with no added P grew poorly and showed signs of P deficiency. Increase in root length with added P was due both to an increase in the number of root apices produced per unit length of root per unit time and to an increase in the mean rate of extension of those apices. Effects of P on the % colonization of the roots by the mycorrhizal fungus Glomus intraradices Schenk and Smith were apparent before any effects on root length were observed. The length of the lag phase was not affected by addition of P. The rate of formation of new entry points was similar with and without added P up to 15 d, and reduction in % colonization up to this time could be attributed entirely to reduction in the rate of growth of infection units within the roots. Later, there was a marked increase in the rate of formation of (secondary) entry points in the absence of added P, which was not observed when P was added. At 15, 20 and 25 d, additional plants were harvested to quantify the development of arbuscules and vesicles in colonized regions of the roots. At all three times, numbers of arbuscules and vesicles were lower with added P. We conclude that at very early stages of colonization P exerts its effect via reduced growth of infection units. After approx. 2 wk, an increase in the rate of growth in length of roots and low rates of formation of secondary infections also contribute to the low values of % colonization.","DOI":"10.1111/j.1469-8137.1994.tb03968.x","ISSN":"0028-646X","shortTitle":"THE DEVELOPMENT OF MYCORRHIZAL INFECTION IN CUCUMBER - EFFECTS OF P-SUPPLY ON ROOT-GROWTH, FORMATION OF ENTRY POINTS AND GROWTH OF INFECTION UNITS","author":[{"family":"Bruce","given":"A."},{"family":"Smith","given":"S. E."},{"family":"Tester","given":"M."}],"issued":{"date-parts":[["1994",7]]}}}],"schema":"https://github.com/citation-style-language/schema/raw/master/csl-citation.json"} </w:instrText>
      </w:r>
      <w:r w:rsidR="00A7251C">
        <w:fldChar w:fldCharType="separate"/>
      </w:r>
      <w:r w:rsidR="00A7251C" w:rsidRPr="00A7251C">
        <w:rPr>
          <w:rFonts w:cs="Times New Roman"/>
          <w:szCs w:val="24"/>
        </w:rPr>
        <w:t xml:space="preserve">(Bruce </w:t>
      </w:r>
      <w:r w:rsidR="00A7251C" w:rsidRPr="00A7251C">
        <w:rPr>
          <w:rFonts w:cs="Times New Roman"/>
          <w:i/>
          <w:iCs/>
          <w:szCs w:val="24"/>
        </w:rPr>
        <w:t>et al.</w:t>
      </w:r>
      <w:r w:rsidR="00A7251C" w:rsidRPr="00A7251C">
        <w:rPr>
          <w:rFonts w:cs="Times New Roman"/>
          <w:szCs w:val="24"/>
        </w:rPr>
        <w:t>, 1994)</w:t>
      </w:r>
      <w:r w:rsidR="00A7251C">
        <w:fldChar w:fldCharType="end"/>
      </w:r>
      <w:r w:rsidR="007E60E4" w:rsidRPr="00AA22EE">
        <w:t xml:space="preserve"> and  mycorrhizal infectivity</w:t>
      </w:r>
      <w:r w:rsidR="00A7251C">
        <w:t xml:space="preserve"> </w:t>
      </w:r>
      <w:r w:rsidR="00A7251C">
        <w:fldChar w:fldCharType="begin"/>
      </w:r>
      <w:r w:rsidR="00A7251C">
        <w:instrText xml:space="preserve"> ADDIN ZOTERO_ITEM CSL_CITATION {"citationID":"dqlvo3m1b","properties":{"formattedCitation":"{\\rtf (Kahiluoto {\\i{}et al.}, 2001)}","plainCitation":"(Kahiluoto et al., 2001)"},"citationItems":[{"id":1050,"uris":["http://zotero.org/users/local/d1gJDEOw/items/5ASKJ3ZV"],"uri":["http://zotero.org/users/local/d1gJDEOw/items/5ASKJ3ZV"],"itemData":{"id":1050,"type":"article-journal","title":"Promotion of AM utilization through reduced P fertilization 2. Field studies","container-title":"Plant and Soil","page":"65-79","volume":"231","issue":"1","archive_location":"WOS:000168196000007","abstract":"The hypothesis of this study was that cumulative P fertilization decreases the contribution of arbuscular mycorrhiza (AM) to crop growth and nutrient uptake in Northern European field conditions. The modes of action of P fertilization were evaluated through effects on mycorrhization, crop dependence on AM, and AM fungal (AMF) community. Field studies were carried out within long-term experiments on soils with low and intermediate initial content of extractable P, where no P fertilization and 45 kg ha(-1) a(-1) P were applied for 20 years. AM effectiveness in terms of growth and nutrient uptake of flax, red clover and barley, percentage root length colonized by AMF, P response of flax, and spore densities and species composition of the AMF communities, were assessed. In the soil with low initial P supply, cumulative P fertilization decreased AM contribution to crop growth and nutrient uptake. The higher AM effectiveness in soil with no added P compensated the cumulative P fertilization (soil P-H2O 2.5 v. 9.5 mg kg(-1)) for flax, but not completely for clover. In contrast, barley obtained no benefit from AM at harvest and only a slight benefit from cumulated P. In the soil with intermediate initial P supply, AM reduced growth of flax and barley, especially with no added P, and no response to AM was obtained on clover due to retarded mycorrhization. Cumulative P fertilization reduced yield losses of flax by AM (P-H2O 18.8 v. 5.4 mg kg(-)1), because fertilization inhibited mycorrhization. In both soils, root colonization and spore density were decreased by cumulative P fertilization, but no changes in AMF species composition were observed.","DOI":"10.1023/a:1010366400009","ISSN":"0032-079X","shortTitle":"Promotion of AM utilization through reduced P fertilization 2. Field studies","journalAbbreviation":"Plant Soil","language":"English","author":[{"family":"Kahiluoto","given":"H."},{"family":"Ketoja","given":"E."},{"family":"Vestberg","given":"M."},{"family":"Saarela","given":"I."}],"issued":{"date-parts":[["2001",4]]}}}],"schema":"https://github.com/citation-style-language/schema/raw/master/csl-citation.json"} </w:instrText>
      </w:r>
      <w:r w:rsidR="00A7251C">
        <w:fldChar w:fldCharType="separate"/>
      </w:r>
      <w:r w:rsidR="00A7251C" w:rsidRPr="00A7251C">
        <w:rPr>
          <w:rFonts w:cs="Times New Roman"/>
          <w:szCs w:val="24"/>
        </w:rPr>
        <w:t>(</w:t>
      </w:r>
      <w:proofErr w:type="spellStart"/>
      <w:r w:rsidR="00A7251C" w:rsidRPr="00A7251C">
        <w:rPr>
          <w:rFonts w:cs="Times New Roman"/>
          <w:szCs w:val="24"/>
        </w:rPr>
        <w:t>Kahiluoto</w:t>
      </w:r>
      <w:proofErr w:type="spellEnd"/>
      <w:r w:rsidR="00A7251C" w:rsidRPr="00A7251C">
        <w:rPr>
          <w:rFonts w:cs="Times New Roman"/>
          <w:szCs w:val="24"/>
        </w:rPr>
        <w:t xml:space="preserve"> </w:t>
      </w:r>
      <w:r w:rsidR="00A7251C" w:rsidRPr="00A7251C">
        <w:rPr>
          <w:rFonts w:cs="Times New Roman"/>
          <w:i/>
          <w:iCs/>
          <w:szCs w:val="24"/>
        </w:rPr>
        <w:t>et al.</w:t>
      </w:r>
      <w:r w:rsidR="00A7251C" w:rsidRPr="00A7251C">
        <w:rPr>
          <w:rFonts w:cs="Times New Roman"/>
          <w:szCs w:val="24"/>
        </w:rPr>
        <w:t>, 2001)</w:t>
      </w:r>
      <w:r w:rsidR="00A7251C">
        <w:fldChar w:fldCharType="end"/>
      </w:r>
      <w:r w:rsidR="007E60E4" w:rsidRPr="00AA22EE">
        <w:t xml:space="preserve">. </w:t>
      </w:r>
    </w:p>
    <w:p w:rsidR="007E60E4" w:rsidRPr="00AA22EE" w:rsidRDefault="007E60E4" w:rsidP="00DE54FD">
      <w:pPr>
        <w:rPr>
          <w:color w:val="131413"/>
        </w:rPr>
      </w:pPr>
      <w:r w:rsidRPr="00AA22EE">
        <w:lastRenderedPageBreak/>
        <w:t>However it is important to recognize that as plant nutrient status determines carbon allocation to AM</w:t>
      </w:r>
      <w:r>
        <w:t>F</w:t>
      </w:r>
      <w:r w:rsidRPr="00AA22EE">
        <w:t>, addition of fertiliser application to nutrient limited soils may in some cases exert a positive effect upon AM</w:t>
      </w:r>
      <w:r>
        <w:t>F</w:t>
      </w:r>
      <w:r w:rsidRPr="00AA22EE">
        <w:t xml:space="preserve"> communities. Observations of AM community response to application of inorganic fertiliser in a low nutrient grassland showed that addition of nitrogenous fertiliser to low P soils resulted in increased allocation of resources to AM</w:t>
      </w:r>
      <w:r>
        <w:t>F</w:t>
      </w:r>
      <w:r w:rsidRPr="00AA22EE">
        <w:t xml:space="preserve"> whilst the opposite response was found when both inorganic N and P were applied</w:t>
      </w:r>
      <w:r w:rsidR="00A7251C">
        <w:t xml:space="preserve"> </w:t>
      </w:r>
      <w:r w:rsidR="00A7251C">
        <w:fldChar w:fldCharType="begin"/>
      </w:r>
      <w:r w:rsidR="00A7251C">
        <w:instrText xml:space="preserve"> ADDIN ZOTERO_ITEM CSL_CITATION {"citationID":"2jpd2av2bg","properties":{"formattedCitation":"{\\rtf (Johnson {\\i{}et al.}, 2003)}","plainCitation":"(Johnson et al., 2003)"},"citationItems":[{"id":1035,"uris":["http://zotero.org/users/local/d1gJDEOw/items/JPB76AK5"],"uri":["http://zotero.org/users/local/d1gJDEOw/items/JPB76AK5"],"itemData":{"id":1035,"type":"article-journal","title":"Nitrogen enrichment alters mycorrhizal allocation at five semiarid grassland","container-title":"Ecology","page":"1895-1908","volume":"84","issue":"7","shortTitle":"Nitrogen enrichment alters mycorrhizal allocation at five semiarid grassland","author":[{"family":"Johnson","given":"N.C."},{"family":"Rowland","given":"D.L."},{"family":"Corkida","given":"L."},{"family":"Egerton-Warburton","given":"L.M."},{"family":"Allen","given":"E.B"}],"issued":{"date-parts":[["2003"]]}}}],"schema":"https://github.com/citation-style-language/schema/raw/master/csl-citation.json"} </w:instrText>
      </w:r>
      <w:r w:rsidR="00A7251C">
        <w:fldChar w:fldCharType="separate"/>
      </w:r>
      <w:r w:rsidR="00A7251C" w:rsidRPr="00A7251C">
        <w:rPr>
          <w:rFonts w:cs="Times New Roman"/>
          <w:szCs w:val="24"/>
        </w:rPr>
        <w:t xml:space="preserve">(Johnson </w:t>
      </w:r>
      <w:r w:rsidR="00A7251C" w:rsidRPr="00A7251C">
        <w:rPr>
          <w:rFonts w:cs="Times New Roman"/>
          <w:i/>
          <w:iCs/>
          <w:szCs w:val="24"/>
        </w:rPr>
        <w:t>et al.</w:t>
      </w:r>
      <w:r w:rsidR="00A7251C" w:rsidRPr="00A7251C">
        <w:rPr>
          <w:rFonts w:cs="Times New Roman"/>
          <w:szCs w:val="24"/>
        </w:rPr>
        <w:t>, 2003)</w:t>
      </w:r>
      <w:r w:rsidR="00A7251C">
        <w:fldChar w:fldCharType="end"/>
      </w:r>
      <w:r w:rsidRPr="00AA22EE">
        <w:t>. Similarly</w:t>
      </w:r>
      <w:r w:rsidR="00A7251C">
        <w:t xml:space="preserve"> </w:t>
      </w:r>
      <w:r w:rsidR="00A7251C">
        <w:fldChar w:fldCharType="begin"/>
      </w:r>
      <w:r w:rsidR="00A7251C">
        <w:instrText xml:space="preserve"> ADDIN ZOTERO_ITEM CSL_CITATION {"citationID":"2kkbgu0kai","properties":{"formattedCitation":"{\\rtf (Johnson {\\i{}et al.}, 2005)}","plainCitation":"(Johnson et al., 2005)"},"citationItems":[{"id":1029,"uris":["http://zotero.org/users/local/d1gJDEOw/items/TNGFHRGN"],"uri":["http://zotero.org/users/local/d1gJDEOw/items/TNGFHRGN"],"itemData":{"id":1029,"type":"article-journal","title":"Liming and nitrogen fertilization affects phosphatase activities, microbial biomass and mycorrhizal colonisation in upland grassland","container-title":"Plant and Soil","page":"157-164","volume":"271","issue":"1-2","archive_location":"WOS:000230397200014","abstract":"We have studied the effects of factorial combinations of lime and N additions on soil microbial biomass, respiration rates and phosphatase activity of an upland grassland. We also used an Agrostis capillaris seedling bioassay to assess the effect of the treatments on the activity of arbuscular-mycorrhizal (AM) fungi and root surface phosphatase enzymes and the concentrations of N and P in the bioassay plant shoots. In the F and H horizons, soil microbial biomass carbon (C-mic) decreased in response to the liming, while addition of lime and N together reduced basal respiration rates. In the Ah horizon, C-mic was unaffected by the treatments but basal respiration rates decreased in the plots receiving nitrogen. Soil phosphatase activity decreased only in the Ah horizon in plots receiving lime, either in combination with N or alone. The mass of root fwt. colonized by AM fungi increased in response to the treatments in the order nitrogen &lt; lime &lt; N plus lime. In contrast, root surface phosphatase activity decreased only in response to additions of nitrogen. A positive linear relationship was observed between root surface phosphatase activity and the P concentration of the plant shoots (R-2 = 28.7%, P = 0.004). The results demonstrate the sensitivity of both free-living heterotrophic microorganisms and symbiotic mycorrhizal fungi to short-term (2 years) applications of lime and N to long-term upland grassland, particularly in relation to the key P cycling activities undertaken by these organisms.","DOI":"10.1007/s11104-004-2267-z","ISSN":"0032-079X","shortTitle":"Liming and nitrogen fertilization affects phosphatase activities, microbial biomass and mycorrhizal colonisation in upland grassland","journalAbbreviation":"Plant Soil","language":"English","author":[{"family":"Johnson","given":"D."},{"family":"Leake","given":"J. R."},{"family":"Read","given":"D. J."}],"issued":{"date-parts":[["2005",4]]}}}],"schema":"https://github.com/citation-style-language/schema/raw/master/csl-citation.json"} </w:instrText>
      </w:r>
      <w:r w:rsidR="00A7251C">
        <w:fldChar w:fldCharType="separate"/>
      </w:r>
      <w:r w:rsidR="00A7251C" w:rsidRPr="00A7251C">
        <w:rPr>
          <w:rFonts w:cs="Times New Roman"/>
          <w:szCs w:val="24"/>
        </w:rPr>
        <w:t xml:space="preserve">(Johnson </w:t>
      </w:r>
      <w:r w:rsidR="00A7251C" w:rsidRPr="00A7251C">
        <w:rPr>
          <w:rFonts w:cs="Times New Roman"/>
          <w:i/>
          <w:iCs/>
          <w:szCs w:val="24"/>
        </w:rPr>
        <w:t>et al.</w:t>
      </w:r>
      <w:r w:rsidR="00A7251C" w:rsidRPr="00A7251C">
        <w:rPr>
          <w:rFonts w:cs="Times New Roman"/>
          <w:szCs w:val="24"/>
        </w:rPr>
        <w:t>, 2005)</w:t>
      </w:r>
      <w:r w:rsidR="00A7251C">
        <w:fldChar w:fldCharType="end"/>
      </w:r>
      <w:r w:rsidRPr="00AA22EE">
        <w:t xml:space="preserve"> report a positive effect of nitrogen fertiliser application upon AM root colonisation of the grass </w:t>
      </w:r>
      <w:proofErr w:type="spellStart"/>
      <w:r w:rsidRPr="00AA22EE">
        <w:rPr>
          <w:i/>
        </w:rPr>
        <w:t>Agrostis</w:t>
      </w:r>
      <w:proofErr w:type="spellEnd"/>
      <w:r w:rsidRPr="00AA22EE">
        <w:rPr>
          <w:i/>
        </w:rPr>
        <w:t xml:space="preserve"> </w:t>
      </w:r>
      <w:proofErr w:type="spellStart"/>
      <w:r w:rsidRPr="00AA22EE">
        <w:rPr>
          <w:i/>
        </w:rPr>
        <w:t>capillaris</w:t>
      </w:r>
      <w:proofErr w:type="spellEnd"/>
      <w:r w:rsidRPr="00AA22EE">
        <w:t xml:space="preserve"> in low phosphorus upland grassland plots. </w:t>
      </w:r>
    </w:p>
    <w:p w:rsidR="007E60E4" w:rsidRPr="00AA22EE" w:rsidRDefault="00D76319" w:rsidP="00DE54FD">
      <w:pPr>
        <w:rPr>
          <w:color w:val="131413"/>
        </w:rPr>
      </w:pPr>
      <w:r>
        <w:t>A growing number of studies have documented effects of land use intensity upon AMF communities</w:t>
      </w:r>
      <w:r w:rsidR="00A7251C">
        <w:t xml:space="preserve"> </w:t>
      </w:r>
      <w:r w:rsidR="00A7251C">
        <w:fldChar w:fldCharType="begin"/>
      </w:r>
      <w:r w:rsidR="00A7251C">
        <w:instrText xml:space="preserve"> ADDIN ZOTERO_ITEM CSL_CITATION {"citationID":"2kg40etfjf","properties":{"formattedCitation":"{\\rtf (Verbruggen {\\i{}et al.}, 2010; Fester &amp; Sawers, 2011)}","plainCitation":"(Verbruggen et al., 2010; Fester &amp; Sawers, 2011)"},"citationItems":[{"id":423,"uris":["http://zotero.org/users/local/d1gJDEOw/items/3ZDFKIAP"],"uri":["http://zotero.org/users/local/d1gJDEOw/items/3ZDFKIAP"],"itemData":{"id":423,"type":"article-journal","title":"Positive effects of organic farming on below-ground mutualists: large-scale comparison of mycorrhizal fungal communities in agricultural soils","container-title":"The New Phytologist","page":"968-979","volume":"186","issue":"4","source":"PubMed","abstract":"*The impact of various agricultural practices on soil biodiversity and, in particular, on arbuscular mycorrhizal fungi (AMF), is still poorly understood, although AMF can provide benefit to plants and ecosystems. Here, we tested whether organic farming enhances AMF diversity and whether AMF communities from organically managed fields are more similar to those of species-rich grasslands or conventionally managed fields. *To address this issue, the AMF community composition was assessed in 26 arable fields (13 pairs of organically and conventionally managed fields) and five semi-natural grasslands, all on sandy soil. Terminal restriction fragment length polymorphism community fingerprinting was used to characterize AMF community composition. *The average number of AMF taxa was highest in grasslands (8.8), intermediate in organically managed fields (6.4) and significantly lower in conventionally managed fields (3.9). Moreover, AMF richness increased significantly with the time since conversion to organic agriculture. AMF communities of organically managed fields were also more similar to those of natural grasslands when compared with those under conventional management, and were less uniform than their conventional counterparts, as expressed by higher beta-diversity (between-site diversity). *We suggest that organic management in agro-ecosystems contributes to the restoration and maintenance of these important below-ground mutualists.","DOI":"10.1111/j.1469-8137.2010.03230.x","ISSN":"1469-8137","note":"PMID: 20345633","shortTitle":"Positive effects of organic farming on below-ground mutualists","journalAbbreviation":"New Phytol.","language":"eng","author":[{"family":"Verbruggen","given":"Erik"},{"family":"Röling","given":"Wilfred F. M."},{"family":"Gamper","given":"Hannes A."},{"family":"Kowalchuk","given":"George A."},{"family":"Verhoef","given":"Herman A."},{"family":"Heijden","given":"Marcel G. A.","non-dropping-particle":"van der"}],"issued":{"date-parts":[["2010",6]]}}},{"id":140,"uris":["http://zotero.org/users/local/d1gJDEOw/items/9IE68PVG"],"uri":["http://zotero.org/users/local/d1gJDEOw/items/9IE68PVG"],"itemData":{"id":140,"type":"article-journal","title":"Progress and Challenges in Agricultural Applications of Arbuscular Mycorrhizal Fungi","container-title":"Critical Reviews in Plant Sciences","page":"459-470","volume":"30","issue":"5","source":"Taylor and Francis+NEJM","abstract":"Arbuscular mycorrhiza is a widespread interaction between plant roots and mutualistic fungi that both promotes plant mineral nutrition and supports stability in many natural ecosystems. Given the demand in current agriculture for these ecosystem services, it appears desirable to further integrate this interaction in current management schemes. While two different approaches can be identified in this regard, a number of problems have limited the agricultural application of mycorrhiza to date. In this review, the sensitivity of arbuscular mycorrhizal fungi to certain agricultural management methods, the functional variability of arbuscular mycorrhizal fungi, and the variability of plant responsiveness will be discussed in particular. In addition we will focus on recent advances in the study of mycorrhiza in natural ecosystems, and illustrate how such knowledge might be used to further the integration of arbuscular mycorrhizal fungi in agricultural regimes, and so increase the sustainability and robustness of current practice.","DOI":"10.1080/07352689.2011.605741","ISSN":"0735-2689","author":[{"family":"Fester","given":"T."},{"family":"Sawers","given":"R."}],"issued":{"date-parts":[["2011",9,1]]}}}],"schema":"https://github.com/citation-style-language/schema/raw/master/csl-citation.json"} </w:instrText>
      </w:r>
      <w:r w:rsidR="00A7251C">
        <w:fldChar w:fldCharType="separate"/>
      </w:r>
      <w:r w:rsidR="00A7251C" w:rsidRPr="00A7251C">
        <w:rPr>
          <w:rFonts w:cs="Times New Roman"/>
          <w:szCs w:val="24"/>
        </w:rPr>
        <w:t>(</w:t>
      </w:r>
      <w:proofErr w:type="spellStart"/>
      <w:r w:rsidR="00A7251C" w:rsidRPr="00A7251C">
        <w:rPr>
          <w:rFonts w:cs="Times New Roman"/>
          <w:szCs w:val="24"/>
        </w:rPr>
        <w:t>Verbruggen</w:t>
      </w:r>
      <w:proofErr w:type="spellEnd"/>
      <w:r w:rsidR="00A7251C" w:rsidRPr="00A7251C">
        <w:rPr>
          <w:rFonts w:cs="Times New Roman"/>
          <w:szCs w:val="24"/>
        </w:rPr>
        <w:t xml:space="preserve"> </w:t>
      </w:r>
      <w:r w:rsidR="00A7251C" w:rsidRPr="00A7251C">
        <w:rPr>
          <w:rFonts w:cs="Times New Roman"/>
          <w:i/>
          <w:iCs/>
          <w:szCs w:val="24"/>
        </w:rPr>
        <w:t>et al.</w:t>
      </w:r>
      <w:r w:rsidR="00A7251C" w:rsidRPr="00A7251C">
        <w:rPr>
          <w:rFonts w:cs="Times New Roman"/>
          <w:szCs w:val="24"/>
        </w:rPr>
        <w:t xml:space="preserve">, 2010; Fester &amp; </w:t>
      </w:r>
      <w:proofErr w:type="spellStart"/>
      <w:r w:rsidR="00A7251C" w:rsidRPr="00A7251C">
        <w:rPr>
          <w:rFonts w:cs="Times New Roman"/>
          <w:szCs w:val="24"/>
        </w:rPr>
        <w:t>Sawers</w:t>
      </w:r>
      <w:proofErr w:type="spellEnd"/>
      <w:r w:rsidR="00A7251C" w:rsidRPr="00A7251C">
        <w:rPr>
          <w:rFonts w:cs="Times New Roman"/>
          <w:szCs w:val="24"/>
        </w:rPr>
        <w:t>, 2011)</w:t>
      </w:r>
      <w:r w:rsidR="00A7251C">
        <w:fldChar w:fldCharType="end"/>
      </w:r>
      <w:r w:rsidR="007E60E4" w:rsidRPr="008C5F29">
        <w:t xml:space="preserve">. </w:t>
      </w:r>
      <w:r>
        <w:rPr>
          <w:color w:val="131413"/>
        </w:rPr>
        <w:t>Re</w:t>
      </w:r>
      <w:r w:rsidR="007E60E4" w:rsidRPr="008C5F29">
        <w:rPr>
          <w:color w:val="131413"/>
        </w:rPr>
        <w:t>cent studies provide evidence that intensive management practices not only reduce diversity but alter structure of fungal communities by applying a strong selective pressure for fungi with functional traits which are tolerant to stress from chemical application and hyphal disruption</w:t>
      </w:r>
      <w:r w:rsidR="00A7251C">
        <w:rPr>
          <w:color w:val="131413"/>
        </w:rPr>
        <w:t xml:space="preserve"> </w:t>
      </w:r>
      <w:r w:rsidR="00A7251C">
        <w:rPr>
          <w:color w:val="131413"/>
        </w:rPr>
        <w:fldChar w:fldCharType="begin"/>
      </w:r>
      <w:r w:rsidR="00A7251C">
        <w:rPr>
          <w:color w:val="131413"/>
        </w:rPr>
        <w:instrText xml:space="preserve"> ADDIN ZOTERO_ITEM CSL_CITATION {"citationID":"4ub99t0qq","properties":{"formattedCitation":"{\\rtf (Oehl {\\i{}et al.}, 2004; Gosling {\\i{}et al.}, 2006)}","plainCitation":"(Oehl et al., 2004; Gosling et al., 2006)"},"citationItems":[{"id":422,"uris":["http://zotero.org/users/local/d1gJDEOw/items/8ZSVHGWW"],"uri":["http://zotero.org/users/local/d1gJDEOw/items/8ZSVHGWW"],"itemData":{"id":422,"type":"article-journal","title":"Impact of long-term conventional and organic farming on the diversity of arbuscular mycorrhizal fungi","container-title":"Oecologia","page":"574-583","volume":"138","issue":"4","source":"CrossRef","DOI":"10.1007/s00442-003-1458-2","ISSN":"0029-8549, 1432-1939","author":[{"family":"Oehl","given":"Fritz"},{"family":"Sieverding","given":"Ewald"},{"family":"M</w:instrText>
      </w:r>
      <w:r w:rsidR="00A7251C">
        <w:rPr>
          <w:rFonts w:ascii="Tahoma" w:hAnsi="Tahoma" w:cs="Tahoma"/>
          <w:color w:val="131413"/>
        </w:rPr>
        <w:instrText>�</w:instrText>
      </w:r>
      <w:r w:rsidR="00A7251C">
        <w:rPr>
          <w:color w:val="131413"/>
        </w:rPr>
        <w:instrText xml:space="preserve">der","given":"Paul"},{"family":"Dubois","given":"David"},{"family":"Ineichen","given":"Kurt"},{"family":"Boller","given":"Thomas"},{"family":"Wiemken","given":"Andres"}],"issued":{"date-parts":[["2004",3,1]]}}},{"id":456,"uris":["http://zotero.org/users/local/d1gJDEOw/items/NJQG6MI8"],"uri":["http://zotero.org/users/local/d1gJDEOw/items/NJQG6MI8"],"itemData":{"id":456,"type":"article-journal","title":"Arbuscular mycorrhizal fungi and organic farming","container-title":"Agriculture, Ecosystems &amp; Environment","page":"17-35","volume":"113","issue":"1–4","source":"ScienceDirect","abstract":"Symbiotic associations between arbuscular mycorrhizal fungi and plant roots are widespread in the natural environment and can provide a range of benefits to the host plant. These include improved nutrition, enhanced resistance to soil-borne pests and disease, improved resistance to drought, tolerance of heavy metals and better soil structure. Many agricultural crops are mycorrhizal and there is widespread if equivocal evidence that crop plants benefit from the arbuscular mycorrhizal (AM) association in the same way. However, many agricultural practices including use of fertilisers and biocides, tillage, monocultures and the growing of non-mycorrhizal crops are detrimental to arbuscular mycorrhizal fungi (AMF). As a result, agroecosystems are impoverished in AMF and may not provide the full range of benefits to the crop. Organic farming systems may be less detrimental to AMF because they exclude the use of water-soluble fertilisers and most biocides and generally have diverse rotations. The evidence available suggests that this leads to increased AMF inoculum in soils, greater crop colonisation and enhanced nutrient uptake. AMF might therefore be able to substitute for reduced fertiliser and biocide inputs in organic systems, though there is little evidence for increased yield resulting from high rates of AMF colonisation in organic systems. This review examines the benefits that the AM association can have for agroecosystems and how farm management practices influence the AM association. Management options that may be employed to increase the benefits that AMF can bring to this type of farming system, such as changes to the rotation and careful use of tillage, are discussed.","DOI":"10.1016/j.agee.2005.09.009","ISSN":"0167-8809","journalAbbreviation":"Agriculture, Ecosystems &amp; Environment","author":[{"family":"Gosling","given":"P."},{"family":"Hodge","given":"A."},{"family":"Goodlass","given":"G."},{"family":"Bending","given":"G. D."}],"issued":{"date-parts":[["2006",4]]}}}],"schema":"https://github.com/citation-style-language/schema/raw/master/csl-citation.json"} </w:instrText>
      </w:r>
      <w:r w:rsidR="00A7251C">
        <w:rPr>
          <w:color w:val="131413"/>
        </w:rPr>
        <w:fldChar w:fldCharType="separate"/>
      </w:r>
      <w:r w:rsidR="00A7251C" w:rsidRPr="00A7251C">
        <w:rPr>
          <w:rFonts w:cs="Times New Roman"/>
          <w:szCs w:val="24"/>
        </w:rPr>
        <w:t>(</w:t>
      </w:r>
      <w:proofErr w:type="spellStart"/>
      <w:r w:rsidR="00A7251C" w:rsidRPr="00A7251C">
        <w:rPr>
          <w:rFonts w:cs="Times New Roman"/>
          <w:szCs w:val="24"/>
        </w:rPr>
        <w:t>Oehl</w:t>
      </w:r>
      <w:proofErr w:type="spellEnd"/>
      <w:r w:rsidR="00A7251C" w:rsidRPr="00A7251C">
        <w:rPr>
          <w:rFonts w:cs="Times New Roman"/>
          <w:szCs w:val="24"/>
        </w:rPr>
        <w:t xml:space="preserve"> </w:t>
      </w:r>
      <w:r w:rsidR="00A7251C" w:rsidRPr="00A7251C">
        <w:rPr>
          <w:rFonts w:cs="Times New Roman"/>
          <w:i/>
          <w:iCs/>
          <w:szCs w:val="24"/>
        </w:rPr>
        <w:t>et al.</w:t>
      </w:r>
      <w:r w:rsidR="00A7251C" w:rsidRPr="00A7251C">
        <w:rPr>
          <w:rFonts w:cs="Times New Roman"/>
          <w:szCs w:val="24"/>
        </w:rPr>
        <w:t xml:space="preserve">, 2004; Gosling </w:t>
      </w:r>
      <w:r w:rsidR="00A7251C" w:rsidRPr="00A7251C">
        <w:rPr>
          <w:rFonts w:cs="Times New Roman"/>
          <w:i/>
          <w:iCs/>
          <w:szCs w:val="24"/>
        </w:rPr>
        <w:t>et al.</w:t>
      </w:r>
      <w:r w:rsidR="00A7251C" w:rsidRPr="00A7251C">
        <w:rPr>
          <w:rFonts w:cs="Times New Roman"/>
          <w:szCs w:val="24"/>
        </w:rPr>
        <w:t>, 2006)</w:t>
      </w:r>
      <w:r w:rsidR="00A7251C">
        <w:rPr>
          <w:color w:val="131413"/>
        </w:rPr>
        <w:fldChar w:fldCharType="end"/>
      </w:r>
      <w:r w:rsidR="007E60E4" w:rsidRPr="008C5F29">
        <w:rPr>
          <w:color w:val="131413"/>
        </w:rPr>
        <w:t xml:space="preserve">. </w:t>
      </w:r>
      <w:r w:rsidR="007E60E4" w:rsidRPr="00AA22EE">
        <w:rPr>
          <w:color w:val="131413"/>
        </w:rPr>
        <w:t>The effect of such alterations to fungal community structure upon agro-ecosystem functioning remains to be elucidated however it has been suggested that generalist species may be less beneficial to agro-ecosystems due to traits such as increased investment of energy expenditure into spore production in comparison to nutrient foraging</w:t>
      </w:r>
      <w:r w:rsidR="00A7251C">
        <w:rPr>
          <w:color w:val="131413"/>
        </w:rPr>
        <w:t xml:space="preserve"> </w:t>
      </w:r>
      <w:r w:rsidR="00A7251C">
        <w:rPr>
          <w:color w:val="131413"/>
        </w:rPr>
        <w:fldChar w:fldCharType="begin"/>
      </w:r>
      <w:r w:rsidR="00A7251C">
        <w:rPr>
          <w:color w:val="131413"/>
        </w:rPr>
        <w:instrText xml:space="preserve"> ADDIN ZOTERO_ITEM CSL_CITATION {"citationID":"jo8hf7re1","properties":{"formattedCitation":"(Verbruggen &amp; Kiers, 2010)","plainCitation":"(Verbruggen &amp; Kiers, 2010)"},"citationItems":[{"id":1325,"uris":["http://zotero.org/users/local/d1gJDEOw/items/8HFVPAAM"],"uri":["http://zotero.org/users/local/d1gJDEOw/items/8HFVPAAM"],"itemData":{"id":1325,"type":"article-journal","title":"Evolutionary ecology of mycorrhizal functional diversity in agricultural systems","container-title":"Evolutionary Applications","page":"547-560","volume":"3","issue":"5-6","archive_location":"WOS:000281311700013","abstract":"The root systems of most agronomic crops are colonized by diverse assemblages of arbuscular mycorrhizal fungi (AMF), varying in the functional benefits (e.g. nutrient transfer, pathogen protection, water uptake) provided to hosts. Little is known about the evolutionary processes that shape the composition of these fungal assemblages, nor is it known whether more diverse assemblages are beneficial to crop productivity. In this review we aim to identify the evolutionary selection pressures that shape AMF diversity in agricultural systems and explore whether promotion of AMF diversity can convincingly be linked to increases in agricultural productivity and/or sustainability. We then ask whether farmers can (and should) actively modify evolutionary selection pressures to increase AMF functioning. We focus on three agriculturally imposed selection regimes: tillage, fertilization, and continuous monoculture. We find that the uniform nature of these practices strongly selects for dominance of few AMF species. These species exhibit predictable, generally non-beneficial traits, namely heavy investment in reproduction at the expense of nutrient scavenging and transfer processes that are beneficial for hosts. A number of focus-points are given based on empirical and theoretical evidence that could be utilized to slow down negative selection pressures on AMF functioning, therein increasing crop benefit.","DOI":"10.1111/j.1752-4571.2010.00145.x","ISSN":"1752-4571","shortTitle":"Evolutionary ecology of mycorrhizal functional diversity in agricultural systems","author":[{"family":"Verbruggen","given":"E."},{"family":"Kiers","given":"E. T."}],"issued":{"date-parts":[["2010",9]]}}}],"schema":"https://github.com/citation-style-language/schema/raw/master/csl-citation.json"} </w:instrText>
      </w:r>
      <w:r w:rsidR="00A7251C">
        <w:rPr>
          <w:color w:val="131413"/>
        </w:rPr>
        <w:fldChar w:fldCharType="separate"/>
      </w:r>
      <w:r w:rsidR="00A7251C" w:rsidRPr="00A7251C">
        <w:rPr>
          <w:rFonts w:cs="Times New Roman"/>
        </w:rPr>
        <w:t>(</w:t>
      </w:r>
      <w:proofErr w:type="spellStart"/>
      <w:r w:rsidR="00A7251C" w:rsidRPr="00A7251C">
        <w:rPr>
          <w:rFonts w:cs="Times New Roman"/>
        </w:rPr>
        <w:t>Verbruggen</w:t>
      </w:r>
      <w:proofErr w:type="spellEnd"/>
      <w:r w:rsidR="00A7251C" w:rsidRPr="00A7251C">
        <w:rPr>
          <w:rFonts w:cs="Times New Roman"/>
        </w:rPr>
        <w:t xml:space="preserve"> &amp; Kiers, 2010)</w:t>
      </w:r>
      <w:r w:rsidR="00A7251C">
        <w:rPr>
          <w:color w:val="131413"/>
        </w:rPr>
        <w:fldChar w:fldCharType="end"/>
      </w:r>
      <w:r w:rsidR="007E60E4" w:rsidRPr="00AA22EE">
        <w:rPr>
          <w:color w:val="131413"/>
        </w:rPr>
        <w:t xml:space="preserve">. </w:t>
      </w:r>
    </w:p>
    <w:p w:rsidR="007E60E4" w:rsidRPr="00AA22EE" w:rsidRDefault="007E60E4" w:rsidP="007E60E4">
      <w:pPr>
        <w:pStyle w:val="Heading4"/>
        <w:numPr>
          <w:ilvl w:val="3"/>
          <w:numId w:val="1"/>
        </w:numPr>
      </w:pPr>
      <w:r w:rsidRPr="00AA22EE">
        <w:t>Fungicides, pesticides and herbicides</w:t>
      </w:r>
    </w:p>
    <w:p w:rsidR="007E60E4" w:rsidRPr="00EC69F6" w:rsidRDefault="007E60E4" w:rsidP="00DE54FD">
      <w:pPr>
        <w:rPr>
          <w:color w:val="131413"/>
        </w:rPr>
      </w:pPr>
      <w:r>
        <w:rPr>
          <w:color w:val="131413"/>
        </w:rPr>
        <w:t xml:space="preserve">Agro-chemical application for crop protection may affect many non-target organisms in soils including AMF.  </w:t>
      </w:r>
      <w:r>
        <w:t xml:space="preserve">Despite being amongst the most widely applied fertilisers, effects of glyphosate upon AMF are still not fully understood with studies reporting mixed effects upon AMF </w:t>
      </w:r>
      <w:r>
        <w:fldChar w:fldCharType="begin"/>
      </w:r>
      <w:r w:rsidR="00954B3D">
        <w:instrText xml:space="preserve"> ADDIN ZOTERO_ITEM CSL_CITATION {"citationID":"11cp22kka2","properties":{"formattedCitation":"{\\rtf (Ronco {\\i{}et al.}, 2008; Druille {\\i{}et al.}, 2013)}","plainCitation":"(Ronco et al., 2008; Druille et al., 2013)"},"citationItems":[{"id":555,"uris":["http://zotero.org/users/local/d1gJDEOw/items/VJC7I3GR"],"uri":["http://zotero.org/users/local/d1gJDEOw/items/VJC7I3GR"],"itemData":{"id":555,"type":"article-journal","title":"Glyphosate and mycorrhization induce changes in plant growth and in root morphology and architecture in pepper plants (Capsicum annuum L.)","container-title":"The Journal of Horticultural Science and Biotechnology","page":"497-505","volume":"83","issue":"4","source":"Taylor and Francis+NEJM","abstract":"Mycorrhizal symbiosis is the mutually beneficial association between the roots of most land plants and many soil fungi. Glyphosate is the most commonly used herbicide for effective control of weeds. This broad-spectrum herbicide is exuded by the roots of treated crops and by senescing weeds, and absorbed by new crops, affecting their growth. We therefore examined the effects of glyphosate residues in the soil, and mycorrhization, on plant growth and root morphology in Capsicum annuum L. Plants were either non-inoculated or inoculated with Glomus mosseae, and grown with different concentrations of glyphosate in soil. Pepper plants grown without glyphosate behaved as mycotrophic species. At high doses, glyphosate (6.32 µM) reduced the extent of root colonisation (to 34%) and the percentage of arbuscule formation (to 50%), and inhibited vesicle formation. Alkaline phosphatase activity was not affected by the herbicide. Inoculated plants had a higher biomass, total height, and leaf area. At the highest concentrations, glyphosate-inoculated plants had double the biomass of non-inoculated plants. Chlorophyll and leaf protein contents were higher in inoculated than in non-inoculated plants at all glyphosate concentrations tested. Inoculated plants increased their root area by approx. 50% with or without glyphosate. The interaction of mycorrhization and glyphosate reduced the mitotic index, mitotic activity, and cell length in the root apices. The highest concentration of herbicide inhibited root branching, modified root morphology and root architecture, and affected growth parameters. Pepper plants tolerate high concentrations of glyphosate in the soil. Mycorrhization benefits plant growth and increases the root area, with a high number of lateral roots, regardless of herbicide concentration. Mycorrhization would be a favourable strategy to allow plants to cope with this abiotic stress condition.","DOI":"10.1080/14620316.2008.11512413","ISSN":"1462-0316","author":[{"family":"Ronco","given":"M. G."},{"family":"Ruscitti","given":"M. F."},{"family":"Arango","given":"M. C."},{"family":"Beltrano","given":"J."}],"issued":{"date-parts":[["2008",1,1]]}}},{"id":523,"uris":["http://zotero.org/users/local/d1gJDEOw/items/VRRHTX7U"],"uri":["http://zotero.org/users/local/d1gJDEOw/items/VRRHTX7U"],"itemData":{"id":523,"type":"article-journal","title":"Glyphosate reduces spore viability and root colonization of arbuscular mycorrhizal fungi","container-title":"Applied Soil Ecology","page":"99-103","volume":"64","source":"ScienceDirect","abstract":"Glyphosate is the most widely used herbicide in the world, but its effects on non-target organisms, such as arbuscular mycorrhizal fungi (AMF), are unclear. No studies have been found that made reference to effects of glyphosate on AMF spore viability despite its importance as a source of propagules for the perpetuation and spread of AMF in the system. The objective of this study was to evaluate the effect of glyphosate application on AMF spore viability, and their ability to colonize roots. Soil samples were collected from a grassland area located in the Flooding Pampa region (Argentina). We evaluated three herbicide rates: 0, 0.26 and 1× recommended field rate, 10 and 30 days after application. Part of the soil from each tray was used to estimate the spore viability, and the remainder was used as substrate for growing Lolium multiflorum Lam. One month after sowing, total root colonization and percentage of arbuscules and vesicles were determined. The spore viability in herbicide untreated soils was between 5.8- and 7.7-fold higher than in treated soils. This reduction was detected even when the lower rate was applied. Root colonization was significantly lower in plants grown in glyphosate treated soil than in untreated ones. A decrease in arbuscular colonization (but not in vesicles) was found in plants grown in soils treated with the highest herbicide rate. That would indicate that symbiosis functionality was affected, given that arbuscules are the main site for host–fungus nutrient exchange. The results indicate that soil residence time of glyphosate and/or its degradation products was enough to reduce AMF spore viability and their ability to colonize roots. This decrease in propagules viability may affect plant diversity, taking into account the different degrees of mycorrhizal dependency between plant species that may coexist in grassland communities.","DOI":"10.1016/j.apsoil.2012.10.007","ISSN":"0929-1393","journalAbbreviation":"Applied Soil Ecology","author":[{"family":"Druille","given":"Magdalena"},{"family":"Cabello","given":"Marta N."},{"family":"Omacini","given":"Marina"},{"family":"Golluscio","given":"Rodolfo A."}],"issued":{"date-parts":[["2013",2]]}}}],"schema":"https://github.com/citation-style-language/schema/raw/master/csl-citation.json"}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Ronco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2008; </w:t>
      </w:r>
      <w:proofErr w:type="spellStart"/>
      <w:r w:rsidR="00954B3D" w:rsidRPr="00954B3D">
        <w:rPr>
          <w:rFonts w:cs="Times New Roman"/>
          <w:szCs w:val="24"/>
        </w:rPr>
        <w:t>Druille</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2013)</w:t>
      </w:r>
      <w:r>
        <w:fldChar w:fldCharType="end"/>
      </w:r>
      <w:r>
        <w:t>.</w:t>
      </w:r>
      <w:r w:rsidR="00844B37">
        <w:t xml:space="preserve"> </w:t>
      </w:r>
      <w:r w:rsidRPr="00AA22EE">
        <w:rPr>
          <w:color w:val="131413"/>
        </w:rPr>
        <w:t xml:space="preserve">Fungicide application for the control of pathogenic fungi is known </w:t>
      </w:r>
      <w:r w:rsidR="00844B37">
        <w:rPr>
          <w:color w:val="131413"/>
        </w:rPr>
        <w:t xml:space="preserve">reduce hyphal abundance </w:t>
      </w:r>
      <w:r w:rsidRPr="00AA22EE">
        <w:rPr>
          <w:color w:val="131413"/>
        </w:rPr>
        <w:t>within soils</w:t>
      </w:r>
      <w:r w:rsidR="00A7251C">
        <w:rPr>
          <w:color w:val="131413"/>
        </w:rPr>
        <w:t xml:space="preserve"> </w:t>
      </w:r>
      <w:r w:rsidR="00A7251C">
        <w:rPr>
          <w:color w:val="131413"/>
        </w:rPr>
        <w:fldChar w:fldCharType="begin"/>
      </w:r>
      <w:r w:rsidR="00A7251C">
        <w:rPr>
          <w:color w:val="131413"/>
        </w:rPr>
        <w:instrText xml:space="preserve"> ADDIN ZOTERO_ITEM CSL_CITATION {"citationID":"ejqs16fv0","properties":{"formattedCitation":"{\\rtf (Wilson {\\i{}et al.}, 2009)}","plainCitation":"(Wilson et al., 2009)"},"citationItems":[{"id":166,"uris":["http://zotero.org/users/local/d1gJDEOw/items/3AZT9DIF"],"uri":["http://zotero.org/users/local/d1gJDEOw/items/3AZT9DIF"],"itemData":{"id":166,"type":"article-journal","title":"Soil aggregation and carbon sequestration are tightly correlated with the abundance of arbuscular mycorrhizal fungi: results from long-term field experiments","container-title":"Ecology Letters","page":"452-461","volume":"12","issue":"5","source":"Web of Science","abstract":"We examined the role of arbuscular mycorrhizal fungi (AMF) in ecosystems using soil aggregate stability and C and N storage as representative ecosystem processes. We utilized a wide gradient in AMF abundance, obtained through long-term (17 and 6 years) large-scale field manipulations. Burning and N-fertilization increased soil AMF hyphae, glomalin-related soil protein (GRSP) pools and water-stable macroaggregates while fungicide applications reduced AMF hyphae, GRSP and water-stable macroaggregates. We found that AMF abundance was a surprisingly dominant factor explaining the vast majority of variability in soil aggregation. This experimental field study, involving long-term diverse management practices of native multispecies prairie communities, invariably showed a close positive correlation between AMF hyphal abundance and soil aggregation, and C and N sequestration. This highly significant linear correlation suggests there are serious consequences to the loss of AMF from ecosystems.","DOI":"10.1111/j.1461-0248.2009.01303.x","ISSN":"1461-023X","note":"WOS:000265010400008","shortTitle":"Soil aggregation and carbon sequestration are tightly correlated with the abundance of arbuscular mycorrhizal fungi","journalAbbreviation":"Ecol. Lett.","language":"English","author":[{"family":"Wilson","given":"Gail W. T."},{"family":"Rice","given":"Charles W."},{"family":"Rillig","given":"Matthias C."},{"family":"Springer","given":"Adam"},{"family":"Hartnett","given":"David C."}],"issued":{"date-parts":[["2009",5]]}}}],"schema":"https://github.com/citation-style-language/schema/raw/master/csl-citation.json"} </w:instrText>
      </w:r>
      <w:r w:rsidR="00A7251C">
        <w:rPr>
          <w:color w:val="131413"/>
        </w:rPr>
        <w:fldChar w:fldCharType="separate"/>
      </w:r>
      <w:r w:rsidR="00A7251C" w:rsidRPr="00A7251C">
        <w:rPr>
          <w:rFonts w:cs="Times New Roman"/>
          <w:szCs w:val="24"/>
        </w:rPr>
        <w:t xml:space="preserve">(Wilson </w:t>
      </w:r>
      <w:r w:rsidR="00A7251C" w:rsidRPr="00A7251C">
        <w:rPr>
          <w:rFonts w:cs="Times New Roman"/>
          <w:i/>
          <w:iCs/>
          <w:szCs w:val="24"/>
        </w:rPr>
        <w:t>et al.</w:t>
      </w:r>
      <w:r w:rsidR="00A7251C" w:rsidRPr="00A7251C">
        <w:rPr>
          <w:rFonts w:cs="Times New Roman"/>
          <w:szCs w:val="24"/>
        </w:rPr>
        <w:t>, 2009)</w:t>
      </w:r>
      <w:r w:rsidR="00A7251C">
        <w:rPr>
          <w:color w:val="131413"/>
        </w:rPr>
        <w:fldChar w:fldCharType="end"/>
      </w:r>
      <w:r w:rsidRPr="00AA22EE">
        <w:rPr>
          <w:color w:val="131413"/>
        </w:rPr>
        <w:t>.</w:t>
      </w:r>
      <w:r w:rsidRPr="00AA22EE">
        <w:t xml:space="preserve"> Herbicides may also alter AM</w:t>
      </w:r>
      <w:r w:rsidR="00844B37">
        <w:t>F</w:t>
      </w:r>
      <w:r w:rsidRPr="00AA22EE">
        <w:t xml:space="preserve"> communities due to both direct effects upon fungi and indirectly by reducing host plant diversity. </w:t>
      </w:r>
      <w:r w:rsidR="00A7251C">
        <w:fldChar w:fldCharType="begin"/>
      </w:r>
      <w:r w:rsidR="00A7251C">
        <w:instrText xml:space="preserve"> ADDIN ZOTERO_ITEM CSL_CITATION {"citationID":"1v1gf445uu","properties":{"formattedCitation":"{\\rtf (Hamel {\\i{}et al.}, 1994)}","plainCitation":"(Hamel et al., 1994)"},"citationItems":[{"id":990,"uris":["http://zotero.org/users/local/d1gJDEOw/items/SWSUUC9S"],"uri":["http://zotero.org/users/local/d1gJDEOw/items/SWSUUC9S"],"itemData":{"id":990,"type":"article-journal","title":"MYCORRHIZAL COLONIZATION INCREASES HERBICIDE TOXICITY IN APPLE","container-title":"Journal of the American Society for Horticultural Science","page":"1255-1260","volume":"119","issue":"6","archive_location":"WOS:A1994PQ01500022","abstract":"Herbicides are increasingly used in orchards. Since apple trees strongly depend on mycorrhizae, the effects of three commonly used herbicides on the host plant and endophyte were examined. Symbiosis between tissue-cultured P16 apple rootstocks and Glomus versiforme (Karsten) Berch was established under greenhouse conditions. Simazine (1, 2, 10, and 20 mu g a.i./g), dichlobenil (1, 5, 10, and 25 mu g a.i./g) paraquat (0.5, 1, 10, and 100 mu g a.i./g), or water was applied to mycorrhizal and nonmycorrhizal plants as a soil drench. The response of mycorrhizal plants to herbicide was greater, and the relative elongation rate was more sharply reduced in mycorrhizal (76%) than in nonmycorrhizal plants (33%). Six weeks after herbicide application, dry mass reduction due to herbicides was similar (39% and 36%) for mycorrhizal and nonmycorrhizal plant shoots, respectively, while root dry mass reduction was larger for mycorrhizal (63%) than nonmycorrhizal plants (46%). None of the herbicide treatments affected root colonization. However, an in vitro hyphal elongation test with G. intraradices Schenck &amp; Smith and herbicide-amended (0, 1, 10, 100, and 1000;mu g a.i./g) gellan gum solidified water showed that either dichlobenil or paraquat, even at the lowest concentrations, could significantly reduce hyphal elongation. Simazine did not affect hyphal elongation in vitro, a result suggesting that improved absorption capacity of mycorrhizae explains, at least in part, the increased phytotoxicity of some herbicides. It was found that plant mortality was higher among mycorrhizal than nonmycorrhizal apple trees for all herbicide treatments. The increased CO2 assimilation rates of dichlobenil-treated mycorrhizal plants contrasted with the decreased rates of control plants measured 1 week after dichlobenil treatment. This indicates a physiological interaction between mycorrhizal colonization and dichlobenil in the toxic response of apple plants. Chemical names used: 2-chloro-4,6-bis-ethylamino-s-triazine (simazine), 2,6-dichlorobenzonitrile (dichlobenil), 1,1'-dimethyl-4,4'bipyridinium (paraquat).","ISSN":"0003-1062","shortTitle":"MYCORRHIZAL COLONIZATION INCREASES HERBICIDE TOXICITY IN APPLE","journalAbbreviation":"J. Am. Soc. Hortic. Sci.","language":"English","author":[{"family":"Hamel","given":"C."},{"family":"Morin","given":"F."},{"family":"Fortin","given":"A."},{"family":"Granger","given":"R. L."},{"family":"Smith","given":"D. L."}],"issued":{"date-parts":[["1994",11]]}}}],"schema":"https://github.com/citation-style-language/schema/raw/master/csl-citation.json"} </w:instrText>
      </w:r>
      <w:r w:rsidR="00A7251C">
        <w:fldChar w:fldCharType="separate"/>
      </w:r>
      <w:r w:rsidR="00A7251C" w:rsidRPr="00A7251C">
        <w:rPr>
          <w:rFonts w:cs="Times New Roman"/>
          <w:szCs w:val="24"/>
        </w:rPr>
        <w:t xml:space="preserve">Hamel </w:t>
      </w:r>
      <w:r w:rsidR="00A7251C" w:rsidRPr="00A7251C">
        <w:rPr>
          <w:rFonts w:cs="Times New Roman"/>
          <w:i/>
          <w:iCs/>
          <w:szCs w:val="24"/>
        </w:rPr>
        <w:t>et al.</w:t>
      </w:r>
      <w:r w:rsidR="00A7251C" w:rsidRPr="00A7251C">
        <w:rPr>
          <w:rFonts w:cs="Times New Roman"/>
          <w:szCs w:val="24"/>
        </w:rPr>
        <w:t xml:space="preserve"> </w:t>
      </w:r>
      <w:r w:rsidR="00A7251C">
        <w:rPr>
          <w:rFonts w:cs="Times New Roman"/>
          <w:szCs w:val="24"/>
        </w:rPr>
        <w:t>(</w:t>
      </w:r>
      <w:r w:rsidR="00A7251C" w:rsidRPr="00A7251C">
        <w:rPr>
          <w:rFonts w:cs="Times New Roman"/>
          <w:szCs w:val="24"/>
        </w:rPr>
        <w:t>1994)</w:t>
      </w:r>
      <w:r w:rsidR="00A7251C">
        <w:fldChar w:fldCharType="end"/>
      </w:r>
      <w:r w:rsidRPr="00AA22EE">
        <w:t xml:space="preserve"> examined the effect of three herbicides commonly used in apple orchards and found that although root colonisation was not affected by herbicide application, in vitro tests showed that application of as little as 1 µg g</w:t>
      </w:r>
      <w:r w:rsidRPr="00AA22EE">
        <w:rPr>
          <w:vertAlign w:val="superscript"/>
        </w:rPr>
        <w:t>-1</w:t>
      </w:r>
      <w:r w:rsidRPr="00AA22EE">
        <w:t xml:space="preserve"> of the herbicides </w:t>
      </w:r>
      <w:proofErr w:type="spellStart"/>
      <w:r w:rsidRPr="00AA22EE">
        <w:t>Paraquat</w:t>
      </w:r>
      <w:proofErr w:type="spellEnd"/>
      <w:r w:rsidRPr="00AA22EE">
        <w:t xml:space="preserve"> and </w:t>
      </w:r>
      <w:proofErr w:type="spellStart"/>
      <w:r w:rsidRPr="00AA22EE">
        <w:t>Dichlobenil</w:t>
      </w:r>
      <w:proofErr w:type="spellEnd"/>
      <w:r w:rsidRPr="00AA22EE">
        <w:t xml:space="preserve"> was sufficient to significantly reduce hyphal extension of the fungi </w:t>
      </w:r>
      <w:proofErr w:type="spellStart"/>
      <w:r>
        <w:rPr>
          <w:i/>
        </w:rPr>
        <w:t>Rhizophagus</w:t>
      </w:r>
      <w:proofErr w:type="spellEnd"/>
      <w:r w:rsidR="00FF7A3F">
        <w:rPr>
          <w:i/>
        </w:rPr>
        <w:t xml:space="preserve"> </w:t>
      </w:r>
      <w:proofErr w:type="spellStart"/>
      <w:r w:rsidR="00FF7A3F">
        <w:rPr>
          <w:i/>
        </w:rPr>
        <w:t>irregularis</w:t>
      </w:r>
      <w:proofErr w:type="spellEnd"/>
      <w:r w:rsidRPr="00AA22EE">
        <w:t xml:space="preserve"> which was isolated from orchard soils. </w:t>
      </w:r>
    </w:p>
    <w:p w:rsidR="007E60E4" w:rsidRPr="000F7D57" w:rsidRDefault="007E60E4" w:rsidP="007E60E4">
      <w:pPr>
        <w:pStyle w:val="Heading3"/>
        <w:rPr>
          <w:rFonts w:cs="Times New Roman"/>
        </w:rPr>
      </w:pPr>
      <w:bookmarkStart w:id="64" w:name="_Toc463208982"/>
      <w:bookmarkStart w:id="65" w:name="_Toc469855007"/>
      <w:bookmarkStart w:id="66" w:name="_Toc469856007"/>
      <w:bookmarkStart w:id="67" w:name="_Toc469931916"/>
      <w:bookmarkStart w:id="68" w:name="_Toc469982238"/>
      <w:r w:rsidRPr="00AA22EE">
        <w:rPr>
          <w:rFonts w:cs="Times New Roman"/>
        </w:rPr>
        <w:t>Tillage</w:t>
      </w:r>
      <w:bookmarkEnd w:id="64"/>
      <w:bookmarkEnd w:id="65"/>
      <w:bookmarkEnd w:id="66"/>
      <w:bookmarkEnd w:id="67"/>
      <w:bookmarkEnd w:id="68"/>
    </w:p>
    <w:p w:rsidR="007E60E4" w:rsidRDefault="00844B37" w:rsidP="00DE54FD">
      <w:r>
        <w:t>Tillage physically disrupts AMF hyphal networks in the soil and is</w:t>
      </w:r>
      <w:r w:rsidR="007E60E4" w:rsidRPr="00AA22EE">
        <w:t xml:space="preserve"> r</w:t>
      </w:r>
      <w:r>
        <w:t>eported to reduce</w:t>
      </w:r>
      <w:r w:rsidR="007E60E4" w:rsidRPr="00AA22EE">
        <w:t xml:space="preserve"> fungal biomass </w:t>
      </w:r>
      <w:r w:rsidR="007E60E4" w:rsidRPr="00AA22EE">
        <w:fldChar w:fldCharType="begin"/>
      </w:r>
      <w:r w:rsidR="007E60E4" w:rsidRPr="00AA22EE">
        <w:instrText xml:space="preserve"> ADDIN EN.CITE &lt;EndNote&gt;&lt;Cite&gt;&lt;Author&gt;Frey&lt;/Author&gt;&lt;Year&gt;1999&lt;/Year&gt;&lt;IDText&gt;Bacterial and fungal abundance and biomass in conventional and no-tillage agroecosystems along two climatic gradients&lt;/IDText&gt;&lt;DisplayText&gt;(Frey, Elliott and Paustian 1999)&lt;/DisplayText&gt;&lt;record&gt;&lt;dates&gt;&lt;pub-dates&gt;&lt;date&gt;Apr&lt;/date&gt;&lt;/pub-dates&gt;&lt;year&gt;1999&lt;/year&gt;&lt;/dates&gt;&lt;urls&gt;&lt;related-urls&gt;&lt;url&gt;&amp;lt;Go to ISI&amp;gt;://WOS:000079310800011&lt;/url&gt;&lt;/related-urls&gt;&lt;/urls&gt;&lt;isbn&gt;0038-0717&lt;/isbn&gt;&lt;titles&gt;&lt;title&gt;Bacterial and fungal abundance and biomass in conventional and no-tillage agroecosystems along two climatic gradients&lt;/title&gt;&lt;secondary-title&gt;Soil Biology &amp;amp; Biochemistry&lt;/secondary-title&gt;&lt;/titles&gt;&lt;pages&gt;573-585&lt;/pages&gt;&lt;number&gt;4&lt;/number&gt;&lt;contributors&gt;&lt;authors&gt;&lt;author&gt;Frey, S. D.&lt;/author&gt;&lt;author&gt;Elliott, E. T.&lt;/author&gt;&lt;author&gt;Paustian, K.&lt;/author&gt;&lt;/authors&gt;&lt;/contributors&gt;&lt;added-date format="utc"&gt;1355092153&lt;/added-date&gt;&lt;ref-type name="Journal Article"&gt;17&lt;/ref-type&gt;&lt;rec-number&gt;152&lt;/rec-number&gt;&lt;last-updated-date format="utc"&gt;1355092153&lt;/last-updated-date&gt;&lt;accession-num&gt;WOS:000079310800011&lt;/accession-num&gt;&lt;electronic-resource-num&gt;10.1016/s0038-0717(98)00161-8&lt;/electronic-resource-num&gt;&lt;volume&gt;31&lt;/volume&gt;&lt;/record&gt;&lt;/Cite&gt;&lt;/EndNote&gt;</w:instrText>
      </w:r>
      <w:r w:rsidR="007E60E4" w:rsidRPr="00AA22EE">
        <w:fldChar w:fldCharType="separate"/>
      </w:r>
      <w:r w:rsidR="007E60E4" w:rsidRPr="00AA22EE">
        <w:rPr>
          <w:noProof/>
        </w:rPr>
        <w:t>(Frey, Elliott and Paustian 1999)</w:t>
      </w:r>
      <w:r w:rsidR="007E60E4" w:rsidRPr="00AA22EE">
        <w:fldChar w:fldCharType="end"/>
      </w:r>
      <w:r w:rsidR="007E60E4" w:rsidRPr="00AA22EE">
        <w:t>, AM</w:t>
      </w:r>
      <w:r>
        <w:t>F</w:t>
      </w:r>
      <w:r w:rsidR="007E60E4" w:rsidRPr="00AA22EE">
        <w:t xml:space="preserve"> root colonisation</w:t>
      </w:r>
      <w:r w:rsidR="00A7251C">
        <w:t xml:space="preserve"> </w:t>
      </w:r>
      <w:r w:rsidR="00A7251C">
        <w:fldChar w:fldCharType="begin"/>
      </w:r>
      <w:r w:rsidR="00A7251C">
        <w:instrText xml:space="preserve"> ADDIN ZOTERO_ITEM CSL_CITATION {"citationID":"15hh6c5cfk","properties":{"formattedCitation":"{\\rtf (McGonigle {\\i{}et al.}, 1999)}","plainCitation":"(McGonigle et al., 1999)"},"citationItems":[{"id":1106,"uris":["http://zotero.org/users/local/d1gJDEOw/items/6MNXWM6Q"],"uri":["http://zotero.org/users/local/d1gJDEOw/items/6MNXWM6Q"],"itemData":{"id":1106,"type":"article-journal","title":"Mycorrhizae, crop growth, and crop phosphorus nutrition in maize-soybean rotations given various tillage treatments","container-title":"Plant and Soil","page":"33-42","volume":"210","issue":"1","archive_location":"WOS:000082531300004","abstract":"Previously, tillage has been found to reduce early-season phosphorus (P) uptake from soil in continuous maize cropping systems. This reduced P uptake has often been associated with delayed colonization of roots by arbuscular mycorrhizal (AM) fungi. Our aim was to determine if similar responses occur in maize-soybean rotations, which are more typical of current farming in Ontario, Canada. Similar responses were expected because both are AM crops, and the mechanism by which tillage reduces P uptake is thought to be a negative impact on the development of effective mycorrhizae. Simultaneous field experiments with either maize-soybean-maize or soybean-maize-soybean rotations were conducted in 1992-4. Treatments imposed were no-till (NT), ridge-tillage (RT), and conventional tillage using a moldboard plow (MP). In 1993, early-season dry mass of maize was similar among treatments, but colonization of maize roots by AM fungi and P uptake of maize were stimulated by NT and RT, compared with MP. In 1994, early growth was more rapid overall than in 1993, but it was reduced in the NT and RT treatments compared with MP for reasons not related to P. For soybean, AM colonization in NT and RT systems was higher than with MP, but P uptake was unchanged. As was found for maize in 1994, early-season shoot dry mass of soybean was higher in the MP treatment than with NT, but both in 1993 and 1994. We conclude that colonization of both maize and soybean by AM fungi is susceptible to slower development in tilled systems, and that for maize, stimulation of P uptake under reduced tillage can occur in rotations with soybean just as easily as it does with continuous maize. Taken with other studies, the data here suggest that responses to tillage of colonization of roots by AM fungi and of P uptake could apply to many cropping systems. The slow early-season shoot growth seen in some years in response to reduced tillage is discussed.","DOI":"10.1023/a:1004633512450","ISSN":"0032-079X","shortTitle":"Mycorrhizae, crop growth, and crop phosphorus nutrition in maize-soybean rotations given various tillage treatments","author":[{"family":"McGonigle","given":"T. P."},{"family":"Miller","given":"M. H."},{"family":"Young","given":"D."}],"issued":{"date-parts":[["1999"]]}}}],"schema":"https://github.com/citation-style-language/schema/raw/master/csl-citation.json"} </w:instrText>
      </w:r>
      <w:r w:rsidR="00A7251C">
        <w:fldChar w:fldCharType="separate"/>
      </w:r>
      <w:r w:rsidR="00A7251C" w:rsidRPr="00A7251C">
        <w:rPr>
          <w:rFonts w:cs="Times New Roman"/>
          <w:szCs w:val="24"/>
        </w:rPr>
        <w:t>(</w:t>
      </w:r>
      <w:proofErr w:type="spellStart"/>
      <w:r w:rsidR="00A7251C" w:rsidRPr="00A7251C">
        <w:rPr>
          <w:rFonts w:cs="Times New Roman"/>
          <w:szCs w:val="24"/>
        </w:rPr>
        <w:t>McGonigle</w:t>
      </w:r>
      <w:proofErr w:type="spellEnd"/>
      <w:r w:rsidR="00A7251C" w:rsidRPr="00A7251C">
        <w:rPr>
          <w:rFonts w:cs="Times New Roman"/>
          <w:szCs w:val="24"/>
        </w:rPr>
        <w:t xml:space="preserve"> </w:t>
      </w:r>
      <w:r w:rsidR="00A7251C" w:rsidRPr="00A7251C">
        <w:rPr>
          <w:rFonts w:cs="Times New Roman"/>
          <w:i/>
          <w:iCs/>
          <w:szCs w:val="24"/>
        </w:rPr>
        <w:t>et al.</w:t>
      </w:r>
      <w:r w:rsidR="00A7251C" w:rsidRPr="00A7251C">
        <w:rPr>
          <w:rFonts w:cs="Times New Roman"/>
          <w:szCs w:val="24"/>
        </w:rPr>
        <w:t>, 1999)</w:t>
      </w:r>
      <w:r w:rsidR="00A7251C">
        <w:fldChar w:fldCharType="end"/>
      </w:r>
      <w:r w:rsidR="007E60E4" w:rsidRPr="00AA22EE">
        <w:t xml:space="preserve"> and spore production</w:t>
      </w:r>
      <w:r w:rsidR="00A7251C">
        <w:t xml:space="preserve"> </w:t>
      </w:r>
      <w:r w:rsidR="00A7251C">
        <w:fldChar w:fldCharType="begin"/>
      </w:r>
      <w:r w:rsidR="00A7251C">
        <w:instrText xml:space="preserve"> ADDIN ZOTERO_ITEM CSL_CITATION {"citationID":"cefv3ljdo","properties":{"formattedCitation":"{\\rtf (Roldan {\\i{}et al.}, 2007)}","plainCitation":"(Roldan et al., 2007)"},"citationItems":[{"id":1222,"uris":["http://zotero.org/users/local/d1gJDEOw/items/BXBSJ3G8"],"uri":["http://zotero.org/users/local/d1gJDEOw/items/BXBSJ3G8"],"itemData":{"id":1222,"type":"article-journal","title":"Soil sustainability indicators following conservation tillage practices under subtropical maize and bean crops","container-title":"Soil &amp; Tillage Research","page":"273-282","volume":"93","issue":"2","archive_location":"WOS:000244850400005","abstract":"Conservation management systems such as no tillage may enhance sequestration of soil C. The soil properties that contribute to soil C storage under such systems are still largely unknown, especially in subtropical agroecosystems. We investigated the influence of tillage [mouldboard plough (MP) and no tillage (NT)] on soil organic C, microbial biomass and activity, structural stability and mycorrhizal status of a field cultivated with maize (Zea mays L.) or bean (Phaseolus vulgaris L.) on a Vertisol in Northern Tamaulipas, Mexico. Crop type, tillage system and soil depth had a significant effect on soil organic C, aggregate stability and bulk density. Soil organic C, microbial biomass C and N and dehydrogenase and phosphatase activities were greater with NT than with MP, particularly under bean cultivation. In the 0-5 cm layer, microbial biomass C and N were, on average, about 87 and 51% greater in the soils cultivated with bean and maize, respectively, under NT than under MP. Higher levels of mycorrhizal propagules, glomalin related soil protein (GRSP) and stable aggregates were produced under NT than under MP in both crops. The no-tillage system can be considered an effective management practice for carrying out sustainable agriculture under subtropical conditions, due to its improvement of soil physical and biochemical quality and soil C sequestration. (c) 2006 Elsevier B.V. All rights reserved.","DOI":"10.1016/j.still.2006.05.001","ISSN":"0167-1987","shortTitle":"Soil sustainability indicators following conservation tillage practices under subtropical maize and bean crops","author":[{"family":"Roldan","given":"A."},{"family":"Salinas-Garcia","given":"J. R."},{"family":"Alguacil","given":"M. M."},{"family":"Caravaca","given":"F."}],"issued":{"date-parts":[["2007",4]]}}}],"schema":"https://github.com/citation-style-language/schema/raw/master/csl-citation.json"} </w:instrText>
      </w:r>
      <w:r w:rsidR="00A7251C">
        <w:fldChar w:fldCharType="separate"/>
      </w:r>
      <w:r w:rsidR="00A7251C" w:rsidRPr="00A7251C">
        <w:rPr>
          <w:rFonts w:cs="Times New Roman"/>
          <w:szCs w:val="24"/>
        </w:rPr>
        <w:t xml:space="preserve">(Roldan </w:t>
      </w:r>
      <w:r w:rsidR="00A7251C" w:rsidRPr="00A7251C">
        <w:rPr>
          <w:rFonts w:cs="Times New Roman"/>
          <w:i/>
          <w:iCs/>
          <w:szCs w:val="24"/>
        </w:rPr>
        <w:t>et al.</w:t>
      </w:r>
      <w:r w:rsidR="00A7251C" w:rsidRPr="00A7251C">
        <w:rPr>
          <w:rFonts w:cs="Times New Roman"/>
          <w:szCs w:val="24"/>
        </w:rPr>
        <w:t>, 2007)</w:t>
      </w:r>
      <w:r w:rsidR="00A7251C">
        <w:fldChar w:fldCharType="end"/>
      </w:r>
      <w:r>
        <w:t xml:space="preserve"> and taxa richness </w:t>
      </w:r>
      <w:r>
        <w:fldChar w:fldCharType="begin"/>
      </w:r>
      <w:r>
        <w:instrText xml:space="preserve"> ADDIN ZOTERO_ITEM CSL_CITATION {"citationID":"1r9ol7riet","properties":{"formattedCitation":"{\\rtf (Helgason {\\i{}et al.}, 1998)}","plainCitation":"(Helgason et al., 1998)"},"citationItems":[{"id":156,"uris":["http://zotero.org/users/local/d1gJDEOw/items/9I8TGD8S"],"uri":["http://zotero.org/users/local/d1gJDEOw/items/9I8TGD8S"],"itemData":{"id":156,"type":"article-journal","title":"Ploughing up the wood-wide web?","container-title":"Nature","page":"431-431","volume":"394","issue":"6692","source":"www.nature.com","abstract":"Key species groups that affect major ecological processes are vital components of community diversity. Many such key groups are found in the soil, including the mycorrhizal fungi that may connect plants into a functional \"wood-wide web\". Arbuscular mycorrhizal associations are formed by fungi of the order Glomales with 90% of land plant families, and many arbuscular mycorrhizal fungi are thought to have a broad host range. Here we show that, despite this broad host range, the diversity of arbuscular mycorrhizal fungi is strikingly low in arable sites compared with a woodland.","DOI":"10.1038/28764","ISSN":"0028-0836","journalAbbreviation":"Nature","language":"en","author":[{"family":"Helgason","given":"T."},{"family":"Daniell","given":"T. J."},{"family":"Husband","given":"R."},{"family":"Fitter","given":"A. H."},{"family":"Young","given":"J. P. W."}],"issued":{"date-parts":[["1998",7,30]]}}}],"schema":"https://github.com/citation-style-language/schema/raw/master/csl-citation.json"} </w:instrText>
      </w:r>
      <w:r>
        <w:fldChar w:fldCharType="separate"/>
      </w:r>
      <w:r w:rsidRPr="00844B37">
        <w:rPr>
          <w:rFonts w:cs="Times New Roman"/>
          <w:szCs w:val="24"/>
        </w:rPr>
        <w:t>(</w:t>
      </w:r>
      <w:proofErr w:type="spellStart"/>
      <w:r w:rsidRPr="00844B37">
        <w:rPr>
          <w:rFonts w:cs="Times New Roman"/>
          <w:szCs w:val="24"/>
        </w:rPr>
        <w:t>Helgason</w:t>
      </w:r>
      <w:proofErr w:type="spellEnd"/>
      <w:r w:rsidRPr="00844B37">
        <w:rPr>
          <w:rFonts w:cs="Times New Roman"/>
          <w:szCs w:val="24"/>
        </w:rPr>
        <w:t xml:space="preserve"> </w:t>
      </w:r>
      <w:r w:rsidRPr="00844B37">
        <w:rPr>
          <w:rFonts w:cs="Times New Roman"/>
          <w:i/>
          <w:iCs/>
          <w:szCs w:val="24"/>
        </w:rPr>
        <w:t>et al.</w:t>
      </w:r>
      <w:r w:rsidRPr="00844B37">
        <w:rPr>
          <w:rFonts w:cs="Times New Roman"/>
          <w:szCs w:val="24"/>
        </w:rPr>
        <w:t>, 1998)</w:t>
      </w:r>
      <w:r>
        <w:fldChar w:fldCharType="end"/>
      </w:r>
      <w:r w:rsidR="007E60E4" w:rsidRPr="00AA22EE">
        <w:t xml:space="preserve">. </w:t>
      </w:r>
      <w:r>
        <w:t xml:space="preserve">Impact of </w:t>
      </w:r>
      <w:r w:rsidR="007E60E4" w:rsidRPr="00AA22EE">
        <w:t xml:space="preserve"> tillage upon AM</w:t>
      </w:r>
      <w:r>
        <w:t>F</w:t>
      </w:r>
      <w:r w:rsidR="007E60E4" w:rsidRPr="00AA22EE">
        <w:t xml:space="preserve"> communities have now been reported in</w:t>
      </w:r>
      <w:r>
        <w:t xml:space="preserve"> across a range of soil types in</w:t>
      </w:r>
      <w:r w:rsidR="007E60E4" w:rsidRPr="00AA22EE">
        <w:t xml:space="preserve"> in temperate </w:t>
      </w:r>
      <w:r w:rsidR="00CF5BD0">
        <w:fldChar w:fldCharType="begin"/>
      </w:r>
      <w:r w:rsidR="00CF5BD0">
        <w:instrText xml:space="preserve"> ADDIN ZOTERO_ITEM CSL_CITATION {"citationID":"ccf5glcpm","properties":{"formattedCitation":"{\\rtf (Jansa {\\i{}et al.}, 2002, 2003)}","plainCitation":"(Jansa et al., 2002, 2003)"},"citationItems":[{"id":1021,"uris":["http://zotero.org/users/local/d1gJDEOw/items/JE7A6PHZ"],"uri":["http://zotero.org/users/local/d1gJDEOw/items/JE7A6PHZ"],"itemData":{"id":1021,"type":"article-journal","title":"Diversity and structure of AMF communities as affected by tillage in a temperate soil","container-title":"Mycorrhiza","page":"225-234","volume":"12","issue":"5","archive_location":"WOS:000179030000001","abstract":"Arbuscular mycorrhizal fungi (AMF) were studied in differently tilled soils from a long-term field experiment in Switzerland. Diversity and structure of AMF communities were surveyed either directly on spores isolated from the field soil or on spores isolated from trap cultures, planted with different host plants. Single-spore cultures were established from the AMF spores obtained from trap cultures. Identification of the AMF was made by observation of spore morphology and confirmed by sequencing of ITS rDNA. At least 17 recognised AMF species were identified in samples from field and/or trap cultures, belonging to five genera of AMF - Glomus, Gigaspora, Scutellospora, Acaulospora, and Entrophospora. Tillage had a significant influence on the sporulation of some species and non-Glomus AMF tended to be more abundant in the no-tilled soil. The community structure of AMF in the field soil was significantly affected by tillage treatment. However, no significant differences in AMF diversity were detected among different soil tillage treatments. AMF community composition in trap cultures was affected much more by the species of the trap plant than by the original tillage treatment of the field soil. The use of trap cultures for fungal diversity estimation in comparison with direct observation of field samples is discussed.","DOI":"10.1007/s005572-002-0163-z","ISSN":"0940-6360","shortTitle":"Diversity and structure of AMF communities as affected by tillage in a temperate soil","author":[{"family":"Jansa","given":"J."},{"family":"Mozafar","given":"A."},{"family":"Anken","given":"T."},{"family":"Ruh","given":"R."},{"family":"Sanders","given":"I. R."},{"family":"Frossard","given":"E."}],"issued":{"date-parts":[["2002",10]]}}},{"id":603,"uris":["http://zotero.org/users/local/d1gJDEOw/items/NJXTB8E4"],"uri":["http://zotero.org/users/local/d1gJDEOw/items/NJXTB8E4"],"itemData":{"id":603,"type":"article-journal","title":"Soil Tillage Affects the Community Structure of Mycorrhizal Fungi in Maize Roots","container-title":"Ecological Applications","page":"1164-1176","volume":"13","issue":"4","source":"Wiley Online Library","abstract":"In this study we tested whether communities of arbuscular mycorrhizal fungi (AMF) colonizing the roots of maize (Zea mays L.) were affected by soil tillage practices (plowing, chiseling, and no-till) in a long-term field experiment carried out in Tänikon (Switzerland). AMF were identified in the roots using specific polymerase chain reaction (PCR) markers that had been developed for the AMF previously isolated from the soils of the studied site. A nested PCR procedure with primers of increased specificity (eukaryotic, then fungal, then AMF species or species-group specific) was used. Sequencing of amplified DNA confirmed that the DNA obtained from the maize roots was of AMF origin. Presence of particular AMF species or species-group was scored as a presence of a DNA product after PCR with specific primers. We also used single-strand conformation polymorphism analysis (SSCP) of amplified DNA samples to check if the amplification of the DNA from maize roots matched the expected profile for a particular AMF isolate with a given specific primer pair. Presence of the genus Scutellospora in maize roots was strongly reduced in plowed and chiseled soils. Fungi from the suborder Glomineae were more prevalent colonizers of maize roots growing in plowed soils, but were also present in the roots from other tillage treatments. These changes in community of AMF colonizing maize roots might be due to (1) the differences in tolerance to the tillage-induced disruption of the hyphae among the different AMF species, (2) changes in nutrient content of the soil, (3) changes in microbial activity, or (4) changes in weed populations in response to soil tillage. This is the first report on community composition of AMF in the roots of a field-grown crop plant (maize) as affected by soil tillage.","DOI":"10.1890/1051-0761(2003)13[1164:STATCS]2.0.CO;2","ISSN":"1939-5582","language":"en","author":[{"family":"Jansa","given":"J."},{"family":"Mozafar","given":"A."},{"family":"Kuhn","given":"G."},{"family":"Anken","given":"T."},{"family":"Ruh","given":"R."},{"family":"Sanders","given":"I. R."},{"family":"Frossard","given":"E."}],"issued":{"date-parts":[["2003",8,1]]}}}],"schema":"https://github.com/citation-style-language/schema/raw/master/csl-citation.json"} </w:instrText>
      </w:r>
      <w:r w:rsidR="00CF5BD0">
        <w:fldChar w:fldCharType="separate"/>
      </w:r>
      <w:r w:rsidR="00CF5BD0" w:rsidRPr="00CF5BD0">
        <w:rPr>
          <w:rFonts w:cs="Times New Roman"/>
          <w:szCs w:val="24"/>
        </w:rPr>
        <w:t>(</w:t>
      </w:r>
      <w:proofErr w:type="spellStart"/>
      <w:r w:rsidR="00CF5BD0" w:rsidRPr="00CF5BD0">
        <w:rPr>
          <w:rFonts w:cs="Times New Roman"/>
          <w:szCs w:val="24"/>
        </w:rPr>
        <w:t>Jansa</w:t>
      </w:r>
      <w:proofErr w:type="spellEnd"/>
      <w:r w:rsidR="00CF5BD0" w:rsidRPr="00CF5BD0">
        <w:rPr>
          <w:rFonts w:cs="Times New Roman"/>
          <w:szCs w:val="24"/>
        </w:rPr>
        <w:t xml:space="preserve"> </w:t>
      </w:r>
      <w:r w:rsidR="00CF5BD0" w:rsidRPr="00CF5BD0">
        <w:rPr>
          <w:rFonts w:cs="Times New Roman"/>
          <w:i/>
          <w:iCs/>
          <w:szCs w:val="24"/>
        </w:rPr>
        <w:t>et al.</w:t>
      </w:r>
      <w:r w:rsidR="00CF5BD0" w:rsidRPr="00CF5BD0">
        <w:rPr>
          <w:rFonts w:cs="Times New Roman"/>
          <w:szCs w:val="24"/>
        </w:rPr>
        <w:t>, 2002, 2003)</w:t>
      </w:r>
      <w:r w:rsidR="00CF5BD0">
        <w:fldChar w:fldCharType="end"/>
      </w:r>
      <w:r w:rsidR="007E60E4" w:rsidRPr="00AA22EE">
        <w:rPr>
          <w:b/>
        </w:rPr>
        <w:t xml:space="preserve"> </w:t>
      </w:r>
      <w:r w:rsidR="007E60E4" w:rsidRPr="00AA22EE">
        <w:t>sub-tropical</w:t>
      </w:r>
      <w:r w:rsidR="008568CF">
        <w:t xml:space="preserve"> </w:t>
      </w:r>
      <w:r w:rsidR="008568CF">
        <w:fldChar w:fldCharType="begin"/>
      </w:r>
      <w:r w:rsidR="008568CF">
        <w:instrText xml:space="preserve"> ADDIN ZOTERO_ITEM CSL_CITATION {"citationID":"228hpe9gst","properties":{"formattedCitation":"{\\rtf (Alguacil {\\i{}et al.}, 2008)}","plainCitation":"(Alguacil et al., 2008)"},"citationItems":[{"id":520,"uris":["http://zotero.org/users/local/d1gJDEOw/items/UMFRVB2I"],"uri":["http://zotero.org/users/local/d1gJDEOw/items/UMFRVB2I"],"itemData":{"id":520,"type":"article-journal","title":"The Impact of Tillage Practices on Arbuscular Mycorrhizal Fungal Diversity in Subtropical Crops","container-title":"Ecological Applications","page":"527-536","volume":"18","issue":"2","source":"Wiley Online Library","abstract":"Arbuscular mycorrhizal fungi (AMF) are a main component of soil microbiota in most agrosystems. As obligately mutualistic symbionts, they colonize the roots of the majority of plants, including crop plants. We used molecular techniques to investigate how different tillage systems (moldboard, shred-bedding, subsoil-bedding, and no tillage) can influence the AM fungal community colonizing maize, bean, and sorghum roots in an experimental site located in northern Tamaulipas, Mexico. Roots from 36 plants were analyzed using AM fungal-specific primers to partially amplify the small subunit (SSU) of the ribosomal DNA genes. More than 880 clones were screened for restriction fragment length polymorphism (RFLP) variation, and 173 of these were sequenced. Ten AM fungal types were identified and clustered into three AM fungal families: Gigasporaceae, Glomaceae, and Paraglomaceae. Glomus was the dominating taxon in all the samples. Four of the 10 identified types were distinct from any previously published sequences and could correspond to either known unsequenced species or unknown species. The fungal diversity was low in the four agriculture management systems, but the multidimensional scaling (MDS) analysis and log-linear-saturated model indicated that the composition of the AMF community was significantly affected by the tillage system. In conclusion, since some fungal types were treatment specific, agricultural practices could directly or indirectly influence AM biodiversity.","DOI":"10.1890/07-0521.1","ISSN":"1939-5582","language":"en","author":[{"family":"Alguacil","given":"M. M."},{"family":"Lumini","given":"E."},{"family":"Roldán","given":"A."},{"family":"Salinas-García","given":"J. R."},{"family":"Bonfante","given":"P."},{"family":"Bianciotto","given":"V."}],"issued":{"date-parts":[["2008",1,1]]}}}],"schema":"https://github.com/citation-style-language/schema/raw/master/csl-citation.json"} </w:instrText>
      </w:r>
      <w:r w:rsidR="008568CF">
        <w:fldChar w:fldCharType="separate"/>
      </w:r>
      <w:r w:rsidR="008568CF" w:rsidRPr="008568CF">
        <w:rPr>
          <w:rFonts w:cs="Times New Roman"/>
          <w:szCs w:val="24"/>
        </w:rPr>
        <w:t>(</w:t>
      </w:r>
      <w:proofErr w:type="spellStart"/>
      <w:r w:rsidR="008568CF" w:rsidRPr="008568CF">
        <w:rPr>
          <w:rFonts w:cs="Times New Roman"/>
          <w:szCs w:val="24"/>
        </w:rPr>
        <w:t>Alguacil</w:t>
      </w:r>
      <w:proofErr w:type="spellEnd"/>
      <w:r w:rsidR="008568CF" w:rsidRPr="008568CF">
        <w:rPr>
          <w:rFonts w:cs="Times New Roman"/>
          <w:szCs w:val="24"/>
        </w:rPr>
        <w:t xml:space="preserve"> </w:t>
      </w:r>
      <w:r w:rsidR="008568CF" w:rsidRPr="008568CF">
        <w:rPr>
          <w:rFonts w:cs="Times New Roman"/>
          <w:i/>
          <w:iCs/>
          <w:szCs w:val="24"/>
        </w:rPr>
        <w:t>et al.</w:t>
      </w:r>
      <w:r w:rsidR="008568CF" w:rsidRPr="008568CF">
        <w:rPr>
          <w:rFonts w:cs="Times New Roman"/>
          <w:szCs w:val="24"/>
        </w:rPr>
        <w:t>, 2008)</w:t>
      </w:r>
      <w:r w:rsidR="008568CF">
        <w:fldChar w:fldCharType="end"/>
      </w:r>
      <w:r w:rsidR="007E60E4" w:rsidRPr="00AA22EE">
        <w:t xml:space="preserve"> and tropical</w:t>
      </w:r>
      <w:r w:rsidR="00011B24">
        <w:t xml:space="preserve"> </w:t>
      </w:r>
      <w:r w:rsidR="00011B24">
        <w:fldChar w:fldCharType="begin"/>
      </w:r>
      <w:r w:rsidR="00011B24">
        <w:instrText xml:space="preserve"> ADDIN ZOTERO_ITEM CSL_CITATION {"citationID":"8ineptq9s","properties":{"formattedCitation":"(Boddington &amp; Dodd, 2000)","plainCitation":"(Boddington &amp; Dodd, 2000)"},"citationItems":[{"id":868,"uris":["http://zotero.org/users/local/d1gJDEOw/items/SS7E7WB8"],"uri":["http://zotero.org/users/local/d1gJDEOw/items/SS7E7WB8"],"itemData":{"id":868,"type":"article-journal","title":"The effect of agricultural practices on the development of indigenous arbuscular mycorrhizal fungi. II. Studies in experimental microcosms","container-title":"Plant and Soil","page":"145-157","volume":"218","issue":"1-2","archive_location":"WOS:000085307600015","abstract":"Two glasshouse experiments were performed to assess the development and metabolic activity of mycorrhizas formed by isolates of arbuscular mycorrhizal fungi (AMF) from three different genera, Acaulospora, Gigaspora and Glomus on Desmodium ovalifolium L. plants. In the first experiment the effect of disturbance of a pre-established extra-radical mycelium (ERM) was studied. In the second experiment the effect of phosphate addition as either organic matter (OM) or fertiliser was studied. Disturbance of a pre-established ERM reduced the formation of mycorrhizas by Gigaspora rosea (BEG111) and increased that by Glomus manihotis (BEG112) on D. ovalifolium plants. Acaulospora tuberculata (BEG41) failed to form mycorrhizas in the experiment. Either Gi. rosea (BEG111) or G. manihotis (BEG112) appeared to be the major component of the colonisation resulting from treatments with combinations of two or three of the AMF and determined the sensitivity of these treatments to disturbance of a pre-established ERM. The addition of phosphate fertiliser (10 mg P kg(-1)) reduced mycorrhiza formation by each species of AMF compared with the addition of OM (10 mg P kg(-1)). This work indicates that AMF from different genera respond differently to management by agricultural practices when in association with a tropical legume. Clearly, there is potential to alter the formation of mycorrhizas of AMF from different genera, through the use of agricultural practices. The significance of the development and metabolic activity of mycorrhizas formed by AMF from different genera for plant growth is discussed.","DOI":"10.1023/a:1014911318284","ISSN":"0032-079X","shortTitle":"The effect of agricultural practices on the development of indigenous arbuscular mycorrhizal fungi. II. Studies in experimental microcosms","author":[{"family":"Boddington","given":"C. L."},{"family":"Dodd","given":"J. C."}],"issued":{"date-parts":[["2000"]]}}}],"schema":"https://github.com/citation-style-language/schema/raw/master/csl-citation.json"} </w:instrText>
      </w:r>
      <w:r w:rsidR="00011B24">
        <w:fldChar w:fldCharType="separate"/>
      </w:r>
      <w:r w:rsidR="00011B24" w:rsidRPr="00011B24">
        <w:rPr>
          <w:rFonts w:cs="Times New Roman"/>
        </w:rPr>
        <w:t>(Boddington &amp; Dodd, 2000)</w:t>
      </w:r>
      <w:r w:rsidR="00011B24">
        <w:fldChar w:fldCharType="end"/>
      </w:r>
      <w:r w:rsidR="007E60E4" w:rsidRPr="00AA22EE">
        <w:t xml:space="preserve"> regions. Tillage  modifies the structure of AM</w:t>
      </w:r>
      <w:r w:rsidR="00C51141">
        <w:t>F</w:t>
      </w:r>
      <w:r w:rsidR="007E60E4" w:rsidRPr="00AA22EE">
        <w:t xml:space="preserve"> communities by favouring species which are able to </w:t>
      </w:r>
      <w:r w:rsidR="00C51141">
        <w:t>tolerate</w:t>
      </w:r>
      <w:r w:rsidR="007E60E4" w:rsidRPr="00AA22EE">
        <w:t xml:space="preserve"> disturbance</w:t>
      </w:r>
      <w:r w:rsidR="00011B24">
        <w:t xml:space="preserve"> </w:t>
      </w:r>
      <w:r w:rsidR="00011B24">
        <w:fldChar w:fldCharType="begin"/>
      </w:r>
      <w:r w:rsidR="00011B24">
        <w:instrText xml:space="preserve"> ADDIN ZOTERO_ITEM CSL_CITATION {"citationID":"gegohaoh5","properties":{"formattedCitation":"{\\rtf (Douds {\\i{}et al.}, 1995)}","plainCitation":"(Douds et al., 1995)"},"citationItems":[{"id":923,"uris":["http://zotero.org/users/local/d1gJDEOw/items/ACFEGT3W"],"uri":["http://zotero.org/users/local/d1gJDEOw/items/ACFEGT3W"],"itemData":{"id":923,"type":"article-journal","title":"EFFECT OF TILLAGE AND FARMING SYSTEM UPON POPULATIONS AND DISTRIBUTION OF VESICULAR-ARBUSCULAR MYCORRHIZAL FUNGI","container-title":"Agriculture Ecosystems &amp; Environment","page":"111-118","volume":"52","issue":"2-3","archive_location":"WOS:A1995QJ62100004","abstract":"Conventional and low-input Zea mays L./Glycine max (L.) Merr./Triticum aestivum L. rotations were established in 1988 with tillage treatments ranging from no-till to moldboard plowing. Sampling for vesicular-arbuscular mycorrhizal (VAM) fungi was conducted in October, 1992, after a soybean crop, and in May, 1993 during winter wheat reproductive development. Soil cores were removed to a depth of 27 cm and divided into 9 cm sections. Spores were isolated from this soil, characterized, and quantified. Field soil was used for an infectivity assay in the greenhouse using Paspalum notatum Flugge as host plant. Farming system significantly affected populations of VAM fungi. Soil in low-input agriculture had greater populations of Glomus occultum type group spores and other Glomus spp., whereas the conventionally farmed soil had greater populations of Glomus etunicatum type group spores. Tillage regime affected populations. The G. occultum group was more numerous under no-till, while the Glomus spp. and G. etunicatum groups were more numerous in soils under cultivation. The G. occultum group also was more numerous in the deepest soil section, whereas other groups were more numerous in the top and middle sections. Soil from low input plots produced greater colonization in the greenhouse assay than soil from conventionally farmed plots.","DOI":"10.1016/0167-8809(94)00550-x","ISSN":"0167-8809","shortTitle":"EFFECT OF TILLAGE AND FARMING SYSTEM UPON POPULATIONS AND DISTRIBUTION OF VESICULAR-ARBUSCULAR MYCORRHIZAL FUNGI","author":[{"family":"Douds","given":"D. D."},{"family":"Galvez","given":"L."},{"family":"Janke","given":"R. R."},{"family":"Wagoner","given":"P."}],"issued":{"date-parts":[["1995",2]]}}}],"schema":"https://github.com/citation-style-language/schema/raw/master/csl-citation.json"} </w:instrText>
      </w:r>
      <w:r w:rsidR="00011B24">
        <w:fldChar w:fldCharType="separate"/>
      </w:r>
      <w:r w:rsidR="00011B24" w:rsidRPr="00011B24">
        <w:rPr>
          <w:rFonts w:cs="Times New Roman"/>
          <w:szCs w:val="24"/>
        </w:rPr>
        <w:t>(</w:t>
      </w:r>
      <w:proofErr w:type="spellStart"/>
      <w:r w:rsidR="00011B24" w:rsidRPr="00011B24">
        <w:rPr>
          <w:rFonts w:cs="Times New Roman"/>
          <w:szCs w:val="24"/>
        </w:rPr>
        <w:t>Douds</w:t>
      </w:r>
      <w:proofErr w:type="spellEnd"/>
      <w:r w:rsidR="00011B24" w:rsidRPr="00011B24">
        <w:rPr>
          <w:rFonts w:cs="Times New Roman"/>
          <w:szCs w:val="24"/>
        </w:rPr>
        <w:t xml:space="preserve"> </w:t>
      </w:r>
      <w:r w:rsidR="00011B24" w:rsidRPr="00011B24">
        <w:rPr>
          <w:rFonts w:cs="Times New Roman"/>
          <w:i/>
          <w:iCs/>
          <w:szCs w:val="24"/>
        </w:rPr>
        <w:t>et al.</w:t>
      </w:r>
      <w:r w:rsidR="00011B24" w:rsidRPr="00011B24">
        <w:rPr>
          <w:rFonts w:cs="Times New Roman"/>
          <w:szCs w:val="24"/>
        </w:rPr>
        <w:t>, 1995)</w:t>
      </w:r>
      <w:r w:rsidR="00011B24">
        <w:fldChar w:fldCharType="end"/>
      </w:r>
      <w:r w:rsidR="007E60E4" w:rsidRPr="00AA22EE">
        <w:t xml:space="preserve">. This was demonstrated in a recent study by </w:t>
      </w:r>
      <w:r w:rsidR="00CF5BD0">
        <w:lastRenderedPageBreak/>
        <w:fldChar w:fldCharType="begin"/>
      </w:r>
      <w:r w:rsidR="00CF5BD0">
        <w:instrText xml:space="preserve"> ADDIN ZOTERO_ITEM CSL_CITATION {"citationID":"2n1asosm1a","properties":{"formattedCitation":"{\\rtf (Jansa {\\i{}et al.}, 2003)}","plainCitation":"(Jansa et al., 2003)"},"citationItems":[{"id":603,"uris":["http://zotero.org/users/local/d1gJDEOw/items/NJXTB8E4"],"uri":["http://zotero.org/users/local/d1gJDEOw/items/NJXTB8E4"],"itemData":{"id":603,"type":"article-journal","title":"Soil Tillage Affects the Community Structure of Mycorrhizal Fungi in Maize Roots","container-title":"Ecological Applications","page":"1164-1176","volume":"13","issue":"4","source":"Wiley Online Library","abstract":"In this study we tested whether communities of arbuscular mycorrhizal fungi (AMF) colonizing the roots of maize (Zea mays L.) were affected by soil tillage practices (plowing, chiseling, and no-till) in a long-term field experiment carried out in Tänikon (Switzerland). AMF were identified in the roots using specific polymerase chain reaction (PCR) markers that had been developed for the AMF previously isolated from the soils of the studied site. A nested PCR procedure with primers of increased specificity (eukaryotic, then fungal, then AMF species or species-group specific) was used. Sequencing of amplified DNA confirmed that the DNA obtained from the maize roots was of AMF origin. Presence of particular AMF species or species-group was scored as a presence of a DNA product after PCR with specific primers. We also used single-strand conformation polymorphism analysis (SSCP) of amplified DNA samples to check if the amplification of the DNA from maize roots matched the expected profile for a particular AMF isolate with a given specific primer pair. Presence of the genus Scutellospora in maize roots was strongly reduced in plowed and chiseled soils. Fungi from the suborder Glomineae were more prevalent colonizers of maize roots growing in plowed soils, but were also present in the roots from other tillage treatments. These changes in community of AMF colonizing maize roots might be due to (1) the differences in tolerance to the tillage-induced disruption of the hyphae among the different AMF species, (2) changes in nutrient content of the soil, (3) changes in microbial activity, or (4) changes in weed populations in response to soil tillage. This is the first report on community composition of AMF in the roots of a field-grown crop plant (maize) as affected by soil tillage.","DOI":"10.1890/1051-0761(2003)13[1164:STATCS]2.0.CO;2","ISSN":"1939-5582","language":"en","author":[{"family":"Jansa","given":"J."},{"family":"Mozafar","given":"A."},{"family":"Kuhn","given":"G."},{"family":"Anken","given":"T."},{"family":"Ruh","given":"R."},{"family":"Sanders","given":"I. R."},{"family":"Frossard","given":"E."}],"issued":{"date-parts":[["2003",8,1]]}}}],"schema":"https://github.com/citation-style-language/schema/raw/master/csl-citation.json"} </w:instrText>
      </w:r>
      <w:r w:rsidR="00CF5BD0">
        <w:fldChar w:fldCharType="separate"/>
      </w:r>
      <w:r w:rsidR="00CF5BD0" w:rsidRPr="00CF5BD0">
        <w:rPr>
          <w:rFonts w:cs="Times New Roman"/>
          <w:szCs w:val="24"/>
        </w:rPr>
        <w:t>(</w:t>
      </w:r>
      <w:proofErr w:type="spellStart"/>
      <w:r w:rsidR="00CF5BD0" w:rsidRPr="00CF5BD0">
        <w:rPr>
          <w:rFonts w:cs="Times New Roman"/>
          <w:szCs w:val="24"/>
        </w:rPr>
        <w:t>Jansa</w:t>
      </w:r>
      <w:proofErr w:type="spellEnd"/>
      <w:r w:rsidR="00CF5BD0" w:rsidRPr="00CF5BD0">
        <w:rPr>
          <w:rFonts w:cs="Times New Roman"/>
          <w:szCs w:val="24"/>
        </w:rPr>
        <w:t xml:space="preserve"> </w:t>
      </w:r>
      <w:r w:rsidR="00CF5BD0" w:rsidRPr="00CF5BD0">
        <w:rPr>
          <w:rFonts w:cs="Times New Roman"/>
          <w:i/>
          <w:iCs/>
          <w:szCs w:val="24"/>
        </w:rPr>
        <w:t>et al.</w:t>
      </w:r>
      <w:r w:rsidR="00CF5BD0" w:rsidRPr="00CF5BD0">
        <w:rPr>
          <w:rFonts w:cs="Times New Roman"/>
          <w:szCs w:val="24"/>
        </w:rPr>
        <w:t>, 2003)</w:t>
      </w:r>
      <w:r w:rsidR="00CF5BD0">
        <w:fldChar w:fldCharType="end"/>
      </w:r>
      <w:r w:rsidR="007E60E4" w:rsidRPr="00AA22EE">
        <w:t xml:space="preserve"> which used molecular methods to compare AM</w:t>
      </w:r>
      <w:r w:rsidR="00C51141">
        <w:t>F</w:t>
      </w:r>
      <w:r w:rsidR="007E60E4" w:rsidRPr="00AA22EE">
        <w:t xml:space="preserve"> diversity between maize fields managed under different intensities of tillage and found a severe reduction in AM diversity with </w:t>
      </w:r>
      <w:r w:rsidR="00C51141">
        <w:t>the most intensive</w:t>
      </w:r>
      <w:r w:rsidR="007E60E4" w:rsidRPr="00AA22EE">
        <w:t xml:space="preserve"> tillage</w:t>
      </w:r>
      <w:r w:rsidR="00C51141">
        <w:t xml:space="preserve"> practices</w:t>
      </w:r>
      <w:r w:rsidR="007E60E4" w:rsidRPr="00AA22EE">
        <w:t xml:space="preserve">. Regular soil disturbance was found to result in increased abundance of </w:t>
      </w:r>
      <w:r w:rsidR="007E60E4" w:rsidRPr="00AA22EE">
        <w:rPr>
          <w:i/>
        </w:rPr>
        <w:t xml:space="preserve">Glomus </w:t>
      </w:r>
      <w:proofErr w:type="spellStart"/>
      <w:r w:rsidR="00DE54FD">
        <w:t>sp</w:t>
      </w:r>
      <w:proofErr w:type="spellEnd"/>
      <w:r w:rsidR="00DE54FD">
        <w:t xml:space="preserve"> whilst in non-</w:t>
      </w:r>
      <w:r w:rsidR="007E60E4" w:rsidRPr="00AA22EE">
        <w:t xml:space="preserve">tilled soils communities were more diverse and in particular contained a higher abundance of </w:t>
      </w:r>
      <w:proofErr w:type="spellStart"/>
      <w:r w:rsidR="007E60E4" w:rsidRPr="00AA22EE">
        <w:rPr>
          <w:i/>
        </w:rPr>
        <w:t>Scutellospora</w:t>
      </w:r>
      <w:proofErr w:type="spellEnd"/>
      <w:r w:rsidR="007E60E4" w:rsidRPr="00AA22EE">
        <w:t xml:space="preserve"> sp. Differences in AM soil communities were attributed to the effect of tillage upon hyphal disturbance, nutrient content, weed populations and microbial activity</w:t>
      </w:r>
      <w:r w:rsidR="00CF5BD0">
        <w:t xml:space="preserve"> </w:t>
      </w:r>
      <w:r w:rsidR="00CF5BD0">
        <w:fldChar w:fldCharType="begin"/>
      </w:r>
      <w:r w:rsidR="00CF5BD0">
        <w:instrText xml:space="preserve"> ADDIN ZOTERO_ITEM CSL_CITATION {"citationID":"2k3lerunnv","properties":{"formattedCitation":"{\\rtf (Jansa {\\i{}et al.}, 2003)}","plainCitation":"(Jansa et al., 2003)"},"citationItems":[{"id":603,"uris":["http://zotero.org/users/local/d1gJDEOw/items/NJXTB8E4"],"uri":["http://zotero.org/users/local/d1gJDEOw/items/NJXTB8E4"],"itemData":{"id":603,"type":"article-journal","title":"Soil Tillage Affects the Community Structure of Mycorrhizal Fungi in Maize Roots","container-title":"Ecological Applications","page":"1164-1176","volume":"13","issue":"4","source":"Wiley Online Library","abstract":"In this study we tested whether communities of arbuscular mycorrhizal fungi (AMF) colonizing the roots of maize (Zea mays L.) were affected by soil tillage practices (plowing, chiseling, and no-till) in a long-term field experiment carried out in Tänikon (Switzerland). AMF were identified in the roots using specific polymerase chain reaction (PCR) markers that had been developed for the AMF previously isolated from the soils of the studied site. A nested PCR procedure with primers of increased specificity (eukaryotic, then fungal, then AMF species or species-group specific) was used. Sequencing of amplified DNA confirmed that the DNA obtained from the maize roots was of AMF origin. Presence of particular AMF species or species-group was scored as a presence of a DNA product after PCR with specific primers. We also used single-strand conformation polymorphism analysis (SSCP) of amplified DNA samples to check if the amplification of the DNA from maize roots matched the expected profile for a particular AMF isolate with a given specific primer pair. Presence of the genus Scutellospora in maize roots was strongly reduced in plowed and chiseled soils. Fungi from the suborder Glomineae were more prevalent colonizers of maize roots growing in plowed soils, but were also present in the roots from other tillage treatments. These changes in community of AMF colonizing maize roots might be due to (1) the differences in tolerance to the tillage-induced disruption of the hyphae among the different AMF species, (2) changes in nutrient content of the soil, (3) changes in microbial activity, or (4) changes in weed populations in response to soil tillage. This is the first report on community composition of AMF in the roots of a field-grown crop plant (maize) as affected by soil tillage.","DOI":"10.1890/1051-0761(2003)13[1164:STATCS]2.0.CO;2","ISSN":"1939-5582","language":"en","author":[{"family":"Jansa","given":"J."},{"family":"Mozafar","given":"A."},{"family":"Kuhn","given":"G."},{"family":"Anken","given":"T."},{"family":"Ruh","given":"R."},{"family":"Sanders","given":"I. R."},{"family":"Frossard","given":"E."}],"issued":{"date-parts":[["2003",8,1]]}}}],"schema":"https://github.com/citation-style-language/schema/raw/master/csl-citation.json"} </w:instrText>
      </w:r>
      <w:r w:rsidR="00CF5BD0">
        <w:fldChar w:fldCharType="separate"/>
      </w:r>
      <w:r w:rsidR="00CF5BD0" w:rsidRPr="00CF5BD0">
        <w:rPr>
          <w:rFonts w:cs="Times New Roman"/>
          <w:szCs w:val="24"/>
        </w:rPr>
        <w:t>(</w:t>
      </w:r>
      <w:proofErr w:type="spellStart"/>
      <w:r w:rsidR="00CF5BD0" w:rsidRPr="00CF5BD0">
        <w:rPr>
          <w:rFonts w:cs="Times New Roman"/>
          <w:szCs w:val="24"/>
        </w:rPr>
        <w:t>Jansa</w:t>
      </w:r>
      <w:proofErr w:type="spellEnd"/>
      <w:r w:rsidR="00CF5BD0" w:rsidRPr="00CF5BD0">
        <w:rPr>
          <w:rFonts w:cs="Times New Roman"/>
          <w:szCs w:val="24"/>
        </w:rPr>
        <w:t xml:space="preserve"> </w:t>
      </w:r>
      <w:r w:rsidR="00CF5BD0" w:rsidRPr="00CF5BD0">
        <w:rPr>
          <w:rFonts w:cs="Times New Roman"/>
          <w:i/>
          <w:iCs/>
          <w:szCs w:val="24"/>
        </w:rPr>
        <w:t>et al.</w:t>
      </w:r>
      <w:r w:rsidR="00CF5BD0" w:rsidRPr="00CF5BD0">
        <w:rPr>
          <w:rFonts w:cs="Times New Roman"/>
          <w:szCs w:val="24"/>
        </w:rPr>
        <w:t>, 2003)</w:t>
      </w:r>
      <w:r w:rsidR="00CF5BD0">
        <w:fldChar w:fldCharType="end"/>
      </w:r>
      <w:r w:rsidR="007E60E4" w:rsidRPr="00AA22EE">
        <w:t>.  Similarly</w:t>
      </w:r>
      <w:r w:rsidR="00011B24">
        <w:t xml:space="preserve"> </w:t>
      </w:r>
      <w:r w:rsidR="00011B24">
        <w:fldChar w:fldCharType="begin"/>
      </w:r>
      <w:r w:rsidR="00011B24">
        <w:instrText xml:space="preserve"> ADDIN ZOTERO_ITEM CSL_CITATION {"citationID":"14s1j8qi2c","properties":{"formattedCitation":"{\\rtf (Helgason {\\i{}et al.}, 1998)}","plainCitation":"(Helgason et al., 1998)"},"citationItems":[{"id":156,"uris":["http://zotero.org/users/local/d1gJDEOw/items/9I8TGD8S"],"uri":["http://zotero.org/users/local/d1gJDEOw/items/9I8TGD8S"],"itemData":{"id":156,"type":"article-journal","title":"Ploughing up the wood-wide web?","container-title":"Nature","page":"431-431","volume":"394","issue":"6692","source":"www.nature.com","abstract":"Key species groups that affect major ecological processes are vital components of community diversity. Many such key groups are found in the soil, including the mycorrhizal fungi that may connect plants into a functional \"wood-wide web\". Arbuscular mycorrhizal associations are formed by fungi of the order Glomales with 90% of land plant families, and many arbuscular mycorrhizal fungi are thought to have a broad host range. Here we show that, despite this broad host range, the diversity of arbuscular mycorrhizal fungi is strikingly low in arable sites compared with a woodland.","DOI":"10.1038/28764","ISSN":"0028-0836","journalAbbreviation":"Nature","language":"en","author":[{"family":"Helgason","given":"T."},{"family":"Daniell","given":"T. J."},{"family":"Husband","given":"R."},{"family":"Fitter","given":"A. H."},{"family":"Young","given":"J. P. W."}],"issued":{"date-parts":[["1998",7,30]]}}}],"schema":"https://github.com/citation-style-language/schema/raw/master/csl-citation.json"} </w:instrText>
      </w:r>
      <w:r w:rsidR="00011B24">
        <w:fldChar w:fldCharType="separate"/>
      </w:r>
      <w:r w:rsidR="00011B24" w:rsidRPr="00011B24">
        <w:rPr>
          <w:rFonts w:cs="Times New Roman"/>
          <w:szCs w:val="24"/>
        </w:rPr>
        <w:t>(</w:t>
      </w:r>
      <w:proofErr w:type="spellStart"/>
      <w:r w:rsidR="00011B24" w:rsidRPr="00011B24">
        <w:rPr>
          <w:rFonts w:cs="Times New Roman"/>
          <w:szCs w:val="24"/>
        </w:rPr>
        <w:t>Helgason</w:t>
      </w:r>
      <w:proofErr w:type="spellEnd"/>
      <w:r w:rsidR="00011B24" w:rsidRPr="00011B24">
        <w:rPr>
          <w:rFonts w:cs="Times New Roman"/>
          <w:szCs w:val="24"/>
        </w:rPr>
        <w:t xml:space="preserve"> </w:t>
      </w:r>
      <w:r w:rsidR="00011B24" w:rsidRPr="00011B24">
        <w:rPr>
          <w:rFonts w:cs="Times New Roman"/>
          <w:i/>
          <w:iCs/>
          <w:szCs w:val="24"/>
        </w:rPr>
        <w:t>et al.</w:t>
      </w:r>
      <w:r w:rsidR="00011B24" w:rsidRPr="00011B24">
        <w:rPr>
          <w:rFonts w:cs="Times New Roman"/>
          <w:szCs w:val="24"/>
        </w:rPr>
        <w:t>, 1998)</w:t>
      </w:r>
      <w:r w:rsidR="00011B24">
        <w:fldChar w:fldCharType="end"/>
      </w:r>
      <w:r w:rsidR="007E60E4" w:rsidRPr="00AA22EE">
        <w:t xml:space="preserve"> compared fungal diversity between ploughed arable land and woodland using molecular methods and found that arable field showed a large reduction in fungal diversity with communities dominated by the species</w:t>
      </w:r>
      <w:r w:rsidR="007E60E4">
        <w:rPr>
          <w:i/>
        </w:rPr>
        <w:t xml:space="preserve"> </w:t>
      </w:r>
      <w:proofErr w:type="spellStart"/>
      <w:r w:rsidR="00CC66C9">
        <w:rPr>
          <w:i/>
        </w:rPr>
        <w:t>Rhizophagus</w:t>
      </w:r>
      <w:proofErr w:type="spellEnd"/>
      <w:r w:rsidR="00CC66C9">
        <w:rPr>
          <w:i/>
        </w:rPr>
        <w:t xml:space="preserve"> </w:t>
      </w:r>
      <w:proofErr w:type="spellStart"/>
      <w:r w:rsidR="00CC66C9">
        <w:rPr>
          <w:i/>
        </w:rPr>
        <w:t>irregularis</w:t>
      </w:r>
      <w:proofErr w:type="spellEnd"/>
      <w:r w:rsidR="007E60E4" w:rsidRPr="00AA22EE">
        <w:rPr>
          <w:i/>
        </w:rPr>
        <w:t xml:space="preserve">. </w:t>
      </w:r>
      <w:r w:rsidR="007E60E4" w:rsidRPr="00AA22EE">
        <w:t>It was suggested that the ability of this species to both produce large numbers of spores and to colonise rapidly from spores accounted f</w:t>
      </w:r>
      <w:r w:rsidR="00DE54FD">
        <w:t>or its success in arable soils.</w:t>
      </w:r>
    </w:p>
    <w:p w:rsidR="007E60E4" w:rsidRPr="000F7D57" w:rsidRDefault="007E60E4" w:rsidP="007E60E4">
      <w:pPr>
        <w:pStyle w:val="Heading3"/>
        <w:rPr>
          <w:rFonts w:cs="Times New Roman"/>
        </w:rPr>
      </w:pPr>
      <w:bookmarkStart w:id="69" w:name="_Toc463208983"/>
      <w:bookmarkStart w:id="70" w:name="_Toc469855008"/>
      <w:bookmarkStart w:id="71" w:name="_Toc469856008"/>
      <w:bookmarkStart w:id="72" w:name="_Toc469931917"/>
      <w:bookmarkStart w:id="73" w:name="_Toc469982239"/>
      <w:r w:rsidRPr="00AA22EE">
        <w:rPr>
          <w:rFonts w:cs="Times New Roman"/>
        </w:rPr>
        <w:t>Crop regimes and crop selection</w:t>
      </w:r>
      <w:bookmarkEnd w:id="69"/>
      <w:bookmarkEnd w:id="70"/>
      <w:bookmarkEnd w:id="71"/>
      <w:bookmarkEnd w:id="72"/>
      <w:bookmarkEnd w:id="73"/>
    </w:p>
    <w:p w:rsidR="007E60E4" w:rsidRDefault="007E60E4" w:rsidP="00DE54FD">
      <w:r w:rsidRPr="00AA22EE">
        <w:t>Crop management strategies are an important component of intensive agriculture for maintaining soil nutrien</w:t>
      </w:r>
      <w:r w:rsidR="00DE54FD">
        <w:t>ts and protecting against build-</w:t>
      </w:r>
      <w:r w:rsidRPr="00AA22EE">
        <w:t>up of pests</w:t>
      </w:r>
      <w:r w:rsidR="00C51141">
        <w:t>,</w:t>
      </w:r>
      <w:r w:rsidRPr="00AA22EE">
        <w:t xml:space="preserve"> however these strategies </w:t>
      </w:r>
      <w:r w:rsidR="00C51141">
        <w:t xml:space="preserve">may impact </w:t>
      </w:r>
      <w:r w:rsidRPr="00AA22EE">
        <w:t>soil AM</w:t>
      </w:r>
      <w:r w:rsidR="00C51141">
        <w:t>F</w:t>
      </w:r>
      <w:r w:rsidRPr="00AA22EE">
        <w:t xml:space="preserve"> </w:t>
      </w:r>
      <w:r w:rsidR="00C51141">
        <w:t xml:space="preserve"> communities</w:t>
      </w:r>
      <w:r w:rsidR="00011B24">
        <w:t xml:space="preserve"> </w:t>
      </w:r>
      <w:r w:rsidR="00011B24">
        <w:fldChar w:fldCharType="begin"/>
      </w:r>
      <w:r w:rsidR="00011B24">
        <w:instrText xml:space="preserve"> ADDIN ZOTERO_ITEM CSL_CITATION {"citationID":"kd8v27o8a","properties":{"formattedCitation":"(Fester &amp; Sawers, 2011)","plainCitation":"(Fester &amp; Sawers, 2011)"},"citationItems":[{"id":140,"uris":["http://zotero.org/users/local/d1gJDEOw/items/9IE68PVG"],"uri":["http://zotero.org/users/local/d1gJDEOw/items/9IE68PVG"],"itemData":{"id":140,"type":"article-journal","title":"Progress and Challenges in Agricultural Applications of Arbuscular Mycorrhizal Fungi","container-title":"Critical Reviews in Plant Sciences","page":"459-470","volume":"30","issue":"5","source":"Taylor and Francis+NEJM","abstract":"Arbuscular mycorrhiza is a widespread interaction between plant roots and mutualistic fungi that both promotes plant mineral nutrition and supports stability in many natural ecosystems. Given the demand in current agriculture for these ecosystem services, it appears desirable to further integrate this interaction in current management schemes. While two different approaches can be identified in this regard, a number of problems have limited the agricultural application of mycorrhiza to date. In this review, the sensitivity of arbuscular mycorrhizal fungi to certain agricultural management methods, the functional variability of arbuscular mycorrhizal fungi, and the variability of plant responsiveness will be discussed in particular. In addition we will focus on recent advances in the study of mycorrhiza in natural ecosystems, and illustrate how such knowledge might be used to further the integration of arbuscular mycorrhizal fungi in agricultural regimes, and so increase the sustainability and robustness of current practice.","DOI":"10.1080/07352689.2011.605741","ISSN":"0735-2689","author":[{"family":"Fester","given":"T."},{"family":"Sawers","given":"R."}],"issued":{"date-parts":[["2011",9,1]]}}}],"schema":"https://github.com/citation-style-language/schema/raw/master/csl-citation.json"} </w:instrText>
      </w:r>
      <w:r w:rsidR="00011B24">
        <w:fldChar w:fldCharType="separate"/>
      </w:r>
      <w:r w:rsidR="00011B24" w:rsidRPr="00011B24">
        <w:rPr>
          <w:rFonts w:cs="Times New Roman"/>
        </w:rPr>
        <w:t xml:space="preserve">(Fester &amp; </w:t>
      </w:r>
      <w:proofErr w:type="spellStart"/>
      <w:r w:rsidR="00011B24" w:rsidRPr="00011B24">
        <w:rPr>
          <w:rFonts w:cs="Times New Roman"/>
        </w:rPr>
        <w:t>Sawers</w:t>
      </w:r>
      <w:proofErr w:type="spellEnd"/>
      <w:r w:rsidR="00011B24" w:rsidRPr="00011B24">
        <w:rPr>
          <w:rFonts w:cs="Times New Roman"/>
        </w:rPr>
        <w:t>, 2011)</w:t>
      </w:r>
      <w:r w:rsidR="00011B24">
        <w:fldChar w:fldCharType="end"/>
      </w:r>
      <w:r w:rsidR="00DE54FD">
        <w:t>.  Rotation of crops with non-</w:t>
      </w:r>
      <w:r w:rsidRPr="00AA22EE">
        <w:t>mycorrhizal crops may reduce AM populations due to lack of suitable hosts and as a result reduce the quantity of  inoculum within soils</w:t>
      </w:r>
      <w:r w:rsidR="00011B24">
        <w:t xml:space="preserve"> </w:t>
      </w:r>
      <w:r w:rsidR="00011B24">
        <w:fldChar w:fldCharType="begin"/>
      </w:r>
      <w:r w:rsidR="00011B24">
        <w:instrText xml:space="preserve"> ADDIN ZOTERO_ITEM CSL_CITATION {"citationID":"1d8btkbe98","properties":{"formattedCitation":"(Arihara &amp; Karasawa, 2000)","plainCitation":"(Arihara &amp; Karasawa, 2000)"},"citationItems":[{"id":824,"uris":["http://zotero.org/users/local/d1gJDEOw/items/JPNJDHRT"],"uri":["http://zotero.org/users/local/d1gJDEOw/items/JPNJDHRT"],"itemData":{"id":824,"type":"article-journal","title":"Effect of previous crops on arbuscular mycorrhizal formation and growth of succeeding maize","container-title":"Soil Science and Plant Nutrition","page":"43-51","volume":"46","issue":"1","archive_location":"WOS:000085684600005","abstract":"The effects of fallow and cultivation of sunflower, maize, soybean, potato, wheat, sugar beet, and rape on arbuscular mycorrhizal (AM) colonization and growth of succeeding maize were examined under field conditions from 1990 to 1992. All the crops except for sugar beet and rape were mycorrhizal. Shoot weight and grain yield of maize were much higher in the plots following sunflower, maize, soybean, and potato than in those succeeding rape, fallow, and sugar beet. It was thus concluded that maize growth after cultivation of mycorrhizal crops was more enhanced than after the cultivation of non-mycorrhizal crops. Phosphorus uptake and AM colonization in succeeding maize were closely correlated with shoot weight and grain yield. The results showed that the cultivation of mycorrhizal crops in the previous season promoted AM formation on roots of succeeding maize, which in turn enhanced the P uptake and growth, and finally increased the grain yield.","ISSN":"0038-0768","shortTitle":"Effect of previous crops on arbuscular mycorrhizal formation and growth of succeeding maize","author":[{"family":"Arihara","given":"J."},{"family":"Karasawa","given":"T."}],"issued":{"date-parts":[["2000",3]]}}}],"schema":"https://github.com/citation-style-language/schema/raw/master/csl-citation.json"} </w:instrText>
      </w:r>
      <w:r w:rsidR="00011B24">
        <w:fldChar w:fldCharType="separate"/>
      </w:r>
      <w:r w:rsidR="00011B24" w:rsidRPr="00011B24">
        <w:rPr>
          <w:rFonts w:cs="Times New Roman"/>
        </w:rPr>
        <w:t>(</w:t>
      </w:r>
      <w:proofErr w:type="spellStart"/>
      <w:r w:rsidR="00011B24" w:rsidRPr="00011B24">
        <w:rPr>
          <w:rFonts w:cs="Times New Roman"/>
        </w:rPr>
        <w:t>Arihara</w:t>
      </w:r>
      <w:proofErr w:type="spellEnd"/>
      <w:r w:rsidR="00011B24" w:rsidRPr="00011B24">
        <w:rPr>
          <w:rFonts w:cs="Times New Roman"/>
        </w:rPr>
        <w:t xml:space="preserve"> &amp; </w:t>
      </w:r>
      <w:proofErr w:type="spellStart"/>
      <w:r w:rsidR="00011B24" w:rsidRPr="00011B24">
        <w:rPr>
          <w:rFonts w:cs="Times New Roman"/>
        </w:rPr>
        <w:t>Karasawa</w:t>
      </w:r>
      <w:proofErr w:type="spellEnd"/>
      <w:r w:rsidR="00011B24" w:rsidRPr="00011B24">
        <w:rPr>
          <w:rFonts w:cs="Times New Roman"/>
        </w:rPr>
        <w:t>, 2000)</w:t>
      </w:r>
      <w:r w:rsidR="00011B24">
        <w:fldChar w:fldCharType="end"/>
      </w:r>
      <w:r w:rsidRPr="00AA22EE">
        <w:t>. Reduced mycorrhizal colonisation of subsequently planted mycorrhizal crops  has been reported</w:t>
      </w:r>
      <w:r w:rsidR="00011B24">
        <w:t xml:space="preserve"> </w:t>
      </w:r>
      <w:r w:rsidR="00011B24">
        <w:fldChar w:fldCharType="begin"/>
      </w:r>
      <w:r w:rsidR="00011B24">
        <w:instrText xml:space="preserve"> ADDIN ZOTERO_ITEM CSL_CITATION {"citationID":"272t9o67nm","properties":{"formattedCitation":"{\\rtf (Douds {\\i{}et al.}, 1997)}","plainCitation":"(Douds et al., 1997)"},"citationItems":[{"id":921,"uris":["http://zotero.org/users/local/d1gJDEOw/items/D2HHMPKQ"],"uri":["http://zotero.org/users/local/d1gJDEOw/items/D2HHMPKQ"],"itemData":{"id":921,"type":"article-journal","title":"Effect of compost addition and crop rotation point upon VAM fungi","container-title":"Agriculture Ecosystems &amp; Environment","page":"257-266","volume":"65","issue":"3","archive_location":"WOS:000071258500005","abstract":"Populations of vesicular-arbuscular mycorrhizal (VAM) fungi and mycorrhiza formation were examined in a field experiment studying the agricultural application of composted animal manures, The replicate experiment allowed each crop of a Zea mays &gt; vegetable &gt; small grain rotation to be sampled each of 3 years, Chicken litter/leaf compost and dairy cow manure/leaf compost enhanced spore populations of two VAM fungus species type groups (Glomus etunicatum type and the general Glomus spp. group, including G. mosseae) relative to those found in plots treated with raw dairy cow manure and conventional fertilizer, Populations of other groups were not affected by amendment, due likely to the large amount of P added in composts and manure relative to the conventional fertilizer applied, Crop rotation point had consistent, significant effects, with both lower populations of spores and less mycorrhizal infectivity of soil in plots after the vegetable crop (Spinacea oleraceae and/or Capsicum annuum) relative to maize and small grain (Avena sativa or Triticum aestivum). This was due to the non-mycorrhizal status and very low mycorrhization (approximately 1% root length colonized) of S. oleraceae and C. annuum, respectively, Future agricultural applications of compost and manure to provide N for crops need to consider the effects upon VAM fungi of other nutrients in these amendments. (C) 1997 Elsevier Science B.V.","DOI":"10.1016/s0167-8809(97)00075-3","ISSN":"0167-8809","shortTitle":"Effect of compost addition and crop rotation point upon VAM fungi","author":[{"family":"Douds","given":"D. D."},{"family":"Galvez","given":"L."},{"family":"Franke-Snyder","given":"M."},{"family":"Reider","given":"C."},{"family":"Drinkwater","given":"L. E."}],"issued":{"date-parts":[["1997",11]]}}}],"schema":"https://github.com/citation-style-language/schema/raw/master/csl-citation.json"} </w:instrText>
      </w:r>
      <w:r w:rsidR="00011B24">
        <w:fldChar w:fldCharType="separate"/>
      </w:r>
      <w:r w:rsidR="00011B24" w:rsidRPr="00011B24">
        <w:rPr>
          <w:rFonts w:cs="Times New Roman"/>
          <w:szCs w:val="24"/>
        </w:rPr>
        <w:t>(</w:t>
      </w:r>
      <w:proofErr w:type="spellStart"/>
      <w:r w:rsidR="00011B24" w:rsidRPr="00011B24">
        <w:rPr>
          <w:rFonts w:cs="Times New Roman"/>
          <w:szCs w:val="24"/>
        </w:rPr>
        <w:t>Douds</w:t>
      </w:r>
      <w:proofErr w:type="spellEnd"/>
      <w:r w:rsidR="00011B24" w:rsidRPr="00011B24">
        <w:rPr>
          <w:rFonts w:cs="Times New Roman"/>
          <w:szCs w:val="24"/>
        </w:rPr>
        <w:t xml:space="preserve"> </w:t>
      </w:r>
      <w:r w:rsidR="00011B24" w:rsidRPr="00011B24">
        <w:rPr>
          <w:rFonts w:cs="Times New Roman"/>
          <w:i/>
          <w:iCs/>
          <w:szCs w:val="24"/>
        </w:rPr>
        <w:t>et al.</w:t>
      </w:r>
      <w:r w:rsidR="00011B24" w:rsidRPr="00011B24">
        <w:rPr>
          <w:rFonts w:cs="Times New Roman"/>
          <w:szCs w:val="24"/>
        </w:rPr>
        <w:t>, 1997)</w:t>
      </w:r>
      <w:r w:rsidR="00011B24">
        <w:fldChar w:fldCharType="end"/>
      </w:r>
      <w:r w:rsidRPr="00AA22EE">
        <w:t xml:space="preserve"> and  in some cases  this has been found to correspond with reduced yield</w:t>
      </w:r>
      <w:r w:rsidR="00011B24">
        <w:t xml:space="preserve"> </w:t>
      </w:r>
      <w:r w:rsidR="00011B24">
        <w:fldChar w:fldCharType="begin"/>
      </w:r>
      <w:r w:rsidR="00011B24">
        <w:instrText xml:space="preserve"> ADDIN ZOTERO_ITEM CSL_CITATION {"citationID":"10ljb5bp02","properties":{"formattedCitation":"(Koide &amp; Peoples, 2012)","plainCitation":"(Koide &amp; Peoples, 2012)"},"citationItems":[{"id":1064,"uris":["http://zotero.org/users/local/d1gJDEOw/items/HAANI8UK"],"uri":["http://zotero.org/users/local/d1gJDEOw/items/HAANI8UK"],"itemData":{"id":1064,"type":"article-journal","title":"On the nature of temporary yield loss in maize following canola","container-title":"Plant and Soil","page":"259-269","volume":"360","issue":"1-2","archive_location":"WOS:000310207300019","abstract":"Soy is currently the most important biodiesel feedstock crop in the U.S., but canola is an attractive alternative because of its potential for greater oil yields. Nevertheless, factors other than oil yield must be considered in the choice of biodiesel feedstock crop. For example, soy is mycorrhizal and canola is not. We examined the consequences of soy and canola crops to subsequently-grown maize, which is mycorrhizal. We hypothesized that canola would reduce mycorrhization, P uptake and yield of subsequently-grown maize when compared to soy, and that winter cover cropping with wheat (mycorrhizal) would ameliorate canola's negative impacts. We established four rotations with two contrasts: either soy or canola in year 1, and with or without winter cover crops, followed by two years of maize. In year 2, mycorrhizal colonization, shoot P concentration and yield of maize were reduced following canola compared to soy. Nevertheless, many of the former canola plots produced maize with much lower growth than did the former soy plots irrespective of mycorrhizal colonization, shoot N or shoot P concentrations. Cover cropping with wheat did not ameliorate these negative effects. The negative effects of canola were temporary as they did not occur in the second year of maize. The negative effects of canola observed in the first year of maize were coincident with a reduction in mycorrhizal colonization, but some other phenomenon appears to be causal, possibly allelopathy. Winter cover cropping was largely ineffective in ameliorating the negative effects of canola on maize.","DOI":"10.1007/s11104-012-1237-0","ISSN":"0032-079X","shortTitle":"On the nature of temporary yield loss in maize following canola","journalAbbreviation":"Plant Soil","language":"English","author":[{"family":"Koide","given":"R. T."},{"family":"Peoples","given":"M. S."}],"issued":{"date-parts":[["2012",11]]}}}],"schema":"https://github.com/citation-style-language/schema/raw/master/csl-citation.json"} </w:instrText>
      </w:r>
      <w:r w:rsidR="00011B24">
        <w:fldChar w:fldCharType="separate"/>
      </w:r>
      <w:r w:rsidR="00011B24" w:rsidRPr="00011B24">
        <w:rPr>
          <w:rFonts w:cs="Times New Roman"/>
        </w:rPr>
        <w:t>(Koide &amp; Peoples, 2012)</w:t>
      </w:r>
      <w:r w:rsidR="00011B24">
        <w:fldChar w:fldCharType="end"/>
      </w:r>
      <w:r w:rsidRPr="00AA22EE">
        <w:t xml:space="preserve">. </w:t>
      </w:r>
      <w:r w:rsidR="00DE54FD">
        <w:t>Similarly use of non-</w:t>
      </w:r>
      <w:r w:rsidRPr="00AA22EE">
        <w:t>mycorrhizal cover crops and fallowing are known to negatively affect AM by reducing soil inoculum due to the lack of host plants available for colonisation</w:t>
      </w:r>
      <w:r w:rsidR="00CF5BD0">
        <w:t xml:space="preserve"> </w:t>
      </w:r>
      <w:r w:rsidR="00CF5BD0">
        <w:fldChar w:fldCharType="begin"/>
      </w:r>
      <w:r w:rsidR="00CF5BD0">
        <w:instrText xml:space="preserve"> ADDIN ZOTERO_ITEM CSL_CITATION {"citationID":"fogdkmt4n","properties":{"formattedCitation":"{\\rtf (Jansa {\\i{}et al.}, 2003; Castillo {\\i{}et al.}, 2008)}","plainCitation":"(Jansa et al., 2003; Castillo et al., 2008)"},"citationItems":[{"id":603,"uris":["http://zotero.org/users/local/d1gJDEOw/items/NJXTB8E4"],"uri":["http://zotero.org/users/local/d1gJDEOw/items/NJXTB8E4"],"itemData":{"id":603,"type":"article-journal","title":"Soil Tillage Affects the Community Structure of Mycorrhizal Fungi in Maize Roots","container-title":"Ecological Applications","page":"1164-1176","volume":"13","issue":"4","source":"Wiley Online Library","abstract":"In this study we tested whether communities of arbuscular mycorrhizal fungi (AMF) colonizing the roots of maize (Zea mays L.) were affected by soil tillage practices (plowing, chiseling, and no-till) in a long-term field experiment carried out in Tänikon (Switzerland). AMF were identified in the roots using specific polymerase chain reaction (PCR) markers that had been developed for the AMF previously isolated from the soils of the studied site. A nested PCR procedure with primers of increased specificity (eukaryotic, then fungal, then AMF species or species-group specific) was used. Sequencing of amplified DNA confirmed that the DNA obtained from the maize roots was of AMF origin. Presence of particular AMF species or species-group was scored as a presence of a DNA product after PCR with specific primers. We also used single-strand conformation polymorphism analysis (SSCP) of amplified DNA samples to check if the amplification of the DNA from maize roots matched the expected profile for a particular AMF isolate with a given specific primer pair. Presence of the genus Scutellospora in maize roots was strongly reduced in plowed and chiseled soils. Fungi from the suborder Glomineae were more prevalent colonizers of maize roots growing in plowed soils, but were also present in the roots from other tillage treatments. These changes in community of AMF colonizing maize roots might be due to (1) the differences in tolerance to the tillage-induced disruption of the hyphae among the different AMF species, (2) changes in nutrient content of the soil, (3) changes in microbial activity, or (4) changes in weed populations in response to soil tillage. This is the first report on community composition of AMF in the roots of a field-grown crop plant (maize) as affected by soil tillage.","DOI":"10.1890/1051-0761(2003)13[1164:STATCS]2.0.CO;2","ISSN":"1939-5582","language":"en","author":[{"family":"Jansa","given":"J."},{"family":"Mozafar","given":"A."},{"family":"Kuhn","given":"G."},{"family":"Anken","given":"T."},{"family":"Ruh","given":"R."},{"family":"Sanders","given":"I. R."},{"family":"Frossard","given":"E."}],"issued":{"date-parts":[["2003",8,1]]}}},{"id":881,"uris":["http://zotero.org/users/local/d1gJDEOw/items/G6S67MTH"],"uri":["http://zotero.org/users/local/d1gJDEOw/items/G6S67MTH"],"itemData":{"id":881,"type":"article-journal","title":"Effect of the host and non host crops on arbuscular mycorrhizal propagules","container-title":"Revista De La Ciencia Del Suelo Y Nutricion Vegetal","page":"37-54","volume":"8","issue":"1","archive_location":"WOS:000261492300004","abstract":"Recent field studies have shown that fungal spores decrease when non host plants are used as a pre-culture. The objective of this study was to evaluate how host plant like oats (Avena sativa L.), and non host, as lupine (Lupinus albus L.), and rapeseed (Brassica napus L.) can influence on arbuscular mycorrhizal fungi (AMF) propagules diversity and phosphatase activity when growing in an Andisol and an Inceptisol. The trial was conducted from September 2006 through March 2007 in greenhouse conditions using 5 kg pots with in a completely randomized design with four replicates. The number of AMF spores was higher in the Andisol than the Inceptisol and highest when using oats than lupine or raps as plant host. Oats also showed a large enrichment of morphotypes, whereas lupine and raps were poor. The phosphatase activity (P-ase) in Inceptisol was lower than in Andisol and between crops increased in the order oats &lt; rapeseed &lt; lupine; while significant differences between lupines with other crops were registred. Again, our results reinforce the hypothesis that the mycorrhizae and phosphatase activity are complementary mechanisms developed by plants for a better P acquisition.","ISSN":"0717-635X","shortTitle":"Effect of the host and non host crops on arbuscular mycorrhizal propagules","author":[{"family":"Castillo","given":"C."},{"family":"Astroza","given":"I."},{"family":"Borie","given":"F."},{"family":"Rubio","given":"R."}],"issued":{"date-parts":[["2008"]]}}}],"schema":"https://github.com/citation-style-language/schema/raw/master/csl-citation.json"} </w:instrText>
      </w:r>
      <w:r w:rsidR="00CF5BD0">
        <w:fldChar w:fldCharType="separate"/>
      </w:r>
      <w:r w:rsidR="00CF5BD0" w:rsidRPr="00CF5BD0">
        <w:rPr>
          <w:rFonts w:cs="Times New Roman"/>
          <w:szCs w:val="24"/>
        </w:rPr>
        <w:t>(</w:t>
      </w:r>
      <w:proofErr w:type="spellStart"/>
      <w:r w:rsidR="00CF5BD0" w:rsidRPr="00CF5BD0">
        <w:rPr>
          <w:rFonts w:cs="Times New Roman"/>
          <w:szCs w:val="24"/>
        </w:rPr>
        <w:t>Jansa</w:t>
      </w:r>
      <w:proofErr w:type="spellEnd"/>
      <w:r w:rsidR="00CF5BD0" w:rsidRPr="00CF5BD0">
        <w:rPr>
          <w:rFonts w:cs="Times New Roman"/>
          <w:szCs w:val="24"/>
        </w:rPr>
        <w:t xml:space="preserve"> </w:t>
      </w:r>
      <w:r w:rsidR="00CF5BD0" w:rsidRPr="00CF5BD0">
        <w:rPr>
          <w:rFonts w:cs="Times New Roman"/>
          <w:i/>
          <w:iCs/>
          <w:szCs w:val="24"/>
        </w:rPr>
        <w:t>et al.</w:t>
      </w:r>
      <w:r w:rsidR="00CF5BD0" w:rsidRPr="00CF5BD0">
        <w:rPr>
          <w:rFonts w:cs="Times New Roman"/>
          <w:szCs w:val="24"/>
        </w:rPr>
        <w:t xml:space="preserve">, 2003; Castillo </w:t>
      </w:r>
      <w:r w:rsidR="00CF5BD0" w:rsidRPr="00CF5BD0">
        <w:rPr>
          <w:rFonts w:cs="Times New Roman"/>
          <w:i/>
          <w:iCs/>
          <w:szCs w:val="24"/>
        </w:rPr>
        <w:t>et al.</w:t>
      </w:r>
      <w:r w:rsidR="00CF5BD0" w:rsidRPr="00CF5BD0">
        <w:rPr>
          <w:rFonts w:cs="Times New Roman"/>
          <w:szCs w:val="24"/>
        </w:rPr>
        <w:t>, 2008)</w:t>
      </w:r>
      <w:r w:rsidR="00CF5BD0">
        <w:fldChar w:fldCharType="end"/>
      </w:r>
      <w:r w:rsidRPr="00AA22EE">
        <w:t>.  Plant diversity of intensive agro-ecosystems is typically low due the common practice of mono-cropping arable fields coupled with the enforcement of stringent weed control regimes.</w:t>
      </w:r>
      <w:r w:rsidR="00EC69F6">
        <w:t xml:space="preserve"> </w:t>
      </w:r>
      <w:r w:rsidRPr="00AA22EE">
        <w:t>The reductions in biodiversity of host plants has been suggested as one reason explaining reduced AM</w:t>
      </w:r>
      <w:r w:rsidR="00C51141">
        <w:t>F</w:t>
      </w:r>
      <w:r w:rsidRPr="00AA22EE">
        <w:t xml:space="preserve"> diversity </w:t>
      </w:r>
      <w:r w:rsidR="00C51141">
        <w:t>within agricultural environments</w:t>
      </w:r>
      <w:r w:rsidR="00011B24">
        <w:t xml:space="preserve"> </w:t>
      </w:r>
      <w:r w:rsidR="00011B24">
        <w:fldChar w:fldCharType="begin"/>
      </w:r>
      <w:r w:rsidR="00011B24">
        <w:instrText xml:space="preserve"> ADDIN ZOTERO_ITEM CSL_CITATION {"citationID":"oabkj9r0i","properties":{"formattedCitation":"(Fester &amp; Sawers, 2011)","plainCitation":"(Fester &amp; Sawers, 2011)"},"citationItems":[{"id":140,"uris":["http://zotero.org/users/local/d1gJDEOw/items/9IE68PVG"],"uri":["http://zotero.org/users/local/d1gJDEOw/items/9IE68PVG"],"itemData":{"id":140,"type":"article-journal","title":"Progress and Challenges in Agricultural Applications of Arbuscular Mycorrhizal Fungi","container-title":"Critical Reviews in Plant Sciences","page":"459-470","volume":"30","issue":"5","source":"Taylor and Francis+NEJM","abstract":"Arbuscular mycorrhiza is a widespread interaction between plant roots and mutualistic fungi that both promotes plant mineral nutrition and supports stability in many natural ecosystems. Given the demand in current agriculture for these ecosystem services, it appears desirable to further integrate this interaction in current management schemes. While two different approaches can be identified in this regard, a number of problems have limited the agricultural application of mycorrhiza to date. In this review, the sensitivity of arbuscular mycorrhizal fungi to certain agricultural management methods, the functional variability of arbuscular mycorrhizal fungi, and the variability of plant responsiveness will be discussed in particular. In addition we will focus on recent advances in the study of mycorrhiza in natural ecosystems, and illustrate how such knowledge might be used to further the integration of arbuscular mycorrhizal fungi in agricultural regimes, and so increase the sustainability and robustness of current practice.","DOI":"10.1080/07352689.2011.605741","ISSN":"0735-2689","author":[{"family":"Fester","given":"T."},{"family":"Sawers","given":"R."}],"issued":{"date-parts":[["2011",9,1]]}}}],"schema":"https://github.com/citation-style-language/schema/raw/master/csl-citation.json"} </w:instrText>
      </w:r>
      <w:r w:rsidR="00011B24">
        <w:fldChar w:fldCharType="separate"/>
      </w:r>
      <w:r w:rsidR="00011B24" w:rsidRPr="00011B24">
        <w:rPr>
          <w:rFonts w:cs="Times New Roman"/>
        </w:rPr>
        <w:t xml:space="preserve">(Fester &amp; </w:t>
      </w:r>
      <w:proofErr w:type="spellStart"/>
      <w:r w:rsidR="00011B24" w:rsidRPr="00011B24">
        <w:rPr>
          <w:rFonts w:cs="Times New Roman"/>
        </w:rPr>
        <w:t>Sawers</w:t>
      </w:r>
      <w:proofErr w:type="spellEnd"/>
      <w:r w:rsidR="00011B24" w:rsidRPr="00011B24">
        <w:rPr>
          <w:rFonts w:cs="Times New Roman"/>
        </w:rPr>
        <w:t>, 2011)</w:t>
      </w:r>
      <w:r w:rsidR="00011B24">
        <w:fldChar w:fldCharType="end"/>
      </w:r>
      <w:r w:rsidR="00EC69F6">
        <w:t>.</w:t>
      </w:r>
    </w:p>
    <w:p w:rsidR="007E60E4" w:rsidRDefault="007E60E4" w:rsidP="007E60E4">
      <w:pPr>
        <w:pStyle w:val="Heading2"/>
        <w:rPr>
          <w:rFonts w:cs="Times New Roman"/>
        </w:rPr>
      </w:pPr>
      <w:bookmarkStart w:id="74" w:name="_Toc463208985"/>
      <w:bookmarkStart w:id="75" w:name="_Toc469855010"/>
      <w:bookmarkStart w:id="76" w:name="_Toc469856010"/>
      <w:bookmarkStart w:id="77" w:name="_Toc469931919"/>
      <w:bookmarkStart w:id="78" w:name="_Toc469982240"/>
      <w:r w:rsidRPr="00AA22EE">
        <w:rPr>
          <w:rFonts w:cs="Times New Roman"/>
        </w:rPr>
        <w:t>Overview of cider apples, the UK cider industry and orchards sustainability</w:t>
      </w:r>
      <w:bookmarkEnd w:id="74"/>
      <w:bookmarkEnd w:id="75"/>
      <w:bookmarkEnd w:id="76"/>
      <w:bookmarkEnd w:id="77"/>
      <w:bookmarkEnd w:id="78"/>
    </w:p>
    <w:p w:rsidR="007E60E4" w:rsidRPr="000F7D57" w:rsidRDefault="007E60E4" w:rsidP="007E60E4">
      <w:pPr>
        <w:pStyle w:val="Heading3"/>
        <w:rPr>
          <w:rFonts w:cs="Times New Roman"/>
        </w:rPr>
      </w:pPr>
      <w:bookmarkStart w:id="79" w:name="_Toc463208986"/>
      <w:bookmarkStart w:id="80" w:name="_Toc469855011"/>
      <w:bookmarkStart w:id="81" w:name="_Toc469856011"/>
      <w:bookmarkStart w:id="82" w:name="_Toc469931920"/>
      <w:bookmarkStart w:id="83" w:name="_Toc469982241"/>
      <w:r w:rsidRPr="00AA22EE">
        <w:rPr>
          <w:rFonts w:cs="Times New Roman"/>
        </w:rPr>
        <w:t xml:space="preserve">The domestic apple </w:t>
      </w:r>
      <w:r w:rsidRPr="00AA22EE">
        <w:rPr>
          <w:rFonts w:cs="Times New Roman"/>
          <w:i/>
        </w:rPr>
        <w:t>Malus pumila</w:t>
      </w:r>
      <w:bookmarkEnd w:id="79"/>
      <w:bookmarkEnd w:id="80"/>
      <w:bookmarkEnd w:id="81"/>
      <w:bookmarkEnd w:id="82"/>
      <w:bookmarkEnd w:id="83"/>
    </w:p>
    <w:p w:rsidR="007E60E4" w:rsidRPr="00AA22EE" w:rsidRDefault="007E60E4" w:rsidP="00DE54FD">
      <w:r w:rsidRPr="00AA22EE">
        <w:t xml:space="preserve">The domestic apple </w:t>
      </w:r>
      <w:r w:rsidRPr="00AA22EE">
        <w:rPr>
          <w:i/>
        </w:rPr>
        <w:t>Malus pumila</w:t>
      </w:r>
      <w:r w:rsidRPr="00AA22EE">
        <w:t xml:space="preserve"> belongs to the </w:t>
      </w:r>
      <w:proofErr w:type="spellStart"/>
      <w:r w:rsidRPr="00AA22EE">
        <w:rPr>
          <w:i/>
        </w:rPr>
        <w:t>Rosaceae</w:t>
      </w:r>
      <w:proofErr w:type="spellEnd"/>
      <w:r w:rsidRPr="00AA22EE">
        <w:rPr>
          <w:i/>
        </w:rPr>
        <w:t xml:space="preserve"> </w:t>
      </w:r>
      <w:r w:rsidRPr="00AA22EE">
        <w:t>fa</w:t>
      </w:r>
      <w:r w:rsidR="009E540A">
        <w:t xml:space="preserve">mily </w:t>
      </w:r>
      <w:r w:rsidR="009E540A">
        <w:fldChar w:fldCharType="begin"/>
      </w:r>
      <w:r w:rsidR="00954B3D">
        <w:instrText xml:space="preserve"> ADDIN ZOTERO_ITEM CSL_CITATION {"citationID":"1gagq0rlhp","properties":{"formattedCitation":"(Juniper, 2007)","plainCitation":"(Juniper, 2007)"},"citationItems":[{"id":782,"uris":["http://zotero.org/users/local/d1gJDEOw/items/H4W3PZB9"],"uri":["http://zotero.org/users/local/d1gJDEOw/items/H4W3PZB9"],"itemData":{"id":782,"type":"article-journal","title":"The Mysterious Origin of the Sweet Apple: On its way to a grocery counter near you, this delicious fruit traversed continents and mastered coevolution","container-title":"American Scientist","page":"44-51","volume":"95","issue":"1","source":"JSTOR","ISSN":"0003-0996","shortTitle":"The Mysterious Origin of the Sweet Apple","journalAbbreviation":"American Scientist","author":[{"family":"Juniper","given":"Barrie E."}],"issued":{"date-parts":[["2007"]]}}}],"schema":"https://github.com/citation-style-language/schema/raw/master/csl-citation.json"} </w:instrText>
      </w:r>
      <w:r w:rsidR="009E540A">
        <w:fldChar w:fldCharType="separate"/>
      </w:r>
      <w:r w:rsidR="00954B3D" w:rsidRPr="00954B3D">
        <w:rPr>
          <w:rFonts w:cs="Times New Roman"/>
        </w:rPr>
        <w:t>(Juniper, 2007)</w:t>
      </w:r>
      <w:r w:rsidR="009E540A">
        <w:fldChar w:fldCharType="end"/>
      </w:r>
      <w:r w:rsidR="009E540A">
        <w:t xml:space="preserve"> </w:t>
      </w:r>
      <w:r w:rsidRPr="00AA22EE">
        <w:t>along with at least 36 other species of apple</w:t>
      </w:r>
      <w:r w:rsidR="00011B24">
        <w:t xml:space="preserve"> </w:t>
      </w:r>
      <w:r w:rsidR="00011B24">
        <w:fldChar w:fldCharType="begin"/>
      </w:r>
      <w:r w:rsidR="00011B24">
        <w:instrText xml:space="preserve"> ADDIN ZOTERO_ITEM CSL_CITATION {"citationID":"cc9s0ef6q","properties":{"formattedCitation":"{\\rtf (Phipps {\\i{}et al.}, 1990)}","plainCitation":"(Phipps et al., 1990)"},"citationItems":[{"id":1175,"uris":["http://zotero.org/users/local/d1gJDEOw/items/Q96QBEGJ"],"uri":["http://zotero.org/users/local/d1gJDEOw/items/Q96QBEGJ"],"itemData":{"id":1175,"type":"article-journal","title":"A CHECKLIST OF THE SUBFAMILY MALOIDEAE (ROSACEAE)","container-title":"Canadian Journal of Botany-Revue Canadienne De Botanique","page":"2209-2269","volume":"68","issue":"10","archive_location":"WOS:A1990EH01600021","ISSN":"0008-4026","shortTitle":"A CHECKLIST OF THE SUBFAMILY MALOIDEAE (ROSACEAE)","author":[{"family":"Phipps","given":"J. B."},{"family":"Robertson","given":"K. R."},{"family":"Smith","given":"P. G."},{"family":"Rohrer","given":"J. R."}],"issued":{"date-parts":[["1990",10]]}}}],"schema":"https://github.com/citation-style-language/schema/raw/master/csl-citation.json"} </w:instrText>
      </w:r>
      <w:r w:rsidR="00011B24">
        <w:fldChar w:fldCharType="separate"/>
      </w:r>
      <w:r w:rsidR="00011B24" w:rsidRPr="00011B24">
        <w:rPr>
          <w:rFonts w:cs="Times New Roman"/>
          <w:szCs w:val="24"/>
        </w:rPr>
        <w:t xml:space="preserve">(Phipps </w:t>
      </w:r>
      <w:r w:rsidR="00011B24" w:rsidRPr="00011B24">
        <w:rPr>
          <w:rFonts w:cs="Times New Roman"/>
          <w:i/>
          <w:iCs/>
          <w:szCs w:val="24"/>
        </w:rPr>
        <w:t>et al.</w:t>
      </w:r>
      <w:r w:rsidR="00011B24" w:rsidRPr="00011B24">
        <w:rPr>
          <w:rFonts w:cs="Times New Roman"/>
          <w:szCs w:val="24"/>
        </w:rPr>
        <w:t>, 1990)</w:t>
      </w:r>
      <w:r w:rsidR="00011B24">
        <w:fldChar w:fldCharType="end"/>
      </w:r>
      <w:r>
        <w:t xml:space="preserve">. </w:t>
      </w:r>
      <w:r w:rsidRPr="00AA22EE">
        <w:rPr>
          <w:i/>
        </w:rPr>
        <w:t xml:space="preserve">Malus pumila </w:t>
      </w:r>
      <w:r w:rsidRPr="00AA22EE">
        <w:t xml:space="preserve">is believed to have originated at least 5,000 years ago from </w:t>
      </w:r>
      <w:r w:rsidRPr="00AA22EE">
        <w:rPr>
          <w:i/>
        </w:rPr>
        <w:t xml:space="preserve">Malus </w:t>
      </w:r>
      <w:proofErr w:type="spellStart"/>
      <w:r w:rsidRPr="00AA22EE">
        <w:rPr>
          <w:i/>
        </w:rPr>
        <w:t>sieversii</w:t>
      </w:r>
      <w:proofErr w:type="spellEnd"/>
      <w:r w:rsidRPr="00AA22EE">
        <w:t xml:space="preserve"> a wild apple species indigenous to the Tien Shan mountains of central Asia which was then transported westwards by humans into Europe and more recent</w:t>
      </w:r>
      <w:r w:rsidR="009E540A">
        <w:t xml:space="preserve">ly to other parts of the world </w:t>
      </w:r>
      <w:r w:rsidR="009E540A">
        <w:fldChar w:fldCharType="begin"/>
      </w:r>
      <w:r w:rsidR="00954B3D">
        <w:instrText xml:space="preserve"> ADDIN ZOTERO_ITEM CSL_CITATION {"citationID":"22dmlod7fv","properties":{"formattedCitation":"(Juniper, 2007)","plainCitation":"(Juniper, 2007)"},"citationItems":[{"id":782,"uris":["http://zotero.org/users/local/d1gJDEOw/items/H4W3PZB9"],"uri":["http://zotero.org/users/local/d1gJDEOw/items/H4W3PZB9"],"itemData":{"id":782,"type":"article-journal","title":"The Mysterious Origin of the Sweet Apple: On its way to a grocery counter near you, this delicious fruit traversed continents and mastered coevolution","container-title":"American Scientist","page":"44-51","volume":"95","issue":"1","source":"JSTOR","ISSN":"0003-0996","shortTitle":"The Mysterious Origin of the Sweet Apple","journalAbbreviation":"American Scientist","author":[{"family":"Juniper","given":"Barrie E."}],"issued":{"date-parts":[["2007"]]}}}],"schema":"https://github.com/citation-style-language/schema/raw/master/csl-citation.json"} </w:instrText>
      </w:r>
      <w:r w:rsidR="009E540A">
        <w:fldChar w:fldCharType="separate"/>
      </w:r>
      <w:r w:rsidR="00954B3D" w:rsidRPr="00954B3D">
        <w:rPr>
          <w:rFonts w:cs="Times New Roman"/>
        </w:rPr>
        <w:t>(Juniper, 2007)</w:t>
      </w:r>
      <w:r w:rsidR="009E540A">
        <w:fldChar w:fldCharType="end"/>
      </w:r>
      <w:r w:rsidRPr="00AA22EE">
        <w:t>. An</w:t>
      </w:r>
      <w:r>
        <w:t xml:space="preserve">alysis of both chloroplast and </w:t>
      </w:r>
      <w:proofErr w:type="spellStart"/>
      <w:r>
        <w:t>n</w:t>
      </w:r>
      <w:r w:rsidRPr="00AA22EE">
        <w:t>DNA</w:t>
      </w:r>
      <w:proofErr w:type="spellEnd"/>
      <w:r w:rsidRPr="00AA22EE">
        <w:t xml:space="preserve"> sequences provide evidence of the close relationship between </w:t>
      </w:r>
      <w:r w:rsidRPr="00AA22EE">
        <w:rPr>
          <w:i/>
        </w:rPr>
        <w:t>M. pumila</w:t>
      </w:r>
      <w:r w:rsidRPr="00AA22EE">
        <w:t xml:space="preserve"> and </w:t>
      </w:r>
      <w:r w:rsidRPr="00AA22EE">
        <w:rPr>
          <w:i/>
        </w:rPr>
        <w:t xml:space="preserve">M. </w:t>
      </w:r>
      <w:proofErr w:type="spellStart"/>
      <w:r w:rsidRPr="00AA22EE">
        <w:rPr>
          <w:i/>
        </w:rPr>
        <w:t>sieversii</w:t>
      </w:r>
      <w:proofErr w:type="spellEnd"/>
      <w:r w:rsidRPr="00AA22EE">
        <w:rPr>
          <w:i/>
        </w:rPr>
        <w:t xml:space="preserve"> </w:t>
      </w:r>
      <w:r w:rsidRPr="00AA22EE">
        <w:fldChar w:fldCharType="begin">
          <w:fldData xml:space="preserve">PEVuZE5vdGU+PENpdGU+PEF1dGhvcj5KdW5pcGVyPC9BdXRob3I+PFllYXI+MjAwNzwvWWVhcj48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</w:fldData>
        </w:fldChar>
      </w:r>
      <w:r w:rsidRPr="00AA22EE">
        <w:instrText xml:space="preserve"> ADDIN EN.CITE </w:instrText>
      </w:r>
      <w:r w:rsidRPr="00AA22EE">
        <w:fldChar w:fldCharType="begin">
          <w:fldData xml:space="preserve">PEVuZE5vdGU+PENpdGU+PEF1dGhvcj5KdW5pcGVyPC9BdXRob3I+PFllYXI+MjAwNzwvWWVhcj48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</w:fldData>
        </w:fldChar>
      </w:r>
      <w:r w:rsidRPr="00AA22EE">
        <w:instrText xml:space="preserve"> ADDIN EN.CITE.DATA </w:instrText>
      </w:r>
      <w:r w:rsidRPr="00AA22EE">
        <w:fldChar w:fldCharType="end"/>
      </w:r>
      <w:r w:rsidRPr="00AA22EE">
        <w:fldChar w:fldCharType="end"/>
      </w:r>
      <w:r w:rsidR="009E540A">
        <w:fldChar w:fldCharType="begin"/>
      </w:r>
      <w:r w:rsidR="00954B3D">
        <w:instrText xml:space="preserve"> ADDIN ZOTERO_ITEM CSL_CITATION {"citationID":"cpe58kijq","properties":{"formattedCitation":"{\\rtf (Forte {\\i{}et al.}, 2002)}","plainCitation":"(Forte et al., 2002)"},"citationItems":[{"id":786,"uris":["http://zotero.org/users/local/d1gJDEOw/items/2GPXBIJT"],"uri":["http://zotero.org/users/local/d1gJDEOw/items/2GPXBIJT"],"itemData":{"id":786,"type":"article-journal","title":"Phylogeny of the Malus (Apple Tree) Species, Inferred from the Morphological Traits and Molecular DNA Analysis","container-title":"Russian Journal of Genetics","page":"1150-1161","volume":"38","issue":"10","source":"link.springer.com","abstract":"Some debated issues of the genus Malus (apple) taxonomy were examined using a variety of species from the collection of the Maikop Experimental Station, Vavilon Research Institute of Plant Industry (Krasnodar krai). Phylogenetic relationships among these species were studied using traditional analysis of morphological traits, RAPD, and complete sequencing of the 5\"- internal transcribed spacer (ITS1), 5.8S rRNA, 3\"- internal transcribed spacer (ITS2) (constituting a cluster of the rRNA genes), and the terminal fragment of the matK gene encoding chloroplast maturase. The results showed that the Sorbomalussection was polyphyletic; the American apple M. fusca was closely related to the species contributing to the East Asian center of the genus origin, and the American speciesM. angustifolia, M. coronaria, and M. ioensis were closely related to the M. trilobata relict species, whose assignment to the genus Malus is debated by some authors. Molecular analysis of the species relationships showed that the Middle Asian apple M. sieversii is the species from which apple domestication started.","DOI":"10.1023/A:1020648720175","ISSN":"1022-7954, 1608-3369","journalAbbreviation":"Russian Journal of Genetics","language":"en","author":[{"family":"Forte","given":"A. V."},{"family":"Ignatov","given":"A. N."},{"family":"Ponomarenko","given":"V. V."},{"family":"Dorokhov","given":"D. B."},{"family":"Savelyev","given":"N. I."}],"issued":{"date-parts":[["2002",10,1]]}}}],"schema":"https://github.com/citation-style-language/schema/raw/master/csl-citation.json"} </w:instrText>
      </w:r>
      <w:r w:rsidR="009E540A">
        <w:fldChar w:fldCharType="separate"/>
      </w:r>
      <w:r w:rsidR="00954B3D" w:rsidRPr="00954B3D">
        <w:rPr>
          <w:rFonts w:cs="Times New Roman"/>
          <w:szCs w:val="24"/>
        </w:rPr>
        <w:t xml:space="preserve">(Forte </w:t>
      </w:r>
      <w:r w:rsidR="00954B3D" w:rsidRPr="00954B3D">
        <w:rPr>
          <w:rFonts w:cs="Times New Roman"/>
          <w:i/>
          <w:iCs/>
          <w:szCs w:val="24"/>
        </w:rPr>
        <w:t>et al.</w:t>
      </w:r>
      <w:r w:rsidR="00954B3D" w:rsidRPr="00954B3D">
        <w:rPr>
          <w:rFonts w:cs="Times New Roman"/>
          <w:szCs w:val="24"/>
        </w:rPr>
        <w:t>, 2002)</w:t>
      </w:r>
      <w:r w:rsidR="009E540A">
        <w:fldChar w:fldCharType="end"/>
      </w:r>
      <w:r w:rsidR="009E540A">
        <w:t xml:space="preserve"> and has le</w:t>
      </w:r>
      <w:r w:rsidRPr="00AA22EE">
        <w:t xml:space="preserve">d to rejection of the previously favoured theory that </w:t>
      </w:r>
      <w:r w:rsidRPr="00AA22EE">
        <w:rPr>
          <w:i/>
        </w:rPr>
        <w:t>M. pumila</w:t>
      </w:r>
      <w:r w:rsidRPr="00AA22EE">
        <w:t xml:space="preserve"> originated from the European crab apple </w:t>
      </w:r>
      <w:r w:rsidRPr="00AA22EE">
        <w:rPr>
          <w:i/>
        </w:rPr>
        <w:t xml:space="preserve">Malus </w:t>
      </w:r>
      <w:proofErr w:type="spellStart"/>
      <w:r w:rsidRPr="00AA22EE">
        <w:rPr>
          <w:i/>
        </w:rPr>
        <w:t>sylvestris</w:t>
      </w:r>
      <w:proofErr w:type="spellEnd"/>
      <w:r w:rsidRPr="00AA22EE">
        <w:t xml:space="preserve"> </w:t>
      </w:r>
      <w:r w:rsidR="009E540A">
        <w:fldChar w:fldCharType="begin"/>
      </w:r>
      <w:r w:rsidR="00954B3D">
        <w:instrText xml:space="preserve"> ADDIN ZOTERO_ITEM CSL_CITATION {"citationID":"1e0oane1mc","properties":{"formattedCitation":"{\\rtf (Dunemann {\\i{}et al.}, 1994)}","plainCitation":"(Dunemann et al., 1994)"},"citationItems":[{"id":784,"uris":["http://zotero.org/users/local/d1gJDEOw/items/ZZRWWKI9"],"uri":["http://zotero.org/users/local/d1gJDEOw/items/ZZRWWKI9"],"itemData":{"id":784,"type":"article-journal","title":"Genetic relationships in Malus evaluated by RAPD ‘fingerprinting’of cultivars and wild species","container-title":"Plant Breeding","page":"150–159","volume":"113","issue":"2","source":"Google Scholar","author":[{"family":"Dunemann","given":"F."},{"family":"Kahnau","given":"R."},{"family":"Schmidt","given":"H."}],"issued":{"date-parts":[["1994"]]}}}],"schema":"https://github.com/citation-style-language/schema/raw/master/csl-citation.json"} </w:instrText>
      </w:r>
      <w:r w:rsidR="009E540A">
        <w:fldChar w:fldCharType="separate"/>
      </w:r>
      <w:r w:rsidR="00954B3D" w:rsidRPr="00954B3D">
        <w:rPr>
          <w:rFonts w:cs="Times New Roman"/>
          <w:szCs w:val="24"/>
        </w:rPr>
        <w:t>(</w:t>
      </w:r>
      <w:proofErr w:type="spellStart"/>
      <w:r w:rsidR="00954B3D" w:rsidRPr="00954B3D">
        <w:rPr>
          <w:rFonts w:cs="Times New Roman"/>
          <w:szCs w:val="24"/>
        </w:rPr>
        <w:t>Dunemann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1994)</w:t>
      </w:r>
      <w:r w:rsidR="009E540A">
        <w:fldChar w:fldCharType="end"/>
      </w:r>
      <w:r w:rsidRPr="00AA22EE">
        <w:fldChar w:fldCharType="begin">
          <w:fldData xml:space="preserve">PEVuZE5vdGU+PENpdGU+PEF1dGhvcj5EdW5lbWFubjwvQXV0aG9yPjxZZWFyPjE5OTQ8L1llYXI+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</w:fldData>
        </w:fldChar>
      </w:r>
      <w:r w:rsidRPr="00AA22EE">
        <w:instrText xml:space="preserve"> ADDIN EN.CITE </w:instrText>
      </w:r>
      <w:r w:rsidRPr="00AA22EE">
        <w:fldChar w:fldCharType="begin">
          <w:fldData xml:space="preserve">PEVuZE5vdGU+PENpdGU+PEF1dGhvcj5EdW5lbWFubjwvQXV0aG9yPjxZZWFyPjE5OTQ8L1llYXI+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</w:fldData>
        </w:fldChar>
      </w:r>
      <w:r w:rsidRPr="00AA22EE">
        <w:instrText xml:space="preserve"> ADDIN EN.CITE.DATA </w:instrText>
      </w:r>
      <w:r w:rsidRPr="00AA22EE">
        <w:fldChar w:fldCharType="end"/>
      </w:r>
      <w:r w:rsidRPr="00AA22EE">
        <w:fldChar w:fldCharType="end"/>
      </w:r>
      <w:r w:rsidRPr="00AA22EE">
        <w:t xml:space="preserve">. </w:t>
      </w:r>
    </w:p>
    <w:p w:rsidR="007E60E4" w:rsidRPr="00AA22EE" w:rsidRDefault="007E60E4" w:rsidP="00DE54FD">
      <w:r w:rsidRPr="00AA22EE">
        <w:rPr>
          <w:i/>
        </w:rPr>
        <w:lastRenderedPageBreak/>
        <w:t>Malus</w:t>
      </w:r>
      <w:r w:rsidRPr="00AA22EE">
        <w:t xml:space="preserve"> </w:t>
      </w:r>
      <w:r w:rsidRPr="00AA22EE">
        <w:rPr>
          <w:i/>
        </w:rPr>
        <w:t>pumila</w:t>
      </w:r>
      <w:r w:rsidRPr="00AA22EE">
        <w:t xml:space="preserve"> is currently the fourth globally most widely cultivated fruit plant with 69 million tonnes of apples grown commercially in 2010 requiring approximately 4,700,000 hectar</w:t>
      </w:r>
      <w:r w:rsidR="00BE421B">
        <w:t xml:space="preserve">es of land across 93 countries </w:t>
      </w:r>
      <w:r w:rsidR="00BE421B">
        <w:fldChar w:fldCharType="begin"/>
      </w:r>
      <w:r w:rsidR="00954B3D">
        <w:instrText xml:space="preserve"> ADDIN ZOTERO_ITEM CSL_CITATION {"citationID":"79rlapmko","properties":{"formattedCitation":"(FAO, 2014)","plainCitation":"(FAO, 2014)"},"citationItems":[{"id":189,"uris":["http://zotero.org/users/local/d1gJDEOw/items/MTKR8VIW"],"uri":["http://zotero.org/users/local/d1gJDEOw/items/MTKR8VIW"],"itemData":{"id":189,"type":"article","title":"FAOSTAT database collections. Food and Agriculture Organization of the United Nations.Rome","archive_location":"2016-06-01","URL":"http://foastat.fao.org","author":[{"literal":"FAO"}],"issued":{"date-parts":[["2014"]]}}}],"schema":"https://github.com/citation-style-language/schema/raw/master/csl-citation.json"} </w:instrText>
      </w:r>
      <w:r w:rsidR="00BE421B">
        <w:fldChar w:fldCharType="separate"/>
      </w:r>
      <w:r w:rsidR="00954B3D" w:rsidRPr="00954B3D">
        <w:rPr>
          <w:rFonts w:cs="Times New Roman"/>
        </w:rPr>
        <w:t>(FAO, 2014)</w:t>
      </w:r>
      <w:r w:rsidR="00BE421B">
        <w:fldChar w:fldCharType="end"/>
      </w:r>
      <w:r w:rsidRPr="00AA22EE">
        <w:t xml:space="preserve">. At present the largest producer of apples globally is China which occupies 50% of the global market </w:t>
      </w:r>
      <w:r w:rsidR="00C51141">
        <w:t xml:space="preserve">followed by the USA and Turkey </w:t>
      </w:r>
      <w:r w:rsidR="00C51141">
        <w:fldChar w:fldCharType="begin"/>
      </w:r>
      <w:r w:rsidR="00C51141">
        <w:instrText xml:space="preserve"> ADDIN ZOTERO_ITEM CSL_CITATION {"citationID":"17hngali5b","properties":{"formattedCitation":"(FAO, 2014)","plainCitation":"(FAO, 2014)"},"citationItems":[{"id":189,"uris":["http://zotero.org/users/local/d1gJDEOw/items/MTKR8VIW"],"uri":["http://zotero.org/users/local/d1gJDEOw/items/MTKR8VIW"],"itemData":{"id":189,"type":"article","title":"FAOSTAT database collections. Food and Agriculture Organization of the United Nations.Rome","archive_location":"2016-06-01","URL":"http://foastat.fao.org","author":[{"literal":"FAO"}],"issued":{"date-parts":[["2014"]]}}}],"schema":"https://github.com/citation-style-language/schema/raw/master/csl-citation.json"} </w:instrText>
      </w:r>
      <w:r w:rsidR="00C51141">
        <w:fldChar w:fldCharType="separate"/>
      </w:r>
      <w:r w:rsidR="00C51141" w:rsidRPr="00C51141">
        <w:rPr>
          <w:rFonts w:cs="Times New Roman"/>
        </w:rPr>
        <w:t>(FAO, 2014)</w:t>
      </w:r>
      <w:r w:rsidR="00C51141">
        <w:fldChar w:fldCharType="end"/>
      </w:r>
      <w:r w:rsidR="00C51141">
        <w:t xml:space="preserve">. </w:t>
      </w:r>
      <w:r w:rsidRPr="00AA22EE">
        <w:t xml:space="preserve">There are over 7,500 known cultivars of </w:t>
      </w:r>
      <w:r w:rsidRPr="00AA22EE">
        <w:rPr>
          <w:i/>
        </w:rPr>
        <w:t>M. pumila</w:t>
      </w:r>
      <w:r w:rsidRPr="00AA22EE">
        <w:t xml:space="preserve"> and the characteristics of the fruits of these different varieties make them suitable for specific purposes. Broadly the fruits of </w:t>
      </w:r>
      <w:r w:rsidRPr="00AA22EE">
        <w:rPr>
          <w:i/>
        </w:rPr>
        <w:t>M. pumila</w:t>
      </w:r>
      <w:r w:rsidRPr="00AA22EE">
        <w:t xml:space="preserve"> can be classed into three main categories; de</w:t>
      </w:r>
      <w:r w:rsidR="00E2551B">
        <w:t>s</w:t>
      </w:r>
      <w:r w:rsidRPr="00AA22EE">
        <w:t>sert varieties which are mainly eaten as raw fruit, culinary varieties and cider varieties used for production of cider and other alcoholic beverages. Although cider may be produced from all apple varieties, cider apple varieties are selected based u</w:t>
      </w:r>
      <w:r w:rsidR="00C51141">
        <w:t>pon a number of characteristics including tannin content and acidity</w:t>
      </w:r>
      <w:r w:rsidRPr="00AA22EE">
        <w:t xml:space="preserve"> </w:t>
      </w:r>
      <w:r w:rsidR="00BE421B">
        <w:fldChar w:fldCharType="begin"/>
      </w:r>
      <w:r w:rsidR="00954B3D">
        <w:instrText xml:space="preserve"> ADDIN ZOTERO_ITEM CSL_CITATION {"citationID":"dvueob3h8","properties":{"formattedCitation":"(Williams, 1996)","plainCitation":"(Williams, 1996)"},"citationItems":[{"id":625,"uris":["http://zotero.org/users/local/d1gJDEOw/items/DTKWXZGH"],"uri":["http://zotero.org/users/local/d1gJDEOw/items/DTKWXZGH"],"itemData":{"id":625,"type":"book","title":"Cider and Juice Apples: Growing and Processing","publisher":"Unviersity of Bristol Printing Unit","author":[{"family":"Williams","given":"R.R"}],"issued":{"date-parts":[["1996"]]}}}],"schema":"https://github.com/citation-style-language/schema/raw/master/csl-citation.json"} </w:instrText>
      </w:r>
      <w:r w:rsidR="00BE421B">
        <w:fldChar w:fldCharType="separate"/>
      </w:r>
      <w:r w:rsidR="00954B3D" w:rsidRPr="00954B3D">
        <w:rPr>
          <w:rFonts w:cs="Times New Roman"/>
        </w:rPr>
        <w:t>(Williams, 1996)</w:t>
      </w:r>
      <w:r w:rsidR="00BE421B">
        <w:fldChar w:fldCharType="end"/>
      </w:r>
      <w:r w:rsidRPr="00AA22EE">
        <w:t xml:space="preserve">. </w:t>
      </w:r>
    </w:p>
    <w:p w:rsidR="007E60E4" w:rsidRPr="00AA22EE" w:rsidRDefault="007E60E4" w:rsidP="007E60E4">
      <w:pPr>
        <w:pStyle w:val="Heading3"/>
        <w:rPr>
          <w:rFonts w:cs="Times New Roman"/>
        </w:rPr>
      </w:pPr>
      <w:bookmarkStart w:id="84" w:name="_Toc463208987"/>
      <w:bookmarkStart w:id="85" w:name="_Toc469855012"/>
      <w:bookmarkStart w:id="86" w:name="_Toc469856012"/>
      <w:bookmarkStart w:id="87" w:name="_Toc469931921"/>
      <w:bookmarkStart w:id="88" w:name="_Toc469982242"/>
      <w:r w:rsidRPr="00AA22EE">
        <w:rPr>
          <w:rFonts w:cs="Times New Roman"/>
        </w:rPr>
        <w:t>The UK cider industry</w:t>
      </w:r>
      <w:bookmarkEnd w:id="84"/>
      <w:bookmarkEnd w:id="85"/>
      <w:bookmarkEnd w:id="86"/>
      <w:bookmarkEnd w:id="87"/>
      <w:bookmarkEnd w:id="88"/>
      <w:r w:rsidRPr="00AA22EE">
        <w:rPr>
          <w:rFonts w:cs="Times New Roman"/>
        </w:rPr>
        <w:t xml:space="preserve"> </w:t>
      </w:r>
    </w:p>
    <w:p w:rsidR="007E60E4" w:rsidRPr="00DE54FD" w:rsidRDefault="007E60E4" w:rsidP="007E60E4">
      <w:pPr>
        <w:contextualSpacing/>
      </w:pPr>
      <w:r w:rsidRPr="00E96C45">
        <w:rPr>
          <w:rFonts w:cs="Times New Roman"/>
        </w:rPr>
        <w:t>The UK is</w:t>
      </w:r>
      <w:r>
        <w:rPr>
          <w:rFonts w:cs="Times New Roman"/>
        </w:rPr>
        <w:t xml:space="preserve"> the largest cider market both globally and across Europe </w:t>
      </w:r>
      <w:r>
        <w:rPr>
          <w:rFonts w:cs="Times New Roman"/>
        </w:rPr>
        <w:fldChar w:fldCharType="begin"/>
      </w:r>
      <w:r w:rsidR="00954B3D">
        <w:rPr>
          <w:rFonts w:cs="Times New Roman"/>
        </w:rPr>
        <w:instrText xml:space="preserve"> ADDIN ZOTERO_ITEM CSL_CITATION {"citationID":"cpa7m431d","properties":{"formattedCitation":"(NACM, 2016)","plainCitation":"(NACM, 2016)"},"citationItems":[{"id":778,"uris":["http://zotero.org/users/local/d1gJDEOw/items/5X8A2FBM"],"uri":["http://zotero.org/users/local/d1gJDEOw/items/5X8A2FBM"],"itemData":{"id":778,"type":"webpage","title":"UK Cider Market | The National Association of Cider Makers","URL":"http://cideruk.com/uk-cider-market/","author":[{"family":"NACM","given":""}],"issued":{"date-parts":[["2016"]]},"accessed":{"date-parts":[["2016",12,18]]}}}],"schema":"https://github.com/citation-style-language/schema/raw/master/csl-citation.json"} </w:instrText>
      </w:r>
      <w:r>
        <w:rPr>
          <w:rFonts w:cs="Times New Roman"/>
        </w:rPr>
        <w:fldChar w:fldCharType="separate"/>
      </w:r>
      <w:r w:rsidR="00954B3D" w:rsidRPr="00954B3D">
        <w:rPr>
          <w:rFonts w:cs="Times New Roman"/>
        </w:rPr>
        <w:t>(NACM, 2016)</w:t>
      </w:r>
      <w:r>
        <w:rPr>
          <w:rFonts w:cs="Times New Roman"/>
        </w:rPr>
        <w:fldChar w:fldCharType="end"/>
      </w:r>
      <w:r>
        <w:rPr>
          <w:rFonts w:cs="Times New Roman"/>
        </w:rPr>
        <w:t xml:space="preserve">. </w:t>
      </w:r>
      <w:r w:rsidRPr="00AA22EE">
        <w:rPr>
          <w:rFonts w:cs="Times New Roman"/>
        </w:rPr>
        <w:t>In the UK apples are grown upon 13,594 h</w:t>
      </w:r>
      <w:r w:rsidRPr="00DE54FD">
        <w:t>ectares of land with apple orchards accounting for 81% of the total area of land (16,788 hectares) u</w:t>
      </w:r>
      <w:r w:rsidR="00BE421B">
        <w:t xml:space="preserve">sed for growing orchard fruits </w:t>
      </w:r>
      <w:r w:rsidR="00BE421B">
        <w:fldChar w:fldCharType="begin"/>
      </w:r>
      <w:r w:rsidR="00954B3D">
        <w:instrText xml:space="preserve"> ADDIN ZOTERO_ITEM CSL_CITATION {"citationID":"2bcnnq7vo6","properties":{"formattedCitation":"(DEFRA, 2010a)","plainCitation":"(DEFRA, 2010a)"},"citationItems":[{"id":54,"uris":["http://zotero.org/users/local/d1gJDEOw/items/D4ZNGSAP"],"uri":["http://zotero.org/users/local/d1gJDEOw/items/D4ZNGSAP"],"itemData":{"id":54,"type":"article","title":"Apple best practice guide","author":[{"literal":"DEFRA"}],"issued":{"date-parts":[["2010"]]}}}],"schema":"https://github.com/citation-style-language/schema/raw/master/csl-citation.json"} </w:instrText>
      </w:r>
      <w:r w:rsidR="00BE421B">
        <w:fldChar w:fldCharType="separate"/>
      </w:r>
      <w:r w:rsidR="00954B3D" w:rsidRPr="00954B3D">
        <w:rPr>
          <w:rFonts w:cs="Times New Roman"/>
        </w:rPr>
        <w:t>(DEFRA, 2010a)</w:t>
      </w:r>
      <w:r w:rsidR="00BE421B">
        <w:fldChar w:fldCharType="end"/>
      </w:r>
      <w:r w:rsidR="00BE421B">
        <w:t>.</w:t>
      </w:r>
      <w:r w:rsidR="00361D64">
        <w:t xml:space="preserve"> </w:t>
      </w:r>
      <w:r w:rsidRPr="00DE54FD">
        <w:t>Within the UK 78% of fruit orchards are located in the southern counties of Somerset, Kent and Cambridgeshire, Herefordshire, Gloucester</w:t>
      </w:r>
      <w:r w:rsidR="00BE421B">
        <w:t xml:space="preserve">shire and Worcestershire </w:t>
      </w:r>
      <w:r w:rsidR="00BE421B">
        <w:fldChar w:fldCharType="begin"/>
      </w:r>
      <w:r w:rsidR="00954B3D">
        <w:instrText xml:space="preserve"> ADDIN ZOTERO_ITEM CSL_CITATION {"citationID":"e9otpeua0","properties":{"formattedCitation":"(Williams, 1996)","plainCitation":"(Williams, 1996)"},"citationItems":[{"id":625,"uris":["http://zotero.org/users/local/d1gJDEOw/items/DTKWXZGH"],"uri":["http://zotero.org/users/local/d1gJDEOw/items/DTKWXZGH"],"itemData":{"id":625,"type":"book","title":"Cider and Juice Apples: Growing and Processing","publisher":"Unviersity of Bristol Printing Unit","author":[{"family":"Williams","given":"R.R"}],"issued":{"date-parts":[["1996"]]}}}],"schema":"https://github.com/citation-style-language/schema/raw/master/csl-citation.json"} </w:instrText>
      </w:r>
      <w:r w:rsidR="00BE421B">
        <w:fldChar w:fldCharType="separate"/>
      </w:r>
      <w:r w:rsidR="00954B3D" w:rsidRPr="00954B3D">
        <w:rPr>
          <w:rFonts w:cs="Times New Roman"/>
        </w:rPr>
        <w:t>(Williams, 1996)</w:t>
      </w:r>
      <w:r w:rsidR="00BE421B">
        <w:fldChar w:fldCharType="end"/>
      </w:r>
      <w:r w:rsidRPr="00DE54FD">
        <w:t xml:space="preserve"> mainly due to the climatic suitability of these a</w:t>
      </w:r>
      <w:r w:rsidR="00DC59CF" w:rsidRPr="00DE54FD">
        <w:t>reas for apple growing (</w:t>
      </w:r>
      <w:r w:rsidR="00DC59CF" w:rsidRPr="00DE54FD">
        <w:fldChar w:fldCharType="begin"/>
      </w:r>
      <w:r w:rsidR="00DC59CF" w:rsidRPr="00DE54FD">
        <w:instrText xml:space="preserve"> REF _Ref469851219 \h </w:instrText>
      </w:r>
      <w:r w:rsidR="00DE54FD">
        <w:instrText xml:space="preserve"> \* MERGEFORMAT </w:instrText>
      </w:r>
      <w:r w:rsidR="00DC59CF" w:rsidRPr="00DE54FD">
        <w:fldChar w:fldCharType="end"/>
      </w:r>
      <w:r w:rsidRPr="00DE54FD">
        <w:t xml:space="preserve">). </w:t>
      </w:r>
    </w:p>
    <w:p w:rsidR="007E60E4" w:rsidRDefault="007E60E4" w:rsidP="007E60E4">
      <w:pPr>
        <w:contextualSpacing/>
        <w:rPr>
          <w:rFonts w:cs="Times New Roman"/>
        </w:rPr>
      </w:pPr>
      <w:r w:rsidRPr="00AA22EE">
        <w:rPr>
          <w:rFonts w:cs="Times New Roman"/>
          <w:b/>
          <w:noProof/>
          <w:lang w:eastAsia="en-GB"/>
        </w:rPr>
        <w:drawing>
          <wp:anchor distT="0" distB="0" distL="114300" distR="114300" simplePos="0" relativeHeight="251662336" behindDoc="1" locked="0" layoutInCell="1" allowOverlap="1" wp14:anchorId="78C399D4" wp14:editId="02F1610A">
            <wp:simplePos x="0" y="0"/>
            <wp:positionH relativeFrom="column">
              <wp:posOffset>641985</wp:posOffset>
            </wp:positionH>
            <wp:positionV relativeFrom="paragraph">
              <wp:posOffset>219710</wp:posOffset>
            </wp:positionV>
            <wp:extent cx="2734310" cy="3400425"/>
            <wp:effectExtent l="0" t="0" r="8890" b="952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t="1221" b="1354"/>
                    <a:stretch>
                      <a:fillRect/>
                    </a:stretch>
                  </pic:blipFill>
                  <pic:spPr bwMode="auto">
                    <a:xfrm>
                      <a:off x="0" y="0"/>
                      <a:ext cx="2734310" cy="34004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61D64" w:rsidRPr="00AA22EE" w:rsidRDefault="00361D64" w:rsidP="00361D64">
      <w:pPr>
        <w:pStyle w:val="Caption"/>
        <w:rPr>
          <w:b/>
        </w:rPr>
      </w:pPr>
      <w:r>
        <w:t xml:space="preserve">Figure </w:t>
      </w:r>
      <w:fldSimple w:instr=" STYLEREF 1 \s ">
        <w:r w:rsidR="00E0714D">
          <w:rPr>
            <w:noProof/>
          </w:rPr>
          <w:t>1</w:t>
        </w:r>
      </w:fldSimple>
      <w:r>
        <w:t>.</w:t>
      </w:r>
      <w:fldSimple w:instr=" SEQ Figure \* ARABIC \s 1 ">
        <w:r w:rsidR="00E0714D">
          <w:rPr>
            <w:noProof/>
          </w:rPr>
          <w:t>3</w:t>
        </w:r>
      </w:fldSimple>
      <w:r>
        <w:t xml:space="preserve"> </w:t>
      </w:r>
      <w:r w:rsidRPr="00AA22EE">
        <w:t xml:space="preserve">Map of the distribution of </w:t>
      </w:r>
      <w:r w:rsidRPr="00DC59CF">
        <w:t>traditional</w:t>
      </w:r>
      <w:r w:rsidRPr="00AA22EE">
        <w:t xml:space="preserve"> orchards in the UK showing regions with climatic suitability for apple growing (</w:t>
      </w:r>
      <w:r w:rsidRPr="008C190E">
        <w:t>Source</w:t>
      </w:r>
      <w:r w:rsidRPr="008C190E">
        <w:fldChar w:fldCharType="begin"/>
      </w:r>
      <w:r w:rsidRPr="008C190E">
        <w:instrText xml:space="preserve"> ADDIN EN.CITE &lt;EndNote&gt;&lt;Cite&gt;&lt;Author&gt;BAP&lt;/Author&gt;&lt;Year&gt;2008&lt;/Year&gt;&lt;IDText&gt;UK Biodiversity Action Plan Priority Habitats Descriptions: Traditional Orchards&lt;/IDText&gt;&lt;DisplayText&gt;(BAP 2008)&lt;/DisplayText&gt;&lt;record&gt;&lt;titles&gt;&lt;title&gt;UK Biodiversity Action Plan Priority Habitats Descriptions: Traditional Orchards&lt;/title&gt;&lt;/titles&gt;&lt;contributors&gt;&lt;authors&gt;&lt;author&gt;BAP&lt;/author&gt;&lt;/authors&gt;&lt;/contributors&gt;&lt;added-date format="utc"&gt;1358985578&lt;/added-date&gt;&lt;ref-type name="Report"&gt;27&lt;/ref-type&gt;&lt;dates&gt;&lt;year&gt;2008&lt;/year&gt;&lt;/dates&gt;&lt;rec-number&gt;192&lt;/rec-number&gt;&lt;last-updated-date format="utc"&gt;1359638983&lt;/last-updated-date&gt;&lt;/record&gt;&lt;/Cite&gt;&lt;/EndNote&gt;</w:instrText>
      </w:r>
      <w:r w:rsidRPr="008C190E">
        <w:fldChar w:fldCharType="separate"/>
      </w:r>
      <w:r w:rsidRPr="008C190E">
        <w:rPr>
          <w:noProof/>
        </w:rPr>
        <w:t xml:space="preserve"> </w:t>
      </w:r>
      <w:r w:rsidRPr="008C190E">
        <w:fldChar w:fldCharType="end"/>
      </w:r>
      <w:r>
        <w:fldChar w:fldCharType="begin"/>
      </w:r>
      <w:r>
        <w:instrText xml:space="preserve"> ADDIN ZOTERO_ITEM CSL_CITATION {"citationID":"ovIqGMJ9","properties":{"formattedCitation":"(DEFRA, 2008)","plainCitation":"(DEFRA, 2008)"},"citationItems":[{"id":794,"uris":["http://zotero.org/users/local/d1gJDEOw/items/DCPF8AGN"],"uri":["http://zotero.org/users/local/d1gJDEOw/items/DCPF8AGN"],"itemData":{"id":794,"type":"article","title":"UK Biodiversity Action Plan Priority Habitats Descriptions: Traditional Orchards.","author":[{"family":"DEFRA","given":""}],"issued":{"date-parts":[["2008"]]}}}],"schema":"https://github.com/citation-style-language/schema/raw/master/csl-citation.json"} </w:instrText>
      </w:r>
      <w:r>
        <w:fldChar w:fldCharType="separate"/>
      </w:r>
      <w:r w:rsidRPr="00954B3D">
        <w:rPr>
          <w:rFonts w:cs="Times New Roman"/>
        </w:rPr>
        <w:t>(DEFRA, 2008)</w:t>
      </w:r>
      <w:r>
        <w:fldChar w:fldCharType="end"/>
      </w:r>
    </w:p>
    <w:p w:rsidR="00DC59CF" w:rsidRDefault="00DC59CF" w:rsidP="007E60E4">
      <w:pPr>
        <w:contextualSpacing/>
        <w:rPr>
          <w:rFonts w:cs="Times New Roman"/>
        </w:rPr>
      </w:pPr>
    </w:p>
    <w:p w:rsidR="00C51141" w:rsidRDefault="007E60E4" w:rsidP="00DE54FD">
      <w:r w:rsidRPr="00AA22EE">
        <w:t>During the late 20</w:t>
      </w:r>
      <w:r w:rsidRPr="00AA22EE">
        <w:rPr>
          <w:vertAlign w:val="superscript"/>
        </w:rPr>
        <w:t>th</w:t>
      </w:r>
      <w:r w:rsidRPr="00AA22EE">
        <w:t xml:space="preserve"> Century, apple production within the UK experienced substantial changes to both the choice of apple varieties grown and orchard management. Since the 1980’s reduction in </w:t>
      </w:r>
      <w:r w:rsidRPr="00AA22EE">
        <w:lastRenderedPageBreak/>
        <w:t xml:space="preserve">the quantities of both </w:t>
      </w:r>
      <w:r w:rsidR="00E2551B">
        <w:t>dessert</w:t>
      </w:r>
      <w:r w:rsidRPr="00AA22EE">
        <w:t xml:space="preserve"> and culinary apples grown has mainly been attributed to increased importation of apples from abroad with imported apples now accounting for 66% of</w:t>
      </w:r>
      <w:r w:rsidR="00B44B3A">
        <w:t xml:space="preserve"> </w:t>
      </w:r>
      <w:r w:rsidR="00BE421B">
        <w:t>the apples consumed in the UK</w:t>
      </w:r>
      <w:r w:rsidR="00B44B3A">
        <w:t xml:space="preserve"> </w:t>
      </w:r>
      <w:r w:rsidR="00B44B3A">
        <w:fldChar w:fldCharType="begin"/>
      </w:r>
      <w:r w:rsidR="00954B3D">
        <w:instrText xml:space="preserve"> ADDIN ZOTERO_ITEM CSL_CITATION {"citationID":"2bdkpvk7m2","properties":{"formattedCitation":"(DEFRA, 2014)","plainCitation":"(DEFRA, 2014)"},"citationItems":[{"id":797,"uris":["http://zotero.org/users/local/d1gJDEOw/items/JDFEKGU6"],"uri":["http://zotero.org/users/local/d1gJDEOw/items/JDFEKGU6"],"itemData":{"id":797,"type":"article","title":"Basic horticultural statistics 2014","author":[{"family":"DEFRA","given":""}],"issued":{"date-parts":[["2014"]]}}}],"schema":"https://github.com/citation-style-language/schema/raw/master/csl-citation.json"} </w:instrText>
      </w:r>
      <w:r w:rsidR="00B44B3A">
        <w:fldChar w:fldCharType="separate"/>
      </w:r>
      <w:r w:rsidR="00954B3D" w:rsidRPr="00954B3D">
        <w:rPr>
          <w:rFonts w:cs="Times New Roman"/>
        </w:rPr>
        <w:t>(DEFRA, 2014)</w:t>
      </w:r>
      <w:r w:rsidR="00B44B3A">
        <w:fldChar w:fldCharType="end"/>
      </w:r>
      <w:r w:rsidR="00BE421B">
        <w:t xml:space="preserve"> </w:t>
      </w:r>
      <w:r w:rsidRPr="00AA22EE">
        <w:t xml:space="preserve">. In contrast cider apple production has substantially increased with the cultivated area of cider apples almost doubling since 1985 </w:t>
      </w:r>
      <w:r>
        <w:t>(</w:t>
      </w:r>
      <w:r w:rsidR="008C190E">
        <w:fldChar w:fldCharType="begin"/>
      </w:r>
      <w:r w:rsidR="008C190E">
        <w:instrText xml:space="preserve"> REF _Ref469864022 \h </w:instrText>
      </w:r>
      <w:r w:rsidR="008C190E">
        <w:fldChar w:fldCharType="separate"/>
      </w:r>
      <w:r w:rsidR="00E0714D" w:rsidRPr="000707EA">
        <w:t xml:space="preserve">Figure </w:t>
      </w:r>
      <w:r w:rsidR="00E0714D">
        <w:rPr>
          <w:noProof/>
        </w:rPr>
        <w:t>1</w:t>
      </w:r>
      <w:r w:rsidR="00E0714D">
        <w:t>.</w:t>
      </w:r>
      <w:r w:rsidR="00E0714D">
        <w:rPr>
          <w:noProof/>
        </w:rPr>
        <w:t>4</w:t>
      </w:r>
      <w:r w:rsidR="008C190E">
        <w:fldChar w:fldCharType="end"/>
      </w:r>
      <w:r>
        <w:t>)</w:t>
      </w:r>
      <w:r w:rsidRPr="00AA22EE">
        <w:t xml:space="preserve">. Cider apples now account for approximately 38% of UK grown apples, a large proportion in comparison to </w:t>
      </w:r>
      <w:r w:rsidR="00E2551B">
        <w:t>dessert</w:t>
      </w:r>
      <w:r w:rsidRPr="00AA22EE">
        <w:t xml:space="preserve"> apples (36%) and cul</w:t>
      </w:r>
      <w:r w:rsidR="00B44B3A">
        <w:t xml:space="preserve">inary apples (26%) </w:t>
      </w:r>
      <w:r w:rsidR="00B44B3A">
        <w:fldChar w:fldCharType="begin"/>
      </w:r>
      <w:r w:rsidR="00954B3D">
        <w:instrText xml:space="preserve"> ADDIN ZOTERO_ITEM CSL_CITATION {"citationID":"8qt47s6pu","properties":{"formattedCitation":"(DEFRA, 2014)","plainCitation":"(DEFRA, 2014)"},"citationItems":[{"id":797,"uris":["http://zotero.org/users/local/d1gJDEOw/items/JDFEKGU6"],"uri":["http://zotero.org/users/local/d1gJDEOw/items/JDFEKGU6"],"itemData":{"id":797,"type":"article","title":"Basic horticultural statistics 2014","author":[{"family":"DEFRA","given":""}],"issued":{"date-parts":[["2014"]]}}}],"schema":"https://github.com/citation-style-language/schema/raw/master/csl-citation.json"} </w:instrText>
      </w:r>
      <w:r w:rsidR="00B44B3A">
        <w:fldChar w:fldCharType="separate"/>
      </w:r>
      <w:r w:rsidR="00954B3D" w:rsidRPr="00954B3D">
        <w:rPr>
          <w:rFonts w:cs="Times New Roman"/>
        </w:rPr>
        <w:t>(DEFRA, 2014)</w:t>
      </w:r>
      <w:r w:rsidR="00B44B3A">
        <w:fldChar w:fldCharType="end"/>
      </w:r>
      <w:r w:rsidRPr="00AA22EE">
        <w:t>.</w:t>
      </w:r>
    </w:p>
    <w:p w:rsidR="007E60E4" w:rsidRPr="00AA22EE" w:rsidRDefault="007E60E4" w:rsidP="00DE54FD">
      <w:r w:rsidRPr="00AA22EE">
        <w:t>Similarly, the management of orchards has undergone large scale changes over time. Although the domestic apple is thought to have been introduced to the UK by the Romans in around 43 AD it was the early 1600’s when planting of apple orchards first began to occur and by the late 17</w:t>
      </w:r>
      <w:r w:rsidRPr="00AA22EE">
        <w:rPr>
          <w:vertAlign w:val="superscript"/>
        </w:rPr>
        <w:t>th</w:t>
      </w:r>
      <w:r w:rsidRPr="00AA22EE">
        <w:t xml:space="preserve"> Century orchards were a distinct part of the UK landscape particularly in the southern counties.  The popularity and extent of orchards fluctuated during the 18</w:t>
      </w:r>
      <w:r w:rsidRPr="00AA22EE">
        <w:rPr>
          <w:vertAlign w:val="superscript"/>
        </w:rPr>
        <w:t>th</w:t>
      </w:r>
      <w:r w:rsidRPr="00AA22EE">
        <w:t xml:space="preserve"> and 19</w:t>
      </w:r>
      <w:r w:rsidRPr="00AA22EE">
        <w:rPr>
          <w:vertAlign w:val="superscript"/>
        </w:rPr>
        <w:t>th</w:t>
      </w:r>
      <w:r w:rsidRPr="00AA22EE">
        <w:t xml:space="preserve"> Century yet orchard planting was on the increase by the end of the 19</w:t>
      </w:r>
      <w:r w:rsidRPr="00AA22EE">
        <w:rPr>
          <w:vertAlign w:val="superscript"/>
        </w:rPr>
        <w:t>th</w:t>
      </w:r>
      <w:r w:rsidRPr="00AA22EE">
        <w:t xml:space="preserve">C and by the early 1900’s traditional orchards were a common feature of small mixed farms. In the aftermath of World War 2, changes in favour of agricultural intensification began to occur and the development of modern apple rootstocks such as M25 and M9 around the 1950’s by horticultural research stations such as Long Ashton, East </w:t>
      </w:r>
      <w:proofErr w:type="spellStart"/>
      <w:r w:rsidRPr="00AA22EE">
        <w:t>Malling</w:t>
      </w:r>
      <w:proofErr w:type="spellEnd"/>
      <w:r w:rsidRPr="00AA22EE">
        <w:t xml:space="preserve"> and Merton was particularly significant in this</w:t>
      </w:r>
      <w:r>
        <w:t>.</w:t>
      </w:r>
    </w:p>
    <w:p w:rsidR="007E60E4" w:rsidRPr="00AA22EE" w:rsidRDefault="007E60E4" w:rsidP="007E60E4">
      <w:pPr>
        <w:contextualSpacing/>
        <w:rPr>
          <w:rFonts w:cs="Times New Roman"/>
        </w:rPr>
      </w:pPr>
    </w:p>
    <w:p w:rsidR="000D114A" w:rsidRDefault="00E2551B" w:rsidP="000D114A">
      <w:r>
        <w:rPr>
          <w:noProof/>
          <w:lang w:eastAsia="en-GB"/>
        </w:rPr>
        <w:drawing>
          <wp:inline distT="0" distB="0" distL="0" distR="0">
            <wp:extent cx="5400040" cy="36912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rchard Area_updated dessert.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40" cy="3691255"/>
                    </a:xfrm>
                    <a:prstGeom prst="rect">
                      <a:avLst/>
                    </a:prstGeom>
                  </pic:spPr>
                </pic:pic>
              </a:graphicData>
            </a:graphic>
          </wp:inline>
        </w:drawing>
      </w:r>
    </w:p>
    <w:p w:rsidR="007E60E4" w:rsidRPr="00AA22EE" w:rsidRDefault="007E60E4" w:rsidP="000D114A">
      <w:pPr>
        <w:pStyle w:val="Caption"/>
      </w:pPr>
      <w:bookmarkStart w:id="89" w:name="_Ref469864022"/>
      <w:bookmarkStart w:id="90" w:name="_Toc469982759"/>
      <w:r w:rsidRPr="000707EA">
        <w:t xml:space="preserve">Figure </w:t>
      </w:r>
      <w:r w:rsidR="00C44EF5">
        <w:fldChar w:fldCharType="begin"/>
      </w:r>
      <w:r w:rsidR="00C44EF5">
        <w:instrText xml:space="preserve"> STYLEREF 1 \s </w:instrText>
      </w:r>
      <w:r w:rsidR="00C44EF5">
        <w:fldChar w:fldCharType="separate"/>
      </w:r>
      <w:r w:rsidR="00E0714D">
        <w:rPr>
          <w:noProof/>
        </w:rPr>
        <w:t>1</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4</w:t>
      </w:r>
      <w:r w:rsidR="00C44EF5">
        <w:rPr>
          <w:noProof/>
        </w:rPr>
        <w:fldChar w:fldCharType="end"/>
      </w:r>
      <w:bookmarkEnd w:id="89"/>
      <w:r>
        <w:t xml:space="preserve"> Total UK area occupied by orchards for three apple types showing the increase in cider apple orchards since 1985. Three year running means from 1985 to 2013 are presented. Data from DEFRA, </w:t>
      </w:r>
      <w:r w:rsidR="00B44B3A">
        <w:t>2014</w:t>
      </w:r>
      <w:bookmarkEnd w:id="90"/>
    </w:p>
    <w:p w:rsidR="007E60E4" w:rsidRPr="00AA22EE" w:rsidRDefault="00DC59CF" w:rsidP="007E60E4">
      <w:pPr>
        <w:contextualSpacing/>
        <w:rPr>
          <w:rFonts w:cs="Times New Roman"/>
        </w:rPr>
      </w:pPr>
      <w:r>
        <w:rPr>
          <w:rFonts w:cs="Times New Roman"/>
          <w:noProof/>
          <w:lang w:eastAsia="en-GB"/>
        </w:rPr>
        <w:lastRenderedPageBreak/>
        <mc:AlternateContent>
          <mc:Choice Requires="wpg">
            <w:drawing>
              <wp:anchor distT="0" distB="0" distL="114300" distR="114300" simplePos="0" relativeHeight="251664384" behindDoc="0" locked="0" layoutInCell="1" allowOverlap="1" wp14:anchorId="5E9031A5" wp14:editId="5CCD6174">
                <wp:simplePos x="0" y="0"/>
                <wp:positionH relativeFrom="column">
                  <wp:posOffset>-994</wp:posOffset>
                </wp:positionH>
                <wp:positionV relativeFrom="paragraph">
                  <wp:posOffset>2233157</wp:posOffset>
                </wp:positionV>
                <wp:extent cx="889237" cy="1688088"/>
                <wp:effectExtent l="0" t="0" r="0" b="7620"/>
                <wp:wrapNone/>
                <wp:docPr id="193" name="Group 193"/>
                <wp:cNvGraphicFramePr/>
                <a:graphic xmlns:a="http://schemas.openxmlformats.org/drawingml/2006/main">
                  <a:graphicData uri="http://schemas.microsoft.com/office/word/2010/wordprocessingGroup">
                    <wpg:wgp>
                      <wpg:cNvGrpSpPr/>
                      <wpg:grpSpPr>
                        <a:xfrm>
                          <a:off x="0" y="0"/>
                          <a:ext cx="889237" cy="1688088"/>
                          <a:chOff x="0" y="0"/>
                          <a:chExt cx="889237" cy="1688088"/>
                        </a:xfrm>
                      </wpg:grpSpPr>
                      <wps:wsp>
                        <wps:cNvPr id="31" name="Text Box 2"/>
                        <wps:cNvSpPr txBox="1">
                          <a:spLocks noChangeArrowheads="1"/>
                        </wps:cNvSpPr>
                        <wps:spPr bwMode="auto">
                          <a:xfrm>
                            <a:off x="0" y="0"/>
                            <a:ext cx="889000" cy="419100"/>
                          </a:xfrm>
                          <a:prstGeom prst="rect">
                            <a:avLst/>
                          </a:prstGeom>
                          <a:noFill/>
                          <a:ln w="9525">
                            <a:noFill/>
                            <a:miter lim="800000"/>
                            <a:headEnd/>
                            <a:tailEnd/>
                          </a:ln>
                        </wps:spPr>
                        <wps:txbx>
                          <w:txbxContent>
                            <w:p w:rsidR="003C4E2F" w:rsidRPr="006A18A7" w:rsidRDefault="003C4E2F" w:rsidP="007E60E4">
                              <w:pPr>
                                <w:spacing w:line="240" w:lineRule="auto"/>
                                <w:rPr>
                                  <w:b/>
                                  <w:sz w:val="20"/>
                                  <w:szCs w:val="20"/>
                                </w:rPr>
                              </w:pPr>
                              <w:r>
                                <w:rPr>
                                  <w:b/>
                                  <w:sz w:val="20"/>
                                  <w:szCs w:val="20"/>
                                </w:rPr>
                                <w:t>Thousand tonnes</w:t>
                              </w:r>
                            </w:p>
                          </w:txbxContent>
                        </wps:txbx>
                        <wps:bodyPr rot="0" vert="horz" wrap="square" lIns="91440" tIns="45720" rIns="91440" bIns="45720" anchor="t" anchorCtr="0">
                          <a:noAutofit/>
                        </wps:bodyPr>
                      </wps:wsp>
                      <wpg:grpSp>
                        <wpg:cNvPr id="192" name="Group 192"/>
                        <wpg:cNvGrpSpPr/>
                        <wpg:grpSpPr>
                          <a:xfrm>
                            <a:off x="7953" y="449838"/>
                            <a:ext cx="881284" cy="1238250"/>
                            <a:chOff x="-19343" y="81348"/>
                            <a:chExt cx="881284" cy="1238250"/>
                          </a:xfrm>
                        </wpg:grpSpPr>
                        <wps:wsp>
                          <wps:cNvPr id="217" name="Text Box 2"/>
                          <wps:cNvSpPr txBox="1">
                            <a:spLocks noChangeArrowheads="1"/>
                          </wps:cNvSpPr>
                          <wps:spPr bwMode="auto">
                            <a:xfrm>
                              <a:off x="204716" y="81348"/>
                              <a:ext cx="657225" cy="1238250"/>
                            </a:xfrm>
                            <a:prstGeom prst="rect">
                              <a:avLst/>
                            </a:prstGeom>
                            <a:noFill/>
                            <a:ln w="9525">
                              <a:noFill/>
                              <a:miter lim="800000"/>
                              <a:headEnd/>
                              <a:tailEnd/>
                            </a:ln>
                          </wps:spPr>
                          <wps:txbx>
                            <w:txbxContent>
                              <w:p w:rsidR="003C4E2F" w:rsidRPr="006A18A7" w:rsidRDefault="003C4E2F" w:rsidP="007E60E4">
                                <w:pPr>
                                  <w:spacing w:line="240" w:lineRule="auto"/>
                                  <w:rPr>
                                    <w:b/>
                                    <w:sz w:val="20"/>
                                    <w:szCs w:val="20"/>
                                  </w:rPr>
                                </w:pPr>
                                <w:r w:rsidRPr="006A18A7">
                                  <w:rPr>
                                    <w:b/>
                                    <w:sz w:val="20"/>
                                    <w:szCs w:val="20"/>
                                  </w:rPr>
                                  <w:t>&lt;</w:t>
                                </w:r>
                                <w:r>
                                  <w:rPr>
                                    <w:b/>
                                    <w:sz w:val="20"/>
                                    <w:szCs w:val="20"/>
                                  </w:rPr>
                                  <w:t xml:space="preserve"> </w:t>
                                </w:r>
                                <w:r w:rsidRPr="006A18A7">
                                  <w:rPr>
                                    <w:b/>
                                    <w:sz w:val="20"/>
                                    <w:szCs w:val="20"/>
                                  </w:rPr>
                                  <w:t>10</w:t>
                                </w:r>
                              </w:p>
                              <w:p w:rsidR="003C4E2F" w:rsidRPr="006A18A7" w:rsidRDefault="003C4E2F" w:rsidP="007E60E4">
                                <w:pPr>
                                  <w:spacing w:line="240" w:lineRule="auto"/>
                                  <w:rPr>
                                    <w:b/>
                                    <w:sz w:val="20"/>
                                    <w:szCs w:val="20"/>
                                  </w:rPr>
                                </w:pPr>
                                <w:r>
                                  <w:rPr>
                                    <w:b/>
                                    <w:sz w:val="20"/>
                                    <w:szCs w:val="20"/>
                                  </w:rPr>
                                  <w:t xml:space="preserve">&lt; </w:t>
                                </w:r>
                                <w:r w:rsidRPr="006A18A7">
                                  <w:rPr>
                                    <w:b/>
                                    <w:sz w:val="20"/>
                                    <w:szCs w:val="20"/>
                                  </w:rPr>
                                  <w:t>80</w:t>
                                </w:r>
                              </w:p>
                              <w:p w:rsidR="003C4E2F" w:rsidRPr="006A18A7" w:rsidRDefault="003C4E2F" w:rsidP="007E60E4">
                                <w:pPr>
                                  <w:spacing w:line="240" w:lineRule="auto"/>
                                  <w:rPr>
                                    <w:b/>
                                    <w:sz w:val="20"/>
                                    <w:szCs w:val="20"/>
                                  </w:rPr>
                                </w:pPr>
                                <w:r>
                                  <w:rPr>
                                    <w:b/>
                                    <w:sz w:val="20"/>
                                    <w:szCs w:val="20"/>
                                  </w:rPr>
                                  <w:t xml:space="preserve">&lt; </w:t>
                                </w:r>
                                <w:r w:rsidRPr="006A18A7">
                                  <w:rPr>
                                    <w:b/>
                                    <w:sz w:val="20"/>
                                    <w:szCs w:val="20"/>
                                  </w:rPr>
                                  <w:t>252</w:t>
                                </w:r>
                              </w:p>
                              <w:p w:rsidR="003C4E2F" w:rsidRPr="006A18A7" w:rsidRDefault="003C4E2F" w:rsidP="007E60E4">
                                <w:pPr>
                                  <w:spacing w:line="240" w:lineRule="auto"/>
                                  <w:rPr>
                                    <w:b/>
                                    <w:sz w:val="20"/>
                                    <w:szCs w:val="20"/>
                                  </w:rPr>
                                </w:pPr>
                                <w:r>
                                  <w:rPr>
                                    <w:b/>
                                    <w:sz w:val="20"/>
                                    <w:szCs w:val="20"/>
                                  </w:rPr>
                                  <w:t xml:space="preserve">&lt; </w:t>
                                </w:r>
                                <w:r w:rsidRPr="006A18A7">
                                  <w:rPr>
                                    <w:b/>
                                    <w:sz w:val="20"/>
                                    <w:szCs w:val="20"/>
                                  </w:rPr>
                                  <w:t>2,462</w:t>
                                </w:r>
                              </w:p>
                              <w:p w:rsidR="003C4E2F" w:rsidRPr="006A18A7" w:rsidRDefault="003C4E2F" w:rsidP="007E60E4">
                                <w:pPr>
                                  <w:spacing w:line="240" w:lineRule="auto"/>
                                  <w:rPr>
                                    <w:b/>
                                    <w:sz w:val="20"/>
                                    <w:szCs w:val="20"/>
                                  </w:rPr>
                                </w:pPr>
                                <w:r w:rsidRPr="006A18A7">
                                  <w:rPr>
                                    <w:b/>
                                    <w:sz w:val="20"/>
                                    <w:szCs w:val="20"/>
                                  </w:rPr>
                                  <w:t>&gt; 2,462</w:t>
                                </w:r>
                              </w:p>
                            </w:txbxContent>
                          </wps:txbx>
                          <wps:bodyPr rot="0" vert="horz" wrap="square" lIns="91440" tIns="45720" rIns="91440" bIns="45720" anchor="t" anchorCtr="0">
                            <a:noAutofit/>
                          </wps:bodyPr>
                        </wps:wsp>
                        <pic:pic xmlns:pic="http://schemas.openxmlformats.org/drawingml/2006/picture">
                          <pic:nvPicPr>
                            <pic:cNvPr id="30" name="Picture 30"/>
                            <pic:cNvPicPr>
                              <a:picLocks noChangeAspect="1"/>
                            </pic:cNvPicPr>
                          </pic:nvPicPr>
                          <pic:blipFill rotWithShape="1">
                            <a:blip r:embed="rId15">
                              <a:extLst>
                                <a:ext uri="{28A0092B-C50C-407E-A947-70E740481C1C}">
                                  <a14:useLocalDpi xmlns:a14="http://schemas.microsoft.com/office/drawing/2010/main" val="0"/>
                                </a:ext>
                              </a:extLst>
                            </a:blip>
                            <a:srcRect l="54976" t="4615" r="44361" b="86025"/>
                            <a:stretch/>
                          </pic:blipFill>
                          <pic:spPr bwMode="auto">
                            <a:xfrm>
                              <a:off x="-19343" y="91948"/>
                              <a:ext cx="264962" cy="1227574"/>
                            </a:xfrm>
                            <a:prstGeom prst="rect">
                              <a:avLst/>
                            </a:prstGeom>
                            <a:ln>
                              <a:noFill/>
                            </a:ln>
                            <a:extLst>
                              <a:ext uri="{53640926-AAD7-44D8-BBD7-CCE9431645EC}">
                                <a14:shadowObscured xmlns:a14="http://schemas.microsoft.com/office/drawing/2010/main"/>
                              </a:ext>
                            </a:extLst>
                          </pic:spPr>
                        </pic:pic>
                      </wpg:grpSp>
                    </wpg:wgp>
                  </a:graphicData>
                </a:graphic>
                <wp14:sizeRelV relativeFrom="margin">
                  <wp14:pctHeight>0</wp14:pctHeight>
                </wp14:sizeRelV>
              </wp:anchor>
            </w:drawing>
          </mc:Choice>
          <mc:Fallback>
            <w:pict>
              <v:group w14:anchorId="5E9031A5" id="Group 193" o:spid="_x0000_s1026" style="position:absolute;left:0;text-align:left;margin-left:-.1pt;margin-top:175.85pt;width:70pt;height:132.9pt;z-index:251664384;mso-height-relative:margin" coordsize="8892,16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">
                <v:shapetype id="_x0000_t202" coordsize="21600,21600" o:spt="202" path="m,l,21600r21600,l21600,xe">
                  <v:stroke joinstyle="miter"/>
                  <v:path gradientshapeok="t" o:connecttype="rect"/>
                </v:shapetype>
                <v:shape id="_x0000_s1027" type="#_x0000_t202" style="position:absolute;width:889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rsidR="003C4E2F" w:rsidRPr="006A18A7" w:rsidRDefault="003C4E2F" w:rsidP="007E60E4">
                        <w:pPr>
                          <w:spacing w:line="240" w:lineRule="auto"/>
                          <w:rPr>
                            <w:b/>
                            <w:sz w:val="20"/>
                            <w:szCs w:val="20"/>
                          </w:rPr>
                        </w:pPr>
                        <w:r>
                          <w:rPr>
                            <w:b/>
                            <w:sz w:val="20"/>
                            <w:szCs w:val="20"/>
                          </w:rPr>
                          <w:t>Thousand tonnes</w:t>
                        </w:r>
                      </w:p>
                    </w:txbxContent>
                  </v:textbox>
                </v:shape>
                <v:group id="Group 192" o:spid="_x0000_s1028" style="position:absolute;left:79;top:4498;width:8813;height:12382" coordorigin="-193,813" coordsize="8812,12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shape id="_x0000_s1029" type="#_x0000_t202" style="position:absolute;left:2047;top:813;width:6572;height:12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rsidR="003C4E2F" w:rsidRPr="006A18A7" w:rsidRDefault="003C4E2F" w:rsidP="007E60E4">
                          <w:pPr>
                            <w:spacing w:line="240" w:lineRule="auto"/>
                            <w:rPr>
                              <w:b/>
                              <w:sz w:val="20"/>
                              <w:szCs w:val="20"/>
                            </w:rPr>
                          </w:pPr>
                          <w:r w:rsidRPr="006A18A7">
                            <w:rPr>
                              <w:b/>
                              <w:sz w:val="20"/>
                              <w:szCs w:val="20"/>
                            </w:rPr>
                            <w:t>&lt;</w:t>
                          </w:r>
                          <w:r>
                            <w:rPr>
                              <w:b/>
                              <w:sz w:val="20"/>
                              <w:szCs w:val="20"/>
                            </w:rPr>
                            <w:t xml:space="preserve"> </w:t>
                          </w:r>
                          <w:r w:rsidRPr="006A18A7">
                            <w:rPr>
                              <w:b/>
                              <w:sz w:val="20"/>
                              <w:szCs w:val="20"/>
                            </w:rPr>
                            <w:t>10</w:t>
                          </w:r>
                        </w:p>
                        <w:p w:rsidR="003C4E2F" w:rsidRPr="006A18A7" w:rsidRDefault="003C4E2F" w:rsidP="007E60E4">
                          <w:pPr>
                            <w:spacing w:line="240" w:lineRule="auto"/>
                            <w:rPr>
                              <w:b/>
                              <w:sz w:val="20"/>
                              <w:szCs w:val="20"/>
                            </w:rPr>
                          </w:pPr>
                          <w:r>
                            <w:rPr>
                              <w:b/>
                              <w:sz w:val="20"/>
                              <w:szCs w:val="20"/>
                            </w:rPr>
                            <w:t xml:space="preserve">&lt; </w:t>
                          </w:r>
                          <w:r w:rsidRPr="006A18A7">
                            <w:rPr>
                              <w:b/>
                              <w:sz w:val="20"/>
                              <w:szCs w:val="20"/>
                            </w:rPr>
                            <w:t>80</w:t>
                          </w:r>
                        </w:p>
                        <w:p w:rsidR="003C4E2F" w:rsidRPr="006A18A7" w:rsidRDefault="003C4E2F" w:rsidP="007E60E4">
                          <w:pPr>
                            <w:spacing w:line="240" w:lineRule="auto"/>
                            <w:rPr>
                              <w:b/>
                              <w:sz w:val="20"/>
                              <w:szCs w:val="20"/>
                            </w:rPr>
                          </w:pPr>
                          <w:r>
                            <w:rPr>
                              <w:b/>
                              <w:sz w:val="20"/>
                              <w:szCs w:val="20"/>
                            </w:rPr>
                            <w:t xml:space="preserve">&lt; </w:t>
                          </w:r>
                          <w:r w:rsidRPr="006A18A7">
                            <w:rPr>
                              <w:b/>
                              <w:sz w:val="20"/>
                              <w:szCs w:val="20"/>
                            </w:rPr>
                            <w:t>252</w:t>
                          </w:r>
                        </w:p>
                        <w:p w:rsidR="003C4E2F" w:rsidRPr="006A18A7" w:rsidRDefault="003C4E2F" w:rsidP="007E60E4">
                          <w:pPr>
                            <w:spacing w:line="240" w:lineRule="auto"/>
                            <w:rPr>
                              <w:b/>
                              <w:sz w:val="20"/>
                              <w:szCs w:val="20"/>
                            </w:rPr>
                          </w:pPr>
                          <w:r>
                            <w:rPr>
                              <w:b/>
                              <w:sz w:val="20"/>
                              <w:szCs w:val="20"/>
                            </w:rPr>
                            <w:t xml:space="preserve">&lt; </w:t>
                          </w:r>
                          <w:r w:rsidRPr="006A18A7">
                            <w:rPr>
                              <w:b/>
                              <w:sz w:val="20"/>
                              <w:szCs w:val="20"/>
                            </w:rPr>
                            <w:t>2,462</w:t>
                          </w:r>
                        </w:p>
                        <w:p w:rsidR="003C4E2F" w:rsidRPr="006A18A7" w:rsidRDefault="003C4E2F" w:rsidP="007E60E4">
                          <w:pPr>
                            <w:spacing w:line="240" w:lineRule="auto"/>
                            <w:rPr>
                              <w:b/>
                              <w:sz w:val="20"/>
                              <w:szCs w:val="20"/>
                            </w:rPr>
                          </w:pPr>
                          <w:r w:rsidRPr="006A18A7">
                            <w:rPr>
                              <w:b/>
                              <w:sz w:val="20"/>
                              <w:szCs w:val="20"/>
                            </w:rPr>
                            <w:t>&gt; 2,462</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30" type="#_x0000_t75" style="position:absolute;left:-193;top:919;width:2649;height:12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oP5HBAAAA2wAAAA8AAABkcnMvZG93bnJldi54bWxET0trwkAQvhf8D8sIvdVNLW0ldZVS7OMm&#10;2ojXMTsmwexskt3G+O+dQ8Hjx/eeLwdXq566UHk28DhJQBHn3lZcGMh+Px9moEJEtlh7JgMXCrBc&#10;jO7mmFp/5g3121goCeGQooEyxibVOuQlOQwT3xALd/SdwyiwK7Tt8CzhrtbTJHnRDiuWhhIb+igp&#10;P23/nPTu2mxfPH9fDpt21X71x3V2etXG3I+H9zdQkYZ4E/+7f6yBJ1kvX+QH6MUV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6oP5HBAAAA2wAAAA8AAAAAAAAAAAAAAAAAnwIA&#10;AGRycy9kb3ducmV2LnhtbFBLBQYAAAAABAAEAPcAAACNAwAAAAA=&#10;">
                    <v:imagedata r:id="rId17" o:title="" croptop="3024f" cropbottom="56377f" cropleft="36029f" cropright="29072f"/>
                    <v:path arrowok="t"/>
                  </v:shape>
                </v:group>
              </v:group>
            </w:pict>
          </mc:Fallback>
        </mc:AlternateContent>
      </w:r>
      <w:r w:rsidR="007E60E4">
        <w:rPr>
          <w:noProof/>
          <w:lang w:eastAsia="en-GB"/>
        </w:rPr>
        <w:drawing>
          <wp:inline distT="0" distB="0" distL="0" distR="0">
            <wp:extent cx="5134521" cy="39052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6354" t="32220" r="78013" b="31572"/>
                    <a:stretch/>
                  </pic:blipFill>
                  <pic:spPr bwMode="auto">
                    <a:xfrm>
                      <a:off x="0" y="0"/>
                      <a:ext cx="5134521" cy="3905250"/>
                    </a:xfrm>
                    <a:prstGeom prst="rect">
                      <a:avLst/>
                    </a:prstGeom>
                    <a:ln>
                      <a:noFill/>
                    </a:ln>
                    <a:extLst>
                      <a:ext uri="{53640926-AAD7-44D8-BBD7-CCE9431645EC}">
                        <a14:shadowObscured xmlns:a14="http://schemas.microsoft.com/office/drawing/2010/main"/>
                      </a:ext>
                    </a:extLst>
                  </pic:spPr>
                </pic:pic>
              </a:graphicData>
            </a:graphic>
          </wp:inline>
        </w:drawing>
      </w:r>
    </w:p>
    <w:p w:rsidR="007E60E4" w:rsidRDefault="007E60E4" w:rsidP="007E60E4">
      <w:pPr>
        <w:pStyle w:val="Caption"/>
        <w:rPr>
          <w:rFonts w:cs="Times New Roman"/>
        </w:rPr>
      </w:pPr>
      <w:bookmarkStart w:id="91" w:name="_Ref469843812"/>
      <w:bookmarkStart w:id="92" w:name="_Toc469982760"/>
      <w:r w:rsidRPr="000707EA">
        <w:t xml:space="preserve">Figure </w:t>
      </w:r>
      <w:r w:rsidR="00C44EF5">
        <w:fldChar w:fldCharType="begin"/>
      </w:r>
      <w:r w:rsidR="00C44EF5">
        <w:instrText xml:space="preserve"> STYLEREF 1 \s </w:instrText>
      </w:r>
      <w:r w:rsidR="00C44EF5">
        <w:fldChar w:fldCharType="separate"/>
      </w:r>
      <w:r w:rsidR="00E0714D">
        <w:rPr>
          <w:noProof/>
        </w:rPr>
        <w:t>1</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5</w:t>
      </w:r>
      <w:r w:rsidR="00C44EF5">
        <w:rPr>
          <w:noProof/>
        </w:rPr>
        <w:fldChar w:fldCharType="end"/>
      </w:r>
      <w:bookmarkEnd w:id="91"/>
      <w:r>
        <w:t xml:space="preserve"> </w:t>
      </w:r>
      <w:r>
        <w:rPr>
          <w:rFonts w:cs="Times New Roman"/>
        </w:rPr>
        <w:t>Average annual apple production per country from 1994 to 2014. Adapted from</w:t>
      </w:r>
      <w:r w:rsidR="00B44B3A">
        <w:rPr>
          <w:rFonts w:cs="Times New Roman"/>
        </w:rPr>
        <w:t xml:space="preserve"> </w:t>
      </w:r>
      <w:r w:rsidR="00B44B3A">
        <w:rPr>
          <w:rFonts w:cs="Times New Roman"/>
        </w:rPr>
        <w:fldChar w:fldCharType="begin"/>
      </w:r>
      <w:r w:rsidR="00954B3D">
        <w:rPr>
          <w:rFonts w:cs="Times New Roman"/>
        </w:rPr>
        <w:instrText xml:space="preserve"> ADDIN ZOTERO_ITEM CSL_CITATION {"citationID":"1vm0rcr4s2","properties":{"formattedCitation":"(FAO, 2014)","plainCitation":"(FAO, 2014)"},"citationItems":[{"id":189,"uris":["http://zotero.org/users/local/d1gJDEOw/items/MTKR8VIW"],"uri":["http://zotero.org/users/local/d1gJDEOw/items/MTKR8VIW"],"itemData":{"id":189,"type":"article","title":"FAOSTAT database collections. Food and Agriculture Organization of the United Nations.Rome","archive_location":"2016-06-01","URL":"http://foastat.fao.org","author":[{"literal":"FAO"}],"issued":{"date-parts":[["2014"]]}}}],"schema":"https://github.com/citation-style-language/schema/raw/master/csl-citation.json"} </w:instrText>
      </w:r>
      <w:r w:rsidR="00B44B3A">
        <w:rPr>
          <w:rFonts w:cs="Times New Roman"/>
        </w:rPr>
        <w:fldChar w:fldCharType="separate"/>
      </w:r>
      <w:r w:rsidR="00954B3D" w:rsidRPr="00954B3D">
        <w:rPr>
          <w:rFonts w:cs="Times New Roman"/>
        </w:rPr>
        <w:t>(FAO, 2014)</w:t>
      </w:r>
      <w:r w:rsidR="00B44B3A">
        <w:rPr>
          <w:rFonts w:cs="Times New Roman"/>
        </w:rPr>
        <w:fldChar w:fldCharType="end"/>
      </w:r>
      <w:r>
        <w:rPr>
          <w:rFonts w:cs="Times New Roman"/>
        </w:rPr>
        <w:t>.</w:t>
      </w:r>
      <w:bookmarkEnd w:id="92"/>
      <w:r>
        <w:rPr>
          <w:rFonts w:cs="Times New Roman"/>
        </w:rPr>
        <w:t xml:space="preserve"> </w:t>
      </w:r>
    </w:p>
    <w:p w:rsidR="007E60E4" w:rsidRPr="00AA22EE" w:rsidRDefault="007E60E4" w:rsidP="00DE54FD">
      <w:r w:rsidRPr="00AA22EE">
        <w:t xml:space="preserve">Grafting of selected apple varieties onto these rootstocks allowed growers to increase orchard productivity due to both the greater uniformity of tree growth and shape and improved cropping of trees </w:t>
      </w:r>
      <w:r w:rsidRPr="00AA22EE">
        <w:fldChar w:fldCharType="begin"/>
      </w:r>
      <w:r w:rsidRPr="00AA22EE">
        <w:instrText xml:space="preserve"> ADDIN EN.CITE &lt;EndNote&gt;&lt;Cite&gt;&lt;Author&gt;Umpelby &lt;/Author&gt;&lt;Year&gt;2002&lt;/Year&gt;&lt;IDText&gt;Growing Cider Apples: A guide to good growing practice&lt;/IDText&gt;&lt;DisplayText&gt;(Umpelby  and Copas 2002)&lt;/DisplayText&gt;&lt;record&gt;&lt;titles&gt;&lt;title&gt;Growing Cider Apples: A guide to good growing practice&lt;/title&gt;&lt;/titles&gt;&lt;contributors&gt;&lt;authors&gt;&lt;author&gt;Umpelby , Roger&lt;/author&gt;&lt;author&gt;Copas, Liz&lt;/author&gt;&lt;/authors&gt;&lt;/contributors&gt;&lt;added-date format="utc"&gt;1358981233&lt;/added-date&gt;&lt;ref-type name="Book"&gt;6&lt;/ref-type&gt;&lt;dates&gt;&lt;year&gt;2002&lt;/year&gt;&lt;/dates&gt;&lt;rec-number&gt;190&lt;/rec-number&gt;&lt;publisher&gt;National Association of Cider Makers (NACM)in association with ADAS, Horticulture Research International (HRI) and the Farming and Wildlife Advisory Group (FWAG)&lt;/publisher&gt;&lt;last-updated-date format="utc"&gt;1358981412&lt;/last-updated-date&gt;&lt;/record&gt;&lt;/Cite&gt;&lt;/EndNote&gt;</w:instrText>
      </w:r>
      <w:r w:rsidRPr="00AA22EE">
        <w:fldChar w:fldCharType="separate"/>
      </w:r>
      <w:r w:rsidRPr="00AA22EE">
        <w:rPr>
          <w:noProof/>
        </w:rPr>
        <w:t>(Umpelby  and Copas 2002)</w:t>
      </w:r>
      <w:r w:rsidRPr="00AA22EE">
        <w:fldChar w:fldCharType="end"/>
      </w:r>
      <w:r w:rsidRPr="00AA22EE">
        <w:t>. Grafting is an ancient and established horticultural practice, and up until the early 20</w:t>
      </w:r>
      <w:r w:rsidRPr="00AA22EE">
        <w:rPr>
          <w:vertAlign w:val="superscript"/>
        </w:rPr>
        <w:t>th</w:t>
      </w:r>
      <w:r w:rsidRPr="00AA22EE">
        <w:t xml:space="preserve"> C the majority of orchard apple trees within orchards were either grown from seed or used seed grown varieties g</w:t>
      </w:r>
      <w:r>
        <w:t xml:space="preserve">rafted onto vigorous rootstocks. </w:t>
      </w:r>
      <w:r w:rsidRPr="00AA22EE">
        <w:t>Following the 1950’s many growers switched from planting traditional orchards to planting bush orchards in which apple varieties are grown on semi-dwarfing or dwarfing rootstocks in high density rows and managed intensively resulting in</w:t>
      </w:r>
      <w:r w:rsidR="008C190E">
        <w:t xml:space="preserve"> substantially increased yield. </w:t>
      </w:r>
      <w:r w:rsidRPr="00AA22EE">
        <w:t>The smaller stature of trees on dwarfing or semi-dwarfing rootstocks helps management practiced such as the applications of chemical sprays, pruning and thinning of growth, and f</w:t>
      </w:r>
      <w:r>
        <w:t>ruit harvesting (Webster, 2004)</w:t>
      </w:r>
      <w:r w:rsidR="008C190E">
        <w:t xml:space="preserve"> </w:t>
      </w:r>
      <w:r>
        <w:t>(</w:t>
      </w:r>
      <w:r>
        <w:fldChar w:fldCharType="begin"/>
      </w:r>
      <w:r>
        <w:instrText xml:space="preserve"> REF _Ref469843511 \h </w:instrText>
      </w:r>
      <w:r w:rsidR="00DE54FD">
        <w:instrText xml:space="preserve"> \* MERGEFORMAT </w:instrText>
      </w:r>
      <w:r>
        <w:fldChar w:fldCharType="separate"/>
      </w:r>
      <w:r w:rsidR="00E0714D">
        <w:t xml:space="preserve">Figure </w:t>
      </w:r>
      <w:r w:rsidR="00E0714D">
        <w:rPr>
          <w:noProof/>
        </w:rPr>
        <w:t>1.6</w:t>
      </w:r>
      <w:r>
        <w:fldChar w:fldCharType="end"/>
      </w:r>
      <w:r>
        <w:t>).</w:t>
      </w:r>
      <w:r w:rsidRPr="00AA22EE">
        <w:t xml:space="preserve">  The majority (75%) of UK apples are now grown in bush orchards (DEFRA 2010) and in 2007 bush orchards accounted for 73% of the 6,271 hectares of land used for cider apples in comparison to 27% of total land remaining as traditional s</w:t>
      </w:r>
      <w:r w:rsidR="00B44B3A">
        <w:t xml:space="preserve">tandard orchards </w:t>
      </w:r>
      <w:r w:rsidR="00B44B3A">
        <w:fldChar w:fldCharType="begin"/>
      </w:r>
      <w:r w:rsidR="00954B3D">
        <w:instrText xml:space="preserve"> ADDIN ZOTERO_ITEM CSL_CITATION {"citationID":"4keo8hud4","properties":{"formattedCitation":"(DEFRA, 2008)","plainCitation":"(DEFRA, 2008)"},"citationItems":[{"id":794,"uris":["http://zotero.org/users/local/d1gJDEOw/items/DCPF8AGN"],"uri":["http://zotero.org/users/local/d1gJDEOw/items/DCPF8AGN"],"itemData":{"id":794,"type":"article","title":"UK Biodiversity Action Plan Priority Habitats Descriptions: Traditional Orchards.","author":[{"family":"DEFRA","given":""}],"issued":{"date-parts":[["2008"]]}}}],"schema":"https://github.com/citation-style-language/schema/raw/master/csl-citation.json"} </w:instrText>
      </w:r>
      <w:r w:rsidR="00B44B3A">
        <w:fldChar w:fldCharType="separate"/>
      </w:r>
      <w:r w:rsidR="00954B3D" w:rsidRPr="00954B3D">
        <w:rPr>
          <w:rFonts w:cs="Times New Roman"/>
        </w:rPr>
        <w:t>(DEFRA, 2008)</w:t>
      </w:r>
      <w:r w:rsidR="00B44B3A">
        <w:fldChar w:fldCharType="end"/>
      </w:r>
      <w:r w:rsidR="00B44B3A">
        <w:t>.</w:t>
      </w:r>
    </w:p>
    <w:p w:rsidR="007E60E4" w:rsidRDefault="007E60E4" w:rsidP="00690D05">
      <w:r w:rsidRPr="00AA22EE">
        <w:t>It is estimated that only 10% of traditional orchards that existed in the 1950’s now remain with 30% undergoing conversion to commercial bush orchards and 60% lost to other land use conversion</w:t>
      </w:r>
      <w:r w:rsidR="00FE4DB6">
        <w:t xml:space="preserve"> </w:t>
      </w:r>
      <w:r w:rsidR="00FE4DB6">
        <w:fldChar w:fldCharType="begin"/>
      </w:r>
      <w:r w:rsidR="00954B3D">
        <w:instrText xml:space="preserve"> ADDIN ZOTERO_ITEM CSL_CITATION {"citationID":"pi2gnooo0","properties":{"formattedCitation":"(Natural England, 2011)","plainCitation":"(Natural England, 2011)"},"citationItems":[{"id":798,"uris":["http://zotero.org/users/local/d1gJDEOw/items/KMM7IX8V"],"uri":["http://zotero.org/users/local/d1gJDEOw/items/KMM7IX8V"],"itemData":{"id":798,"type":"article","title":"Traditional orchard project in England. Natural England commissioned report NEC077","author":[{"family":"Natural England","given":""}],"issued":{"date-parts":[["2011"]]}}}],"schema":"https://github.com/citation-style-language/schema/raw/master/csl-citation.json"} </w:instrText>
      </w:r>
      <w:r w:rsidR="00FE4DB6">
        <w:fldChar w:fldCharType="separate"/>
      </w:r>
      <w:r w:rsidR="00954B3D" w:rsidRPr="00954B3D">
        <w:rPr>
          <w:rFonts w:cs="Times New Roman"/>
        </w:rPr>
        <w:t>(Natural England, 2011)</w:t>
      </w:r>
      <w:r w:rsidR="00FE4DB6">
        <w:fldChar w:fldCharType="end"/>
      </w:r>
      <w:r w:rsidRPr="00AA22EE">
        <w:t xml:space="preserve">. Traditional orchards have a high biodiversity value which is attributed to the diversity of habitats within an orchard which include the fruit trees themselves, orchard floor habitat usually of grass sward and fallen dead wood. A survey of six traditional apple orchards in 2004 found a total of 533 invertebrate species, 131 epiphytic lichens, 50 </w:t>
      </w:r>
      <w:r w:rsidRPr="00AA22EE">
        <w:lastRenderedPageBreak/>
        <w:t>epiphytic bryophytes and 175 fungal species  a significant number of which could be classified as nationally rare or scarce</w:t>
      </w:r>
      <w:r w:rsidR="00FE4DB6">
        <w:t xml:space="preserve"> </w:t>
      </w:r>
      <w:r w:rsidR="00FE4DB6">
        <w:fldChar w:fldCharType="begin"/>
      </w:r>
      <w:r w:rsidR="00954B3D">
        <w:instrText xml:space="preserve"> ADDIN ZOTERO_ITEM CSL_CITATION {"citationID":"qj5oio9kc","properties":{"formattedCitation":"{\\rtf (Lush {\\i{}et al.}, 2006)}","plainCitation":"(Lush et al., 2006)"},"citationItems":[{"id":799,"uris":["http://zotero.org/users/local/d1gJDEOw/items/FDQ7C6SU"],"uri":["http://zotero.org/users/local/d1gJDEOw/items/FDQ7C6SU"],"itemData":{"id":799,"type":"article","title":"Biodiversity studies of six traditional orchards in England. In Natural England Research Information Note RIN025","author":[{"family":"Lush","given":"M"},{"family":"Robertson","given":"H J"},{"family":"Alexander","given":"K N A"},{"family":"Giavarini","given":"V"},{"family":"Hewins","given":"E"},{"family":"Mellings","given":"J"},{"family":"Stevenson","given":"M"},{"family":"Storey","given":"M"},{"family":"Whitehead","given":"P"}],"issued":{"date-parts":[["2006"]]}}}],"schema":"https://github.com/citation-style-language/schema/raw/master/csl-citation.json"} </w:instrText>
      </w:r>
      <w:r w:rsidR="00FE4DB6">
        <w:fldChar w:fldCharType="separate"/>
      </w:r>
      <w:r w:rsidR="00954B3D" w:rsidRPr="00954B3D">
        <w:rPr>
          <w:rFonts w:cs="Times New Roman"/>
          <w:szCs w:val="24"/>
        </w:rPr>
        <w:t xml:space="preserve">(Lush </w:t>
      </w:r>
      <w:r w:rsidR="00954B3D" w:rsidRPr="00954B3D">
        <w:rPr>
          <w:rFonts w:cs="Times New Roman"/>
          <w:i/>
          <w:iCs/>
          <w:szCs w:val="24"/>
        </w:rPr>
        <w:t>et al.</w:t>
      </w:r>
      <w:r w:rsidR="00954B3D" w:rsidRPr="00954B3D">
        <w:rPr>
          <w:rFonts w:cs="Times New Roman"/>
          <w:szCs w:val="24"/>
        </w:rPr>
        <w:t>, 2006)</w:t>
      </w:r>
      <w:r w:rsidR="00FE4DB6">
        <w:fldChar w:fldCharType="end"/>
      </w:r>
      <w:r w:rsidRPr="00AA22EE">
        <w:t xml:space="preserve">. The biodiversity value of traditional orchards </w:t>
      </w:r>
      <w:r w:rsidR="00FE4DB6">
        <w:t>is now</w:t>
      </w:r>
      <w:r w:rsidR="00223448">
        <w:t xml:space="preserve"> officially recognised with maintenance of traditional orchard habitats</w:t>
      </w:r>
      <w:r w:rsidRPr="00AA22EE">
        <w:t xml:space="preserve"> supported by </w:t>
      </w:r>
      <w:r w:rsidR="00223448">
        <w:t>Countryside Stewardship grants</w:t>
      </w:r>
      <w:r w:rsidR="00FE4DB6">
        <w:t>.</w:t>
      </w:r>
    </w:p>
    <w:p w:rsidR="00D21C6A" w:rsidRDefault="00D21C6A" w:rsidP="00690D05"/>
    <w:p w:rsidR="00887F9A" w:rsidRPr="00690D05" w:rsidRDefault="00887F9A" w:rsidP="00690D05">
      <w:r>
        <w:rPr>
          <w:noProof/>
          <w:lang w:eastAsia="en-GB"/>
        </w:rPr>
        <w:drawing>
          <wp:inline distT="0" distB="0" distL="0" distR="0">
            <wp:extent cx="4999511" cy="3393303"/>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orchard pics.png"/>
                    <pic:cNvPicPr/>
                  </pic:nvPicPr>
                  <pic:blipFill rotWithShape="1">
                    <a:blip r:embed="rId18" cstate="print">
                      <a:extLst>
                        <a:ext uri="{28A0092B-C50C-407E-A947-70E740481C1C}">
                          <a14:useLocalDpi xmlns:a14="http://schemas.microsoft.com/office/drawing/2010/main" val="0"/>
                        </a:ext>
                      </a:extLst>
                    </a:blip>
                    <a:srcRect l="2522" t="4490" r="24510" b="7450"/>
                    <a:stretch/>
                  </pic:blipFill>
                  <pic:spPr bwMode="auto">
                    <a:xfrm>
                      <a:off x="0" y="0"/>
                      <a:ext cx="5067537" cy="3439474"/>
                    </a:xfrm>
                    <a:prstGeom prst="rect">
                      <a:avLst/>
                    </a:prstGeom>
                    <a:ln>
                      <a:noFill/>
                    </a:ln>
                    <a:extLst>
                      <a:ext uri="{53640926-AAD7-44D8-BBD7-CCE9431645EC}">
                        <a14:shadowObscured xmlns:a14="http://schemas.microsoft.com/office/drawing/2010/main"/>
                      </a:ext>
                    </a:extLst>
                  </pic:spPr>
                </pic:pic>
              </a:graphicData>
            </a:graphic>
          </wp:inline>
        </w:drawing>
      </w:r>
    </w:p>
    <w:p w:rsidR="007E60E4" w:rsidRPr="00AA22EE" w:rsidRDefault="007E60E4" w:rsidP="000D114A">
      <w:pPr>
        <w:pStyle w:val="Caption"/>
      </w:pPr>
      <w:bookmarkStart w:id="93" w:name="_Ref469843511"/>
      <w:bookmarkStart w:id="94" w:name="_Toc469982761"/>
      <w:r>
        <w:t xml:space="preserve">Figure </w:t>
      </w:r>
      <w:r w:rsidR="00C44EF5">
        <w:fldChar w:fldCharType="begin"/>
      </w:r>
      <w:r w:rsidR="00C44EF5">
        <w:instrText xml:space="preserve"> STYLEREF 1 \s </w:instrText>
      </w:r>
      <w:r w:rsidR="00C44EF5">
        <w:fldChar w:fldCharType="separate"/>
      </w:r>
      <w:r w:rsidR="00E0714D">
        <w:rPr>
          <w:noProof/>
        </w:rPr>
        <w:t>1</w:t>
      </w:r>
      <w:r w:rsidR="00C44EF5">
        <w:rPr>
          <w:noProof/>
        </w:rPr>
        <w:fldChar w:fldCharType="end"/>
      </w:r>
      <w:r w:rsidR="00DC59CF">
        <w:t>.</w:t>
      </w:r>
      <w:r w:rsidR="00C44EF5">
        <w:fldChar w:fldCharType="begin"/>
      </w:r>
      <w:r w:rsidR="00C44EF5">
        <w:instrText xml:space="preserve"> SEQ Figure </w:instrText>
      </w:r>
      <w:r w:rsidR="00C44EF5">
        <w:instrText xml:space="preserve">\* ARABIC \s 1 </w:instrText>
      </w:r>
      <w:r w:rsidR="00C44EF5">
        <w:fldChar w:fldCharType="separate"/>
      </w:r>
      <w:r w:rsidR="00E0714D">
        <w:rPr>
          <w:noProof/>
        </w:rPr>
        <w:t>6</w:t>
      </w:r>
      <w:r w:rsidR="00C44EF5">
        <w:rPr>
          <w:noProof/>
        </w:rPr>
        <w:fldChar w:fldCharType="end"/>
      </w:r>
      <w:bookmarkEnd w:id="93"/>
      <w:r>
        <w:t xml:space="preserve"> Conventional bush orchard: (a) </w:t>
      </w:r>
      <w:r w:rsidR="00DC59CF">
        <w:t>aerial</w:t>
      </w:r>
      <w:r>
        <w:t xml:space="preserve"> view, (b) orchard floor view, Standard orchard (c) </w:t>
      </w:r>
      <w:r w:rsidR="00DC59CF">
        <w:t>aerial</w:t>
      </w:r>
      <w:r>
        <w:t xml:space="preserve"> view, (d) orchard floor view.</w:t>
      </w:r>
      <w:bookmarkEnd w:id="94"/>
    </w:p>
    <w:p w:rsidR="007E60E4" w:rsidRPr="00AA22EE" w:rsidRDefault="002E0B65" w:rsidP="00234627">
      <w:pPr>
        <w:pStyle w:val="Heading3"/>
        <w:rPr>
          <w:i/>
        </w:rPr>
      </w:pPr>
      <w:bookmarkStart w:id="95" w:name="_Toc463208988"/>
      <w:bookmarkStart w:id="96" w:name="_Toc469855013"/>
      <w:bookmarkStart w:id="97" w:name="_Toc469856013"/>
      <w:bookmarkStart w:id="98" w:name="_Toc469931922"/>
      <w:bookmarkStart w:id="99" w:name="_Toc469982243"/>
      <w:r>
        <w:rPr>
          <w:rFonts w:cs="Times New Roman"/>
        </w:rPr>
        <w:t>Arbuscular mycorrhizal</w:t>
      </w:r>
      <w:r w:rsidR="007E60E4" w:rsidRPr="00AA22EE">
        <w:t xml:space="preserve"> symbiosis and the domestic apple</w:t>
      </w:r>
      <w:bookmarkEnd w:id="95"/>
      <w:bookmarkEnd w:id="96"/>
      <w:bookmarkEnd w:id="97"/>
      <w:bookmarkEnd w:id="98"/>
      <w:bookmarkEnd w:id="99"/>
    </w:p>
    <w:p w:rsidR="007E60E4" w:rsidRDefault="007E60E4" w:rsidP="007E60E4">
      <w:pPr>
        <w:pStyle w:val="Heading4"/>
        <w:numPr>
          <w:ilvl w:val="3"/>
          <w:numId w:val="1"/>
        </w:numPr>
      </w:pPr>
      <w:r w:rsidRPr="00AA22EE">
        <w:t xml:space="preserve">Nutrition </w:t>
      </w:r>
    </w:p>
    <w:p w:rsidR="00690D05" w:rsidRDefault="00690D05" w:rsidP="00DE54FD">
      <w:r w:rsidRPr="00AA22EE">
        <w:t xml:space="preserve">Since </w:t>
      </w:r>
      <w:proofErr w:type="spellStart"/>
      <w:r w:rsidRPr="00AA22EE">
        <w:t>Mosse</w:t>
      </w:r>
      <w:proofErr w:type="spellEnd"/>
      <w:r w:rsidRPr="00AA22EE">
        <w:t xml:space="preserve">, </w:t>
      </w:r>
      <w:r>
        <w:t>(</w:t>
      </w:r>
      <w:r w:rsidRPr="00AA22EE">
        <w:t>1957</w:t>
      </w:r>
      <w:r>
        <w:t>)</w:t>
      </w:r>
      <w:r w:rsidRPr="00AA22EE">
        <w:t xml:space="preserve"> published the pioneer study reporting beneficial effect of AM</w:t>
      </w:r>
      <w:r>
        <w:t>F</w:t>
      </w:r>
      <w:r w:rsidRPr="00AA22EE">
        <w:t xml:space="preserve"> for plant nutrient acquisition using apple seedlings</w:t>
      </w:r>
      <w:r>
        <w:t>,</w:t>
      </w:r>
      <w:r w:rsidRPr="00AA22EE">
        <w:t xml:space="preserve"> </w:t>
      </w:r>
      <w:r>
        <w:t>several</w:t>
      </w:r>
      <w:r w:rsidRPr="00AA22EE">
        <w:t xml:space="preserve"> studies have</w:t>
      </w:r>
      <w:r>
        <w:t xml:space="preserve"> examined </w:t>
      </w:r>
      <w:r w:rsidRPr="00AA22EE">
        <w:t>nutritional benefits of AM</w:t>
      </w:r>
      <w:r w:rsidR="00312289">
        <w:t xml:space="preserve">F to apple. </w:t>
      </w:r>
      <w:r>
        <w:t xml:space="preserve">More recently, </w:t>
      </w:r>
      <w:r w:rsidRPr="00AA22EE">
        <w:t>research has focused upon non-nutritiona</w:t>
      </w:r>
      <w:r>
        <w:t>l benefits of AMF to apple, in particular pathogen</w:t>
      </w:r>
      <w:r w:rsidRPr="00AA22EE">
        <w:t xml:space="preserve"> resistance</w:t>
      </w:r>
      <w:r w:rsidR="00031DA2">
        <w:t xml:space="preserve"> (Table 1.4</w:t>
      </w:r>
      <w:r>
        <w:t xml:space="preserve">). </w:t>
      </w:r>
      <w:r w:rsidR="007E60E4" w:rsidRPr="00AA22EE">
        <w:t>Collectively, results from studies of AM</w:t>
      </w:r>
      <w:r w:rsidR="00385B85">
        <w:t>F</w:t>
      </w:r>
      <w:r w:rsidR="007E60E4" w:rsidRPr="00AA22EE">
        <w:t xml:space="preserve"> and apple show that particularly in low fertility soils, AM</w:t>
      </w:r>
      <w:r w:rsidR="00385B85">
        <w:t>F</w:t>
      </w:r>
      <w:r w:rsidR="007E60E4" w:rsidRPr="00AA22EE">
        <w:t xml:space="preserve"> </w:t>
      </w:r>
      <w:r w:rsidR="00385B85">
        <w:t>may improve</w:t>
      </w:r>
      <w:r w:rsidR="006B5A33">
        <w:t xml:space="preserve"> seedling</w:t>
      </w:r>
      <w:r w:rsidR="007E60E4" w:rsidRPr="00AA22EE">
        <w:t xml:space="preserve"> height</w:t>
      </w:r>
      <w:r w:rsidR="00385B85">
        <w:t xml:space="preserve"> </w:t>
      </w:r>
      <w:r w:rsidR="00385B85">
        <w:fldChar w:fldCharType="begin"/>
      </w:r>
      <w:r w:rsidR="00954B3D">
        <w:instrText xml:space="preserve"> ADDIN ZOTERO_ITEM CSL_CITATION {"citationID":"3ce20uc0i","properties":{"formattedCitation":"{\\rtf (Miller {\\i{}et al.}, 1985a)}","plainCitation":"(Miller et al., 1985a)"},"citationItems":[{"id":169,"uris":["http://zotero.org/users/local/d1gJDEOw/items/7U7J7NHE"],"uri":["http://zotero.org/users/local/d1gJDEOw/items/7U7J7NHE"],"itemData":{"id":169,"type":"article-journal","title":"Mycorrhizal Fungi at 18-Apple Rootstock Plantings in the United-States","container-title":"New Phytologist","page":"379-391","volume":"100","issue":"3","source":"Web of Science","DOI":"10.1111/j.1469-8137.1985.tb02787.x","ISSN":"0028-646X","note":"WOS:A1985AND4800010","journalAbbreviation":"New Phytol.","language":"English","author":[{"family":"Miller","given":"Dd"},{"family":"Domoto","given":"Pa"},{"family":"Walker","given":"C."}],"issued":{"date-parts":[["1985"]]}}}],"schema":"https://github.com/citation-style-language/schema/raw/master/csl-citation.json"} </w:instrText>
      </w:r>
      <w:r w:rsidR="00385B85">
        <w:fldChar w:fldCharType="separate"/>
      </w:r>
      <w:r w:rsidR="00954B3D" w:rsidRPr="00954B3D">
        <w:rPr>
          <w:rFonts w:cs="Times New Roman"/>
          <w:szCs w:val="24"/>
        </w:rPr>
        <w:t xml:space="preserve">(Miller </w:t>
      </w:r>
      <w:r w:rsidR="00954B3D" w:rsidRPr="00954B3D">
        <w:rPr>
          <w:rFonts w:cs="Times New Roman"/>
          <w:i/>
          <w:iCs/>
          <w:szCs w:val="24"/>
        </w:rPr>
        <w:t>et al.</w:t>
      </w:r>
      <w:r w:rsidR="00954B3D" w:rsidRPr="00954B3D">
        <w:rPr>
          <w:rFonts w:cs="Times New Roman"/>
          <w:szCs w:val="24"/>
        </w:rPr>
        <w:t>, 1985a)</w:t>
      </w:r>
      <w:r w:rsidR="00385B85">
        <w:fldChar w:fldCharType="end"/>
      </w:r>
      <w:r w:rsidR="007E60E4" w:rsidRPr="00AA22EE">
        <w:t xml:space="preserve"> </w:t>
      </w:r>
      <w:r w:rsidR="00385B85">
        <w:t xml:space="preserve">, </w:t>
      </w:r>
      <w:r w:rsidR="007E60E4" w:rsidRPr="00AA22EE">
        <w:t>biomass</w:t>
      </w:r>
      <w:r w:rsidR="00385B85">
        <w:t xml:space="preserve"> </w:t>
      </w:r>
      <w:r w:rsidR="00385B85">
        <w:fldChar w:fldCharType="begin"/>
      </w:r>
      <w:r w:rsidR="00954B3D">
        <w:instrText xml:space="preserve"> ADDIN ZOTERO_ITEM CSL_CITATION {"citationID":"2aua6hj45i","properties":{"formattedCitation":"{\\rtf (Forge {\\i{}et al.}, 2001)}","plainCitation":"(Forge et al., 2001)"},"citationItems":[{"id":68,"uris":["http://zotero.org/users/local/d1gJDEOw/items/4XHBZECG"],"uri":["http://zotero.org/users/local/d1gJDEOw/items/4XHBZECG"],"itemData":{"id":68,"type":"article-journal","title":"Effects of preplant inoculation of apple (Malus domestica Borkh.) with arbuscular mycorrhizal fungi on population growth of the root-lesion nematode, Pratylenchus penetrans","container-title":"Plant and Soil","page":"185-196","volume":"236","issue":"2","abstract":"Six species of arbuscular mycorrhizal (AM) fungi (Glomus aggregatum, G. clarum, G. etunicatum, G. intraradices, G. mosseae and G. versiforme) were evaluated, in three greenhouse experiments, for their effects on reproduction of the root-lesion nematode, Pratylenchus penetrans, and growth of Ottawa 3 apple rootstock. Glomus mosseae increased total dry weights of nematode-inoculated and non-inoculated rootstock in all three greenhouse experiments, and G. intraradices increased dry weights in two of three greenhouse experiments. Plants inoculated with G. mosseae generally supported fewer P. penetrans per gram of root than plants inoculated with other AM fungi, but did not differ significantly from the controls in any greenhouse experiment. Colonization of roots by AM fungi was reduced by P. penetrans at initial inoculum densities greater than 250 nematodes/L soil. In field trials, preplant inoculation with either G. intraradices or G. mosseae increased rootstock growth and leaf concentrations of P, Mg, Zn and Cu in fumigated plots but not in non-fumigated plots, indicating that colonization by native AM fungi in non-fumigated plots may have been sufficient for adequate nutrient acquisition. The abundance of vesicles and arbuscules was greater in roots of plants inoculated with AM fungi before planting than in roots of non-inoculated plants, in both fumigated and non-fumigated plots. P. penetrans per gram of root and per 50 ml soil were significantly lower for G. mosseae- inoculated plants than for non-inoculated plants in fumigated soil but not in non-fumigated soil.","DOI":"10.1023/A:1012743028974","ISSN":"1573-5036","journalAbbreviation":"Plant and Soil","author":[{"family":"Forge","given":"Thomas"},{"family":"Muehlchen","given":"Andrea"},{"family":"Hackenberg","given":"Clemens"},{"family":"Neilsen","given":"Gerry"},{"family":"Vrain","given":"Thierry"}],"issued":{"date-parts":[["2001"]]}}}],"schema":"https://github.com/citation-style-language/schema/raw/master/csl-citation.json"} </w:instrText>
      </w:r>
      <w:r w:rsidR="00385B85">
        <w:fldChar w:fldCharType="separate"/>
      </w:r>
      <w:r w:rsidR="00954B3D" w:rsidRPr="00954B3D">
        <w:rPr>
          <w:rFonts w:cs="Times New Roman"/>
          <w:szCs w:val="24"/>
        </w:rPr>
        <w:t xml:space="preserve">(Forge </w:t>
      </w:r>
      <w:r w:rsidR="00954B3D" w:rsidRPr="00954B3D">
        <w:rPr>
          <w:rFonts w:cs="Times New Roman"/>
          <w:i/>
          <w:iCs/>
          <w:szCs w:val="24"/>
        </w:rPr>
        <w:t>et al.</w:t>
      </w:r>
      <w:r w:rsidR="00954B3D" w:rsidRPr="00954B3D">
        <w:rPr>
          <w:rFonts w:cs="Times New Roman"/>
          <w:szCs w:val="24"/>
        </w:rPr>
        <w:t>, 2001)</w:t>
      </w:r>
      <w:r w:rsidR="00385B85">
        <w:fldChar w:fldCharType="end"/>
      </w:r>
      <w:r w:rsidR="006B5A33">
        <w:t xml:space="preserve"> </w:t>
      </w:r>
      <w:r w:rsidR="007E60E4" w:rsidRPr="00AA22EE">
        <w:t>and fruit production (</w:t>
      </w:r>
      <w:proofErr w:type="spellStart"/>
      <w:r w:rsidR="007E60E4" w:rsidRPr="00AA22EE">
        <w:t>Copas</w:t>
      </w:r>
      <w:proofErr w:type="spellEnd"/>
      <w:r w:rsidR="007E60E4" w:rsidRPr="00AA22EE">
        <w:t xml:space="preserve"> 2002). </w:t>
      </w:r>
      <w:r w:rsidR="00E44545">
        <w:t>G</w:t>
      </w:r>
      <w:r w:rsidR="007E60E4" w:rsidRPr="00AA22EE">
        <w:t>rowth benefits have mainly been attribute</w:t>
      </w:r>
      <w:r w:rsidR="00E44545">
        <w:t xml:space="preserve">d to improved acquisition of P </w:t>
      </w:r>
      <w:r w:rsidR="00E44545">
        <w:fldChar w:fldCharType="begin"/>
      </w:r>
      <w:r w:rsidR="00954B3D">
        <w:instrText xml:space="preserve"> ADDIN ZOTERO_ITEM CSL_CITATION {"citationID":"577n0s1h2","properties":{"formattedCitation":"{\\rtf (Matsubara {\\i{}et al.}, 1996)}","plainCitation":"(Matsubara et al., 1996)"},"citationItems":[{"id":184,"uris":["http://zotero.org/users/local/d1gJDEOw/items/8JWXI5WT"],"uri":["http://zotero.org/users/local/d1gJDEOw/items/8JWXI5WT"],"itemData":{"id":184,"type":"article-journal","title":"Effect of arbuscular Mycorrhizal fungus inoculation on growth of apple (Malus ssp) seedlings","container-title":"Journal of the Japanese Society for Horticultural Science","page":"297-302","volume":"65","issue":"2","source":"Web of Science","abstract":"The means of enhancing the growth of seedlings of apples, Malus pumila Mill. var. domestica Schneid. (cv. McIntosh, American Summer Pearmain, Jonathan, Golden Delicious, Starking Delicious, Fuji, Mutsu and Red Gold) and Malus sieboldii Rehd., through inoculation of arbuscular mycorrhizal (AM) fungus [Glomus etunicatum (GE) and Gigaspora margarila (GM)] were investigated. Eight weeks after inoculation, AM fungus infection occurred in all combinations of apple cultivars and fungus species. The rate of AM fungus-infected portions in a whole root system were: 31.7% in 'Golden Delicious', 50.5% in 'Jonathan' in GE-inoculated plants, and 24.0% for Malus sieboldii Rehd., and 50.7% in 'Starking Delicious' in GM-inoculated ones. Plant height and dry weights of top and roots were greater in all GE-infected seedlings than in noninoculated ones. The GM-infected seedlings made larger height and weight increments than did the noninoculated ones in all seedlings except those of 'Golden Delicious' and Malus sieboldii Rehd.. In 'McIntosh' seedlings, plant growth enhancement through symbiosis clearly appeared associated with both fungi. With both fungal species, P concentrations in the top or roots were higher in infected plants than in noninoculated plants; the effect appeared more noticeably in roots than in top. Consequently, it was confirmed that GE and GM infections and their plant growth enhancement through symbiosis occurred with the seedling stage in several apple cultivars.","ISSN":"1882-3351","note":"WOS:A1996VG48900009","journalAbbreviation":"J. Jpn. Soc. Hortic. Sci.","language":"English","author":[{"family":"Matsubara","given":"Y."},{"family":"Karikomi","given":"T."},{"family":"Ikuta","given":"M."},{"family":"Hori","given":"H."},{"family":"Ishikawa","given":"S."},{"family":"Harada","given":"T."}],"issued":{"date-parts":[["1996",9]]}}}],"schema":"https://github.com/citation-style-language/schema/raw/master/csl-citation.json"} </w:instrText>
      </w:r>
      <w:r w:rsidR="00E44545">
        <w:fldChar w:fldCharType="separate"/>
      </w:r>
      <w:r w:rsidR="00954B3D" w:rsidRPr="00954B3D">
        <w:rPr>
          <w:rFonts w:cs="Times New Roman"/>
          <w:szCs w:val="24"/>
        </w:rPr>
        <w:t xml:space="preserve">(Matsubara </w:t>
      </w:r>
      <w:r w:rsidR="00954B3D" w:rsidRPr="00954B3D">
        <w:rPr>
          <w:rFonts w:cs="Times New Roman"/>
          <w:i/>
          <w:iCs/>
          <w:szCs w:val="24"/>
        </w:rPr>
        <w:t>et al.</w:t>
      </w:r>
      <w:r w:rsidR="00954B3D" w:rsidRPr="00954B3D">
        <w:rPr>
          <w:rFonts w:cs="Times New Roman"/>
          <w:szCs w:val="24"/>
        </w:rPr>
        <w:t>, 1996)</w:t>
      </w:r>
      <w:r w:rsidR="00E44545">
        <w:fldChar w:fldCharType="end"/>
      </w:r>
      <w:r w:rsidR="00E44545">
        <w:t xml:space="preserve"> however improvements in micronutrients have also been reported</w:t>
      </w:r>
      <w:r w:rsidR="006B5A33">
        <w:t xml:space="preserve"> </w:t>
      </w:r>
      <w:r w:rsidR="006B5A33">
        <w:fldChar w:fldCharType="begin"/>
      </w:r>
      <w:r w:rsidR="0054501B">
        <w:instrText xml:space="preserve"> ADDIN ZOTERO_ITEM CSL_CITATION {"citationID":"rvgWO508","properties":{"formattedCitation":"{\\rtf (Mosse, 1957; An {\\i{}et al.}, 1993; Pinochet {\\i{}et al.}, 1993; Forge {\\i{}et al.}, 2001)}","plainCitation":"(Mosse, 1957; An et al., 1993; Pinochet et al., 1993; Forge et al., 2001)"},"citationItems":[{"id":803,"uris":["http://zotero.org/users/local/d1gJDEOw/items/4WP7PQTG"],"uri":["http://zotero.org/users/local/d1gJDEOw/items/4WP7PQTG"],"itemData":{"id":803,"type":"article-journal","title":"Growth and chemical composition of mycorrhizal and non-mycorrhizal apple seedlings","container-title":"Nature","page":"923-924","volume":"179","author":[{"family":"Mosse","given":"B"}],"issued":{"date-parts":[["1957"]]}}},{"id":801,"uris":["http://zotero.org/users/local/d1gJDEOw/items/SJBG4RQM"],"uri":["http://zotero.org/users/local/d1gJDEOw/items/SJBG4RQM"],"itemData":{"id":801,"type":"article-journal","title":"Mycorrhizal fungi in relation to growth and mineral nutrition of apple seedlings","container-title":"Scientia Horticulturae","page":"275-285","volume":"54","issue":"4","source":"ScienceDirect","abstract":"The effects of two mycorrhizal fungi (Glomus epigaeum Daniels &amp;amp; Trappe and Glomus macrocarpum Tul. &amp;amp; Tul.) on the growth and mineral composition of shoots and roots of apple seedlings (Malus micromalus Makino) were studied. Variables were air temperature and sterilization of soil. In sterilized soil, the two species differed in their effects on seedlings grown at different temperatures. G. epigaeum was mutualistic at low and high temperature, but G. macrocarpum was ineffective at low temperature. In unsterilized soil, neither species was mutualistic at low temperature, but both increased plant growth at high temperature. In sterilized soil, mutualism by G. macrocarpum was related to colonization. Enhanced growth of seedlings was accompanied by improved uptake of immobile nutrient elements, mainly Cu, P, Zn. Apple has a high dependency on mycorrhizal fungi, and mycorrhizal isolates selected for effectiveness may be useful for producing seedlings under Chinese production conditions.","DOI":"10.1016/0304-4238(93)90106-Z","ISSN":"0304-4238","journalAbbreviation":"Scientia Horticulturae","author":[{"family":"An","given":"Z. Q."},{"family":"Shen","given":"T."},{"family":"Wang","given":"H. G."}],"issued":{"date-parts":[["1993",7]]}}},{"id":210,"uris":["http://zotero.org/users/local/d1gJDEOw/items/54MHBQEV"],"uri":["http://zotero.org/users/local/d1gJDEOw/items/54MHBQEV"],"itemData":{"id":210,"type":"article-journal","title":"Effects of the Root-Lesion Nematode Pratylenchus-Vulnus and the Mycorrhizal Fungus Glomus-Mosseae on the Growth of Emla-26 Apple Rootstock","container-title":"Mycorrhiza","page":"79-83","volume":"4","issue":"2","source":"Web of Science","abstract":"The interaction between Pratylenchus vulnus and the endomycorrhizal fungus Glomus mosseae on the growth of EMLA 26 apple rootstock was studied under shadehouse conditions in the field during the first 6 months of growth. Fresh top weights, fresh root weights, and shoot lengths of mycorrhizal plants with and without P. vulnus were significantly higher than those of nonmycorrhizal plants. Addition of P to non-mycorrhizal controls had little overall effect. Mycorrhizal treatments with the nematode showed a significantly lower amount of nematodes per gram of root than nonmycorrhizal treatments with P. vulnus. Root colonization by G. mosseae was not affected by the presence of the nematode. No nutrient deficiencies were detected in foliar analyses, although low levels of K, A1, and Fe were detected in nematode treatments. The highest levels of S, Mg, Mn and Zn were detected in P. vulnus inoculated plants. Mycorrhizal plants had the highest levels of N, Na, P, K, and Fe. The importance of early mycorrhizal infection of EMLA 26 apple root-stock in the presence of the nematode is discussed.","DOI":"10.1007/BF00204062","ISSN":"0940-6360","note":"WOS:A1993MP53800005","journalAbbreviation":"Mycorrhiza","language":"English","author":[{"family":"Pinochet","given":"J."},{"family":"Camprubi","given":"A."},{"family":"Calvet","given":"C."}],"issued":{"date-parts":[["1993",12]]}}},{"id":68,"uris":["http://zotero.org/users/local/d1gJDEOw/items/4XHBZECG"],"uri":["http://zotero.org/users/local/d1gJDEOw/items/4XHBZECG"],"itemData":{"id":68,"type":"article-journal","title":"Effects of preplant inoculation of apple (Malus domestica Borkh.) with arbuscular mycorrhizal fungi on population growth of the root-lesion nematode, Pratylenchus penetrans","container-title":"Plant and Soil","page":"185-196","volume":"236","issue":"2","abstract":"Six species of arbuscular mycorrhizal (AM) fungi (Glomus aggregatum, G. clarum, G. etunicatum, G. intraradices, G. mosseae and G. versiforme) were evaluated, in three greenhouse experiments, for their effects on reproduction of the root-lesion nematode, Pratylenchus penetrans, and growth of Ottawa 3 apple rootstock. Glomus mosseae increased total dry weights of nematode-inoculated and non-inoculated rootstock in all three greenhouse experiments, and G. intraradices increased dry weights in two of three greenhouse experiments. Plants inoculated with G. mosseae generally supported fewer P. penetrans per gram of root than plants inoculated with other AM fungi, but did not differ significantly from the controls in any greenhouse experiment. Colonization of roots by AM fungi was reduced by P. penetrans at initial inoculum densities greater than 250 nematodes/L soil. In field trials, preplant inoculation with either G. intraradices or G. mosseae increased rootstock growth and leaf concentrations of P, Mg, Zn and Cu in fumigated plots but not in non-fumigated plots, indicating that colonization by native AM fungi in non-fumigated plots may have been sufficient for adequate nutrient acquisition. The abundance of vesicles and arbuscules was greater in roots of plants inoculated with AM fungi before planting than in roots of non-inoculated plants, in both fumigated and non-fumigated plots. P. penetrans per gram of root and per 50 ml soil were significantly lower for G. mosseae- inoculated plants than for non-inoculated plants in fumigated soil but not in non-fumigated soil.","DOI":"10.1023/A:1012743028974","ISSN":"1573-5036","journalAbbreviation":"Plant and Soil","author":[{"family":"Forge","given":"Thomas"},{"family":"Muehlchen","given":"Andrea"},{"family":"Hackenberg","given":"Clemens"},{"family":"Neilsen","given":"Gerry"},{"family":"Vrain","given":"Thierry"}],"issued":{"date-parts":[["2001"]]}}}],"schema":"https://github.com/citation-style-language/schema/raw/master/csl-citation.json"} </w:instrText>
      </w:r>
      <w:r w:rsidR="006B5A33">
        <w:fldChar w:fldCharType="separate"/>
      </w:r>
      <w:r w:rsidR="0054501B" w:rsidRPr="0054501B">
        <w:rPr>
          <w:rFonts w:cs="Times New Roman"/>
          <w:szCs w:val="24"/>
        </w:rPr>
        <w:t>(</w:t>
      </w:r>
      <w:proofErr w:type="spellStart"/>
      <w:r w:rsidR="0054501B" w:rsidRPr="0054501B">
        <w:rPr>
          <w:rFonts w:cs="Times New Roman"/>
          <w:szCs w:val="24"/>
        </w:rPr>
        <w:t>Mosse</w:t>
      </w:r>
      <w:proofErr w:type="spellEnd"/>
      <w:r w:rsidR="0054501B" w:rsidRPr="0054501B">
        <w:rPr>
          <w:rFonts w:cs="Times New Roman"/>
          <w:szCs w:val="24"/>
        </w:rPr>
        <w:t xml:space="preserve">, 1957; An </w:t>
      </w:r>
      <w:r w:rsidR="0054501B" w:rsidRPr="0054501B">
        <w:rPr>
          <w:rFonts w:cs="Times New Roman"/>
          <w:i/>
          <w:iCs/>
          <w:szCs w:val="24"/>
        </w:rPr>
        <w:t>et al.</w:t>
      </w:r>
      <w:r w:rsidR="0054501B" w:rsidRPr="0054501B">
        <w:rPr>
          <w:rFonts w:cs="Times New Roman"/>
          <w:szCs w:val="24"/>
        </w:rPr>
        <w:t xml:space="preserve">, 1993; Pinochet </w:t>
      </w:r>
      <w:r w:rsidR="0054501B" w:rsidRPr="0054501B">
        <w:rPr>
          <w:rFonts w:cs="Times New Roman"/>
          <w:i/>
          <w:iCs/>
          <w:szCs w:val="24"/>
        </w:rPr>
        <w:t>et al.</w:t>
      </w:r>
      <w:r w:rsidR="0054501B" w:rsidRPr="0054501B">
        <w:rPr>
          <w:rFonts w:cs="Times New Roman"/>
          <w:szCs w:val="24"/>
        </w:rPr>
        <w:t xml:space="preserve">, 1993; Forge </w:t>
      </w:r>
      <w:r w:rsidR="0054501B" w:rsidRPr="0054501B">
        <w:rPr>
          <w:rFonts w:cs="Times New Roman"/>
          <w:i/>
          <w:iCs/>
          <w:szCs w:val="24"/>
        </w:rPr>
        <w:t>et al.</w:t>
      </w:r>
      <w:r w:rsidR="0054501B" w:rsidRPr="0054501B">
        <w:rPr>
          <w:rFonts w:cs="Times New Roman"/>
          <w:szCs w:val="24"/>
        </w:rPr>
        <w:t>, 2001)</w:t>
      </w:r>
      <w:r w:rsidR="006B5A33">
        <w:fldChar w:fldCharType="end"/>
      </w:r>
      <w:r w:rsidR="006B5A33">
        <w:t>.</w:t>
      </w:r>
    </w:p>
    <w:p w:rsidR="009251EC" w:rsidRDefault="005D3360" w:rsidP="00312289">
      <w:r>
        <w:t>Interestingly</w:t>
      </w:r>
      <w:r w:rsidR="00690D05">
        <w:t>,</w:t>
      </w:r>
      <w:r>
        <w:t xml:space="preserve"> these early studies of AMF </w:t>
      </w:r>
      <w:r w:rsidR="00690D05">
        <w:t xml:space="preserve">inoculation of </w:t>
      </w:r>
      <w:r>
        <w:t xml:space="preserve">apple seedlings show </w:t>
      </w:r>
      <w:r w:rsidR="007E60E4" w:rsidRPr="00AA22EE">
        <w:t xml:space="preserve">distinct differences between </w:t>
      </w:r>
      <w:r w:rsidR="00690D05">
        <w:t>AMF taxa</w:t>
      </w:r>
      <w:r w:rsidR="007E60E4" w:rsidRPr="00AA22EE">
        <w:t xml:space="preserve"> </w:t>
      </w:r>
      <w:r w:rsidR="00690D05">
        <w:t xml:space="preserve">with growth effects ranging </w:t>
      </w:r>
      <w:r w:rsidR="007E60E4" w:rsidRPr="00AA22EE">
        <w:t xml:space="preserve">from null or negative, to </w:t>
      </w:r>
      <w:r w:rsidR="00B3413F">
        <w:t xml:space="preserve">positive </w:t>
      </w:r>
      <w:r w:rsidR="009251EC">
        <w:t>(</w:t>
      </w:r>
      <w:r w:rsidR="00B3413F">
        <w:fldChar w:fldCharType="begin"/>
      </w:r>
      <w:r w:rsidR="00B3413F">
        <w:instrText xml:space="preserve"> REF _Ref469944080 \h </w:instrText>
      </w:r>
      <w:r w:rsidR="00B3413F">
        <w:fldChar w:fldCharType="separate"/>
      </w:r>
      <w:r w:rsidR="00E0714D">
        <w:t xml:space="preserve">Table </w:t>
      </w:r>
      <w:r w:rsidR="00E0714D">
        <w:rPr>
          <w:noProof/>
        </w:rPr>
        <w:t>1</w:t>
      </w:r>
      <w:r w:rsidR="00E0714D">
        <w:t>.</w:t>
      </w:r>
      <w:r w:rsidR="00E0714D">
        <w:rPr>
          <w:noProof/>
        </w:rPr>
        <w:t>3</w:t>
      </w:r>
      <w:r w:rsidR="00B3413F">
        <w:fldChar w:fldCharType="end"/>
      </w:r>
      <w:r w:rsidR="00B3413F">
        <w:t xml:space="preserve">) and there is </w:t>
      </w:r>
      <w:r w:rsidR="00C51141">
        <w:t xml:space="preserve">some </w:t>
      </w:r>
      <w:r w:rsidR="00B3413F">
        <w:t xml:space="preserve">evidence of differences in response to AMF between rootstocks and varieties  </w:t>
      </w:r>
      <w:r w:rsidR="00B3413F">
        <w:lastRenderedPageBreak/>
        <w:fldChar w:fldCharType="begin"/>
      </w:r>
      <w:r w:rsidR="00954B3D">
        <w:instrText xml:space="preserve"> ADDIN ZOTERO_ITEM CSL_CITATION {"citationID":"1thsg7976u","properties":{"formattedCitation":"{\\rtf (Matsubara {\\i{}et al.}, 1996)}","plainCitation":"(Matsubara et al., 1996)"},"citationItems":[{"id":184,"uris":["http://zotero.org/users/local/d1gJDEOw/items/8JWXI5WT"],"uri":["http://zotero.org/users/local/d1gJDEOw/items/8JWXI5WT"],"itemData":{"id":184,"type":"article-journal","title":"Effect of arbuscular Mycorrhizal fungus inoculation on growth of apple (Malus ssp) seedlings","container-title":"Journal of the Japanese Society for Horticultural Science","page":"297-302","volume":"65","issue":"2","source":"Web of Science","abstract":"The means of enhancing the growth of seedlings of apples, Malus pumila Mill. var. domestica Schneid. (cv. McIntosh, American Summer Pearmain, Jonathan, Golden Delicious, Starking Delicious, Fuji, Mutsu and Red Gold) and Malus sieboldii Rehd., through inoculation of arbuscular mycorrhizal (AM) fungus [Glomus etunicatum (GE) and Gigaspora margarila (GM)] were investigated. Eight weeks after inoculation, AM fungus infection occurred in all combinations of apple cultivars and fungus species. The rate of AM fungus-infected portions in a whole root system were: 31.7% in 'Golden Delicious', 50.5% in 'Jonathan' in GE-inoculated plants, and 24.0% for Malus sieboldii Rehd., and 50.7% in 'Starking Delicious' in GM-inoculated ones. Plant height and dry weights of top and roots were greater in all GE-infected seedlings than in noninoculated ones. The GM-infected seedlings made larger height and weight increments than did the noninoculated ones in all seedlings except those of 'Golden Delicious' and Malus sieboldii Rehd.. In 'McIntosh' seedlings, plant growth enhancement through symbiosis clearly appeared associated with both fungi. With both fungal species, P concentrations in the top or roots were higher in infected plants than in noninoculated plants; the effect appeared more noticeably in roots than in top. Consequently, it was confirmed that GE and GM infections and their plant growth enhancement through symbiosis occurred with the seedling stage in several apple cultivars.","ISSN":"1882-3351","note":"WOS:A1996VG48900009","journalAbbreviation":"J. Jpn. Soc. Hortic. Sci.","language":"English","author":[{"family":"Matsubara","given":"Y."},{"family":"Karikomi","given":"T."},{"family":"Ikuta","given":"M."},{"family":"Hori","given":"H."},{"family":"Ishikawa","given":"S."},{"family":"Harada","given":"T."}],"issued":{"date-parts":[["1996",9]]}}}],"schema":"https://github.com/citation-style-language/schema/raw/master/csl-citation.json"} </w:instrText>
      </w:r>
      <w:r w:rsidR="00B3413F">
        <w:fldChar w:fldCharType="separate"/>
      </w:r>
      <w:r w:rsidR="00954B3D" w:rsidRPr="00954B3D">
        <w:rPr>
          <w:rFonts w:cs="Times New Roman"/>
          <w:szCs w:val="24"/>
        </w:rPr>
        <w:t xml:space="preserve">(Matsubara </w:t>
      </w:r>
      <w:r w:rsidR="00954B3D" w:rsidRPr="00954B3D">
        <w:rPr>
          <w:rFonts w:cs="Times New Roman"/>
          <w:i/>
          <w:iCs/>
          <w:szCs w:val="24"/>
        </w:rPr>
        <w:t>et al.</w:t>
      </w:r>
      <w:r w:rsidR="00954B3D" w:rsidRPr="00954B3D">
        <w:rPr>
          <w:rFonts w:cs="Times New Roman"/>
          <w:szCs w:val="24"/>
        </w:rPr>
        <w:t>, 1996)</w:t>
      </w:r>
      <w:r w:rsidR="00B3413F">
        <w:fldChar w:fldCharType="end"/>
      </w:r>
      <w:r w:rsidR="00B3413F">
        <w:t xml:space="preserve">. </w:t>
      </w:r>
      <w:r w:rsidR="009251EC">
        <w:t>Distinct</w:t>
      </w:r>
      <w:r w:rsidR="007E60E4" w:rsidRPr="00AA22EE">
        <w:t xml:space="preserve"> differences between the colonisation of apple roots between AM</w:t>
      </w:r>
      <w:r w:rsidR="00B3413F">
        <w:t>F species</w:t>
      </w:r>
      <w:r w:rsidR="009251EC">
        <w:t xml:space="preserve"> have been</w:t>
      </w:r>
      <w:r w:rsidR="00C51141">
        <w:t xml:space="preserve"> also</w:t>
      </w:r>
      <w:r w:rsidR="009251EC">
        <w:t xml:space="preserve"> shown</w:t>
      </w:r>
      <w:r w:rsidR="007E60E4" w:rsidRPr="00AA22EE">
        <w:t xml:space="preserve">, for example Miller et al. (1985a) found root colonisation of apple seedlings by five different </w:t>
      </w:r>
      <w:r w:rsidR="009251EC">
        <w:t xml:space="preserve">taxa within the </w:t>
      </w:r>
      <w:r w:rsidR="007E60E4" w:rsidRPr="00AA22EE">
        <w:t xml:space="preserve">genera </w:t>
      </w:r>
      <w:r w:rsidR="007E60E4" w:rsidRPr="00AA22EE">
        <w:rPr>
          <w:i/>
        </w:rPr>
        <w:t>Glomus</w:t>
      </w:r>
      <w:r w:rsidR="007E60E4" w:rsidRPr="00AA22EE">
        <w:t xml:space="preserve"> and </w:t>
      </w:r>
      <w:proofErr w:type="spellStart"/>
      <w:r w:rsidR="007E60E4" w:rsidRPr="00AA22EE">
        <w:rPr>
          <w:i/>
        </w:rPr>
        <w:t>Gigaspora</w:t>
      </w:r>
      <w:proofErr w:type="spellEnd"/>
      <w:r w:rsidR="007E60E4" w:rsidRPr="00AA22EE">
        <w:rPr>
          <w:i/>
        </w:rPr>
        <w:t xml:space="preserve"> </w:t>
      </w:r>
      <w:r w:rsidR="007E60E4" w:rsidRPr="00AA22EE">
        <w:t xml:space="preserve">ranged from between 26% </w:t>
      </w:r>
      <w:r w:rsidR="00B3413F">
        <w:t>to</w:t>
      </w:r>
      <w:r w:rsidR="00DC59CF">
        <w:t xml:space="preserve"> 100%.</w:t>
      </w:r>
      <w:r w:rsidR="009251EC">
        <w:t xml:space="preserve"> Similarly </w:t>
      </w:r>
      <w:r w:rsidR="009251EC" w:rsidRPr="00AA22EE">
        <w:fldChar w:fldCharType="begin"/>
      </w:r>
      <w:r w:rsidR="009251EC" w:rsidRPr="00AA22EE">
        <w:instrText xml:space="preserve"> ADDIN EN.CITE &lt;EndNote&gt;&lt;Cite&gt;&lt;Author&gt;Covey&lt;/Author&gt;&lt;Year&gt;1981&lt;/Year&gt;&lt;IDText&gt;INFLUENCE OF VESICULAR ARBUSCULAR MYCORRHIZAE ON THE GROWTH OF APPLE AND CORN IN LOW-PHOSPHOROUS SOIL&lt;/IDText&gt;&lt;DisplayText&gt;(Covey et al. 1981)&lt;/DisplayText&gt;&lt;record&gt;&lt;urls&gt;&lt;related-urls&gt;&lt;url&gt;&amp;lt;Go to ISI&amp;gt;://WOS:A1981LZ56700009&lt;/url&gt;&lt;/related-urls&gt;&lt;/urls&gt;&lt;isbn&gt;0031-949X&lt;/isbn&gt;&lt;titles&gt;&lt;title&gt;INFLUENCE OF VESICULAR ARBUSCULAR MYCORRHIZAE ON THE GROWTH OF APPLE AND CORN IN LOW-PHOSPHOROUS SOIL&lt;/title&gt;&lt;secondary-title&gt;Phytopathology&lt;/secondary-title&gt;&lt;/titles&gt;&lt;pages&gt;712-715&lt;/pages&gt;&lt;number&gt;7&lt;/number&gt;&lt;contributors&gt;&lt;authors&gt;&lt;author&gt;Covey, R. P.&lt;/author&gt;&lt;author&gt;Koch, B. L.&lt;/author&gt;&lt;author&gt;Larsen, H. J.&lt;/author&gt;&lt;/authors&gt;&lt;/contributors&gt;&lt;added-date format="utc"&gt;1353880753&lt;/added-date&gt;&lt;ref-type name="Journal Article"&gt;17&lt;/ref-type&gt;&lt;dates&gt;&lt;year&gt;1981&lt;/year&gt;&lt;/dates&gt;&lt;rec-number&gt;100&lt;/rec-number&gt;&lt;last-updated-date format="utc"&gt;1353880753&lt;/last-updated-date&gt;&lt;accession-num&gt;WOS:A1981LZ56700009&lt;/accession-num&gt;&lt;electronic-resource-num&gt;10.1094/Phyto-71-712&lt;/electronic-resource-num&gt;&lt;volume&gt;71&lt;/volume&gt;&lt;/record&gt;&lt;/Cite&gt;&lt;/EndNote&gt;</w:instrText>
      </w:r>
      <w:r w:rsidR="009251EC" w:rsidRPr="00AA22EE">
        <w:fldChar w:fldCharType="separate"/>
      </w:r>
      <w:r w:rsidR="009251EC" w:rsidRPr="00AA22EE">
        <w:rPr>
          <w:noProof/>
        </w:rPr>
        <w:t>Covey et al.</w:t>
      </w:r>
      <w:r w:rsidR="009251EC">
        <w:rPr>
          <w:noProof/>
        </w:rPr>
        <w:t>,</w:t>
      </w:r>
      <w:r w:rsidR="009251EC" w:rsidRPr="00AA22EE">
        <w:rPr>
          <w:noProof/>
        </w:rPr>
        <w:t xml:space="preserve"> (1981)</w:t>
      </w:r>
      <w:r w:rsidR="009251EC" w:rsidRPr="00AA22EE">
        <w:fldChar w:fldCharType="end"/>
      </w:r>
      <w:r w:rsidR="009251EC" w:rsidRPr="00AA22EE">
        <w:t xml:space="preserve"> </w:t>
      </w:r>
      <w:r w:rsidR="009251EC">
        <w:t>found</w:t>
      </w:r>
      <w:r w:rsidR="009251EC" w:rsidRPr="00AA22EE">
        <w:t xml:space="preserve"> </w:t>
      </w:r>
      <w:proofErr w:type="spellStart"/>
      <w:r w:rsidR="009251EC">
        <w:rPr>
          <w:i/>
        </w:rPr>
        <w:t>Funneliformis</w:t>
      </w:r>
      <w:proofErr w:type="spellEnd"/>
      <w:r w:rsidR="009251EC">
        <w:rPr>
          <w:i/>
        </w:rPr>
        <w:t xml:space="preserve"> </w:t>
      </w:r>
      <w:proofErr w:type="spellStart"/>
      <w:r w:rsidR="009251EC">
        <w:rPr>
          <w:i/>
        </w:rPr>
        <w:t>mosseae</w:t>
      </w:r>
      <w:proofErr w:type="spellEnd"/>
      <w:r w:rsidR="009251EC" w:rsidRPr="00AA22EE">
        <w:t xml:space="preserve"> successfully colonised </w:t>
      </w:r>
      <w:r w:rsidR="00361D64">
        <w:rPr>
          <w:i/>
        </w:rPr>
        <w:t>M. pumila</w:t>
      </w:r>
      <w:r w:rsidR="009251EC" w:rsidRPr="00AA22EE">
        <w:t xml:space="preserve"> seedlings and increase</w:t>
      </w:r>
      <w:r w:rsidR="009251EC">
        <w:t>d dry biomass to</w:t>
      </w:r>
      <w:r w:rsidR="009251EC" w:rsidRPr="00AA22EE">
        <w:t xml:space="preserve"> over 9 times that of non</w:t>
      </w:r>
      <w:r w:rsidR="009251EC">
        <w:t>-</w:t>
      </w:r>
      <w:r w:rsidR="009251EC" w:rsidRPr="00AA22EE">
        <w:t>mycorr</w:t>
      </w:r>
      <w:r w:rsidR="009251EC">
        <w:t xml:space="preserve">hizal seedling however </w:t>
      </w:r>
      <w:r w:rsidR="009251EC" w:rsidRPr="00AA22EE">
        <w:t xml:space="preserve">seedlings inoculated with </w:t>
      </w:r>
      <w:r w:rsidR="009251EC" w:rsidRPr="00AA22EE">
        <w:rPr>
          <w:i/>
        </w:rPr>
        <w:t xml:space="preserve">Glomus </w:t>
      </w:r>
      <w:proofErr w:type="spellStart"/>
      <w:r w:rsidR="009251EC" w:rsidRPr="00AA22EE">
        <w:rPr>
          <w:i/>
        </w:rPr>
        <w:t>microcarpus</w:t>
      </w:r>
      <w:proofErr w:type="spellEnd"/>
      <w:r w:rsidR="009251EC" w:rsidRPr="00AA22EE">
        <w:t xml:space="preserve"> showed </w:t>
      </w:r>
      <w:r w:rsidR="009251EC">
        <w:t>very low levels of root colonisation and no growth improvements.</w:t>
      </w:r>
    </w:p>
    <w:p w:rsidR="007E60E4" w:rsidRPr="00AA22EE" w:rsidRDefault="007E60E4" w:rsidP="00312289">
      <w:r w:rsidRPr="00AA22EE">
        <w:t xml:space="preserve">The majority of experiments on </w:t>
      </w:r>
      <w:r w:rsidRPr="00AA22EE">
        <w:rPr>
          <w:i/>
        </w:rPr>
        <w:t>M.</w:t>
      </w:r>
      <w:r w:rsidR="00361D64">
        <w:rPr>
          <w:i/>
        </w:rPr>
        <w:t xml:space="preserve"> </w:t>
      </w:r>
      <w:r w:rsidRPr="00AA22EE">
        <w:rPr>
          <w:i/>
        </w:rPr>
        <w:t>pumila</w:t>
      </w:r>
      <w:r w:rsidRPr="00AA22EE">
        <w:t xml:space="preserve"> and AM have involved controlled infection of apple with mycorrhiza and short to medium term growth observations of apple usually in </w:t>
      </w:r>
      <w:r w:rsidR="008C190E">
        <w:t xml:space="preserve">greenhouse </w:t>
      </w:r>
      <w:r w:rsidR="00887F9A">
        <w:t>conditions</w:t>
      </w:r>
      <w:r w:rsidR="008C190E">
        <w:t xml:space="preserve"> (</w:t>
      </w:r>
      <w:r w:rsidR="00312289">
        <w:t>Table 1.3</w:t>
      </w:r>
      <w:r w:rsidRPr="00AA22EE">
        <w:t xml:space="preserve">) yet longer term </w:t>
      </w:r>
      <w:r w:rsidR="00887F9A">
        <w:t>field</w:t>
      </w:r>
      <w:r w:rsidR="00E2551B">
        <w:t xml:space="preserve"> studies</w:t>
      </w:r>
      <w:r w:rsidR="00887F9A">
        <w:t xml:space="preserve"> </w:t>
      </w:r>
      <w:r w:rsidRPr="00AA22EE">
        <w:t xml:space="preserve">are lacking. Furthermore with the exception of </w:t>
      </w:r>
      <w:proofErr w:type="spellStart"/>
      <w:r w:rsidRPr="00AA22EE">
        <w:t>Copas</w:t>
      </w:r>
      <w:proofErr w:type="spellEnd"/>
      <w:r w:rsidRPr="00AA22EE">
        <w:t xml:space="preserve"> 2002, no studies have examined AM and cider apple varieties and as differences have been observed between the benefits </w:t>
      </w:r>
      <w:r w:rsidR="00E2551B">
        <w:t>dessert</w:t>
      </w:r>
      <w:r w:rsidRPr="00AA22EE">
        <w:t xml:space="preserve"> apple varieties receive from association with the same species of </w:t>
      </w:r>
      <w:r w:rsidR="00887F9A">
        <w:t>AMF</w:t>
      </w:r>
      <w:r w:rsidRPr="00AA22EE">
        <w:t xml:space="preserve"> it would therefore be informative to quantify the growth effect of association between AM</w:t>
      </w:r>
      <w:r w:rsidR="00887F9A">
        <w:t>F</w:t>
      </w:r>
      <w:r w:rsidRPr="00AA22EE">
        <w:t xml:space="preserve"> an</w:t>
      </w:r>
      <w:r w:rsidR="00DC59CF">
        <w:t>d modern cider apple varieties.</w:t>
      </w:r>
    </w:p>
    <w:p w:rsidR="007E60E4" w:rsidRPr="00AA22EE" w:rsidRDefault="007E60E4" w:rsidP="007E60E4">
      <w:pPr>
        <w:pStyle w:val="Heading4"/>
        <w:numPr>
          <w:ilvl w:val="3"/>
          <w:numId w:val="1"/>
        </w:numPr>
      </w:pPr>
      <w:r w:rsidRPr="00AA22EE">
        <w:t>Disease resistance</w:t>
      </w:r>
    </w:p>
    <w:p w:rsidR="007E60E4" w:rsidRPr="00AA22EE" w:rsidRDefault="007E60E4" w:rsidP="00DE54FD">
      <w:r w:rsidRPr="00AA22EE">
        <w:t xml:space="preserve">A growing number of recent studies now report the beneficial effect of colonisation of apple by AM on resistance to </w:t>
      </w:r>
      <w:r w:rsidR="008C190E">
        <w:t>pathogens and parasites (</w:t>
      </w:r>
      <w:r w:rsidR="00D21C6A">
        <w:t>Table 1.4</w:t>
      </w:r>
      <w:r w:rsidRPr="00AA22EE">
        <w:t xml:space="preserve">). In accord with the results of nutritional studies of AM and apple,  disease resistance studies also report variation in the level of benefit gained from mycorrhizal association with some species providing a greater benefit to apple than others. For example Krishna et al. (2010) studied the individual effect of seven AM species on performance of apple trees infected with </w:t>
      </w:r>
      <w:proofErr w:type="spellStart"/>
      <w:r w:rsidRPr="00AA22EE">
        <w:rPr>
          <w:i/>
        </w:rPr>
        <w:t>Botryosphaeria</w:t>
      </w:r>
      <w:proofErr w:type="spellEnd"/>
      <w:r w:rsidRPr="00AA22EE">
        <w:t xml:space="preserve"> canker</w:t>
      </w:r>
      <w:r w:rsidR="009251EC">
        <w:t xml:space="preserve"> and found that although all AMF </w:t>
      </w:r>
      <w:r w:rsidRPr="00AA22EE">
        <w:t>treatments significantly improved tree survival in comparison to survival of control trees (25%), there was considerable difference in mean survival of trees colonised by the least beneficial fungi (</w:t>
      </w:r>
      <w:r w:rsidRPr="00AA22EE">
        <w:rPr>
          <w:i/>
        </w:rPr>
        <w:t xml:space="preserve">Glomus </w:t>
      </w:r>
      <w:proofErr w:type="spellStart"/>
      <w:r w:rsidRPr="00AA22EE">
        <w:rPr>
          <w:i/>
        </w:rPr>
        <w:t>lepotichum</w:t>
      </w:r>
      <w:proofErr w:type="spellEnd"/>
      <w:r w:rsidRPr="00AA22EE">
        <w:t xml:space="preserve">) (40%) in comparison to the most effective fungi </w:t>
      </w:r>
      <w:proofErr w:type="spellStart"/>
      <w:r w:rsidRPr="00AA22EE">
        <w:rPr>
          <w:i/>
        </w:rPr>
        <w:t>Sclerocytis</w:t>
      </w:r>
      <w:proofErr w:type="spellEnd"/>
      <w:r w:rsidRPr="00AA22EE">
        <w:rPr>
          <w:i/>
        </w:rPr>
        <w:t xml:space="preserve"> </w:t>
      </w:r>
      <w:proofErr w:type="spellStart"/>
      <w:r w:rsidRPr="00AA22EE">
        <w:rPr>
          <w:i/>
        </w:rPr>
        <w:t>dussi</w:t>
      </w:r>
      <w:proofErr w:type="spellEnd"/>
      <w:r w:rsidR="00C51141">
        <w:t xml:space="preserve"> (91%).</w:t>
      </w:r>
      <w:r w:rsidR="00361D64">
        <w:t xml:space="preserve"> </w:t>
      </w:r>
      <w:r w:rsidRPr="00AA22EE">
        <w:t>In particular the ability of AM</w:t>
      </w:r>
      <w:r w:rsidR="009251EC">
        <w:t>F</w:t>
      </w:r>
      <w:r w:rsidRPr="00AA22EE">
        <w:t xml:space="preserve"> to provide protection against specific apple replant disease (SARD) a common condition which can substantially reduce the establishment of newly planted trees, and to provide protection against the parasitic root nematode (</w:t>
      </w:r>
      <w:proofErr w:type="spellStart"/>
      <w:r w:rsidRPr="00AA22EE">
        <w:rPr>
          <w:i/>
        </w:rPr>
        <w:t>Pratylenchus</w:t>
      </w:r>
      <w:proofErr w:type="spellEnd"/>
      <w:r w:rsidRPr="00AA22EE">
        <w:rPr>
          <w:i/>
        </w:rPr>
        <w:t xml:space="preserve"> </w:t>
      </w:r>
      <w:proofErr w:type="spellStart"/>
      <w:r w:rsidRPr="00AA22EE">
        <w:rPr>
          <w:i/>
        </w:rPr>
        <w:t>sp</w:t>
      </w:r>
      <w:proofErr w:type="spellEnd"/>
      <w:r w:rsidRPr="00AA22EE">
        <w:t>) which is a virulent pathogen of fruit trees of temperate regions, have been the focus of several studies. Although</w:t>
      </w:r>
      <w:r w:rsidR="00C51141">
        <w:t xml:space="preserve"> t</w:t>
      </w:r>
      <w:r w:rsidR="004930C5">
        <w:t xml:space="preserve">o </w:t>
      </w:r>
      <w:r w:rsidR="00C51141">
        <w:t>our knowledge</w:t>
      </w:r>
      <w:r w:rsidRPr="00AA22EE">
        <w:t xml:space="preserve"> no studies have examined AM</w:t>
      </w:r>
      <w:r w:rsidR="009251EC">
        <w:t>F</w:t>
      </w:r>
      <w:r w:rsidRPr="00AA22EE">
        <w:t xml:space="preserve"> colonisation and disease resistance in cider apple varieties</w:t>
      </w:r>
      <w:r w:rsidR="009251EC">
        <w:t>,</w:t>
      </w:r>
      <w:r w:rsidRPr="00AA22EE">
        <w:t xml:space="preserve"> the rootstocks MM111, M106 and M26 are all widely used in modern cider orchards</w:t>
      </w:r>
      <w:r w:rsidR="009251EC">
        <w:t xml:space="preserve"> and show positive response to AMF </w:t>
      </w:r>
      <w:r w:rsidR="00887F9A">
        <w:t>(</w:t>
      </w:r>
      <w:r w:rsidR="009251EC">
        <w:fldChar w:fldCharType="begin"/>
      </w:r>
      <w:r w:rsidR="009251EC">
        <w:instrText xml:space="preserve"> REF _Ref469945063 \h </w:instrText>
      </w:r>
      <w:r w:rsidR="009251EC">
        <w:fldChar w:fldCharType="separate"/>
      </w:r>
      <w:r w:rsidR="00E0714D">
        <w:t xml:space="preserve">Table </w:t>
      </w:r>
      <w:r w:rsidR="00E0714D">
        <w:rPr>
          <w:noProof/>
        </w:rPr>
        <w:t>1</w:t>
      </w:r>
      <w:r w:rsidR="00E0714D">
        <w:t>.</w:t>
      </w:r>
      <w:r w:rsidR="00E0714D">
        <w:rPr>
          <w:noProof/>
        </w:rPr>
        <w:t>4</w:t>
      </w:r>
      <w:r w:rsidR="009251EC">
        <w:fldChar w:fldCharType="end"/>
      </w:r>
      <w:r w:rsidR="00C03BEA">
        <w:t>).</w:t>
      </w:r>
    </w:p>
    <w:p w:rsidR="007E60E4" w:rsidRPr="00AA22EE" w:rsidRDefault="007E60E4" w:rsidP="00DE54FD">
      <w:r w:rsidRPr="00AA22EE">
        <w:t>Many studies of apple attribute benefits of AM on tree performance in the presence of pathogens and pests to improved tree health due to improved nutrition thereby increasing the ability of the plant to defend against attack from pathogens as it is well established that trees which are weakened or stressed are more susceptible to disease</w:t>
      </w:r>
      <w:r w:rsidR="00011B24">
        <w:t xml:space="preserve"> </w:t>
      </w:r>
      <w:r w:rsidR="00011B24">
        <w:fldChar w:fldCharType="begin"/>
      </w:r>
      <w:r w:rsidR="00011B24">
        <w:instrText xml:space="preserve"> ADDIN ZOTERO_ITEM CSL_CITATION {"citationID":"1ce06rm5qd","properties":{"formattedCitation":"(Williams, 2000)","plainCitation":"(Williams, 2000)"},"citationItems":[{"id":1361,"uris":["http://zotero.org/users/local/d1gJDEOw/items/HPW78KEF"],"uri":["http://zotero.org/users/local/d1gJDEOw/items/HPW78KEF"],"itemData":{"id":1361,"type":"book","title":"Cider and Juice Apples: Growing and processes","publisher":"University of Bristol Printing Unit","shortTitle":"Cider and Juice Apples: Growing and processes","author":[{"literal":"Williams"}],"issued":{"date-parts":[["2000"]]}}}],"schema":"https://github.com/citation-style-language/schema/raw/master/csl-citation.json"} </w:instrText>
      </w:r>
      <w:r w:rsidR="00011B24">
        <w:fldChar w:fldCharType="separate"/>
      </w:r>
      <w:r w:rsidR="00011B24" w:rsidRPr="00011B24">
        <w:rPr>
          <w:rFonts w:cs="Times New Roman"/>
        </w:rPr>
        <w:t>(Williams, 2000)</w:t>
      </w:r>
      <w:r w:rsidR="00011B24">
        <w:fldChar w:fldCharType="end"/>
      </w:r>
      <w:r w:rsidRPr="00AA22EE">
        <w:t xml:space="preserve">. For example, incidence of </w:t>
      </w:r>
      <w:proofErr w:type="spellStart"/>
      <w:r w:rsidRPr="00AA22EE">
        <w:rPr>
          <w:i/>
        </w:rPr>
        <w:t>Botryosphaeria</w:t>
      </w:r>
      <w:proofErr w:type="spellEnd"/>
      <w:r w:rsidRPr="00AA22EE">
        <w:rPr>
          <w:i/>
        </w:rPr>
        <w:t xml:space="preserve"> </w:t>
      </w:r>
      <w:r w:rsidRPr="00AA22EE">
        <w:t>stem brown canker</w:t>
      </w:r>
      <w:r w:rsidR="00EC69F6">
        <w:t>,</w:t>
      </w:r>
      <w:r w:rsidRPr="00AA22EE">
        <w:t xml:space="preserve"> a fungal pathogen which may considerably reduce tree growth and fruit production is known to be increased in trees which are suffering from nutrient </w:t>
      </w:r>
      <w:r w:rsidRPr="00AA22EE">
        <w:lastRenderedPageBreak/>
        <w:t>deficiency</w:t>
      </w:r>
      <w:r w:rsidR="00011B24">
        <w:t xml:space="preserve"> </w:t>
      </w:r>
      <w:r w:rsidR="00011B24">
        <w:fldChar w:fldCharType="begin"/>
      </w:r>
      <w:r w:rsidR="00011B24">
        <w:instrText xml:space="preserve"> ADDIN ZOTERO_ITEM CSL_CITATION {"citationID":"1et5hfqnv9","properties":{"formattedCitation":"{\\rtf (Borovinova {\\i{}et al.}, 2012)}","plainCitation":"(Borovinova et al., 2012)"},"citationItems":[{"id":870,"uris":["http://zotero.org/users/local/d1gJDEOw/items/5JSMW3XJ"],"uri":["http://zotero.org/users/local/d1gJDEOw/items/5JSMW3XJ"],"itemData":{"id":870,"type":"article-journal","title":"Effect of Different Growing Systems of Apple on Trunk and Branch Diseases and Pests","container-title":"Notulae Botanicae Horti Agrobotanici Cluj-Napoca","page":"159-162","volume":"40","issue":"2","archive_location":"WOS:000311589900023","abstract":"The presented study aimed to determine apple's trunk and branch diseases and pests in three growing systems conventional, integrated and biological (organic). The investigations were made on an experimental apple orchard (1 ha) of the Institute of Agriculture at Kyustendil, Southwest Bulgaria in four consecutive years from 2007 to 2010. Three scab resistant cultivars 'Prima', 'Florina' and 'Erwin Baur' grafted on rootstocks MM 106 were planted in 1996. The orchard was divided into four plots. One plot was treated conventionally with a normal pesticide programme, two plots were treated integrated according to the general principles, rules and standards of integrated apple production and one plot for biological (organic). The monitoring of pests and diseases and assessment of their density were done every two weeks. It was established that during the experimental period important disease and pests on apple trees in different growing systems were black rot Botryosphaeria obtusa, apple clearwig moth Synanthedon myopaeformis and shorthole borer Scolytus rugudosus. The damages by trunk and branch diseases and pests on apple were considerable higher in biological growing system. The mean rate of attack of cultivar 'Erwin Baur' by Botryosphaeria obtusa in biological and conventional growing systems was 52.35% and 4.65%, respectively The percentage of damaged by Scolytus rugulosus trunk and branch area per tree reach to 58.74 in biological and 0.23 in conventional system. Reduced vitality of apple trees growing with out pesticides and mineral fertilizers in biological growing system was the reason for strong infection of Botryosphaeria obtuse and attack of Synanthedon myopaeformis and Scolytus rugulosus.","ISSN":"0255-965X","shortTitle":"Effect of Different Growing Systems of Apple on Trunk and Branch Diseases and Pests","journalAbbreviation":"Not. Bot. Horti Agrobot. Cluj-Na.","language":"English","author":[{"family":"Borovinova","given":"M."},{"family":"Petrova","given":"V."},{"family":"Maneva","given":"S."}],"issued":{"date-parts":[["2012",7]]}}}],"schema":"https://github.com/citation-style-language/schema/raw/master/csl-citation.json"} </w:instrText>
      </w:r>
      <w:r w:rsidR="00011B24">
        <w:fldChar w:fldCharType="separate"/>
      </w:r>
      <w:r w:rsidR="00011B24" w:rsidRPr="00011B24">
        <w:rPr>
          <w:rFonts w:cs="Times New Roman"/>
          <w:szCs w:val="24"/>
        </w:rPr>
        <w:t>(</w:t>
      </w:r>
      <w:proofErr w:type="spellStart"/>
      <w:r w:rsidR="00011B24" w:rsidRPr="00011B24">
        <w:rPr>
          <w:rFonts w:cs="Times New Roman"/>
          <w:szCs w:val="24"/>
        </w:rPr>
        <w:t>Borovinova</w:t>
      </w:r>
      <w:proofErr w:type="spellEnd"/>
      <w:r w:rsidR="00011B24" w:rsidRPr="00011B24">
        <w:rPr>
          <w:rFonts w:cs="Times New Roman"/>
          <w:szCs w:val="24"/>
        </w:rPr>
        <w:t xml:space="preserve"> </w:t>
      </w:r>
      <w:r w:rsidR="00011B24" w:rsidRPr="00011B24">
        <w:rPr>
          <w:rFonts w:cs="Times New Roman"/>
          <w:i/>
          <w:iCs/>
          <w:szCs w:val="24"/>
        </w:rPr>
        <w:t>et al.</w:t>
      </w:r>
      <w:r w:rsidR="00011B24" w:rsidRPr="00011B24">
        <w:rPr>
          <w:rFonts w:cs="Times New Roman"/>
          <w:szCs w:val="24"/>
        </w:rPr>
        <w:t>, 2012)</w:t>
      </w:r>
      <w:r w:rsidR="00011B24">
        <w:fldChar w:fldCharType="end"/>
      </w:r>
      <w:r w:rsidR="00EC69F6">
        <w:t>. Ho</w:t>
      </w:r>
      <w:r w:rsidRPr="00AA22EE">
        <w:t xml:space="preserve">wever apple trees </w:t>
      </w:r>
      <w:r w:rsidR="00EC69F6">
        <w:t xml:space="preserve">inoculated with </w:t>
      </w:r>
      <w:r w:rsidRPr="00AA22EE">
        <w:t>AM</w:t>
      </w:r>
      <w:r w:rsidR="00EC69F6">
        <w:t>F</w:t>
      </w:r>
      <w:r w:rsidRPr="00AA22EE">
        <w:t xml:space="preserve"> show</w:t>
      </w:r>
      <w:r w:rsidR="003E11AF">
        <w:t>ed</w:t>
      </w:r>
      <w:r w:rsidRPr="00AA22EE">
        <w:t xml:space="preserve"> improved health and vigour, lower incidence of </w:t>
      </w:r>
      <w:proofErr w:type="spellStart"/>
      <w:r w:rsidRPr="00AA22EE">
        <w:rPr>
          <w:i/>
        </w:rPr>
        <w:t>Botryosphaeria</w:t>
      </w:r>
      <w:proofErr w:type="spellEnd"/>
      <w:r w:rsidRPr="00AA22EE">
        <w:t xml:space="preserve"> infection and improved survival following </w:t>
      </w:r>
      <w:r w:rsidR="003E11AF">
        <w:t>infection</w:t>
      </w:r>
      <w:r w:rsidR="00011B24">
        <w:t xml:space="preserve"> </w:t>
      </w:r>
      <w:r w:rsidR="00011B24">
        <w:fldChar w:fldCharType="begin"/>
      </w:r>
      <w:r w:rsidR="00011B24">
        <w:instrText xml:space="preserve"> ADDIN ZOTERO_ITEM CSL_CITATION {"citationID":"sfu1tlb8h","properties":{"formattedCitation":"{\\rtf (Krishna {\\i{}et al.}, 2010)}","plainCitation":"(Krishna et al., 2010)"},"citationItems":[{"id":18,"uris":["http://zotero.org/users/local/d1gJDEOw/items/F68EWQ2G"],"uri":["http://zotero.org/users/local/d1gJDEOw/items/F68EWQ2G"],"itemData":{"id":18,"type":"article-journal","title":"Suppression of Botryosphaeria canker of apple by arbuscular mycorrhizal fungi","container-title":"Crop Protection","page":"1049-1054","volume":"29","issue":"9","source":"ScienceDirect","abstract":"Stem brown canker or Botryosphaeria canker disease impairs the growth and kills the shoots, limbs and even trunks of infected apple trees. Apple roots are usually colonized by arbuscular mycorrhizal fungi, which may have a positive influence on plant growth and suppression of diseases. In order to assess the efficacy of AM to suppress the disease severity and plant growth enhancement, nine AMF inoculation treatments (Sclerocystis dussi, Glomus intraradices, G. fasciculatum, G. bagyaraji, G. leptotichum, G. monosporum, Gigaspora margarita, a mixed AM culture and a non-mycorrhizal control treatment) were used in this present study. Two-year-old potted apple plants, maintained under glasshouse conditions, were either pre-inoculated with AMF followed by stem inoculation with Botryosphaeria ribis or simultaneously inoculated with Botryosphaeria ribis and AM. The results indicated that the incidence of canker was less severe in plants inoculated with AMF in comparison to non-mycorrhizal control. Timing of inoculation also had a significant effect on disease development and plant survival. Plants pre-inoculated with mycorrhiza performed better over those inoculated simultaneously with Botryosphaeria ribis and AM fungi. Furthermore, AM inoculation resulted in improved survival and growth of AMF-colonized plants; though, it varied by species of AM fungi utilized.","DOI":"10.1016/j.cropro.2010.05.005","ISSN":"0261-2194","journalAbbreviation":"Crop Protection","author":[{"family":"Krishna","given":"Hare"},{"family":"Das","given":"Biswajit"},{"family":"Attri","given":"Brij Lal"},{"family":"Grover","given":"Minakshi"},{"family":"Ahmed","given":"Nazeer"}],"issued":{"date-parts":[["2010",9]]}}}],"schema":"https://github.com/citation-style-language/schema/raw/master/csl-citation.json"} </w:instrText>
      </w:r>
      <w:r w:rsidR="00011B24">
        <w:fldChar w:fldCharType="separate"/>
      </w:r>
      <w:r w:rsidR="00011B24" w:rsidRPr="00011B24">
        <w:rPr>
          <w:rFonts w:cs="Times New Roman"/>
          <w:szCs w:val="24"/>
        </w:rPr>
        <w:t xml:space="preserve">(Krishna </w:t>
      </w:r>
      <w:r w:rsidR="00011B24" w:rsidRPr="00011B24">
        <w:rPr>
          <w:rFonts w:cs="Times New Roman"/>
          <w:i/>
          <w:iCs/>
          <w:szCs w:val="24"/>
        </w:rPr>
        <w:t>et al.</w:t>
      </w:r>
      <w:r w:rsidR="00011B24" w:rsidRPr="00011B24">
        <w:rPr>
          <w:rFonts w:cs="Times New Roman"/>
          <w:szCs w:val="24"/>
        </w:rPr>
        <w:t>, 2010)</w:t>
      </w:r>
      <w:r w:rsidR="00011B24">
        <w:fldChar w:fldCharType="end"/>
      </w:r>
      <w:r w:rsidRPr="00AA22EE">
        <w:t xml:space="preserve">. Direct negative effect of AM associated with apple upon soil pathogen populations have also been reported for example Forge et al, </w:t>
      </w:r>
      <w:r w:rsidR="00361D64">
        <w:t>(</w:t>
      </w:r>
      <w:r w:rsidRPr="00AA22EE">
        <w:t>2001</w:t>
      </w:r>
      <w:r w:rsidR="00361D64">
        <w:t>)</w:t>
      </w:r>
      <w:r w:rsidRPr="00AA22EE">
        <w:t xml:space="preserve"> found a significant reduction in density of the nematode </w:t>
      </w:r>
      <w:proofErr w:type="spellStart"/>
      <w:r w:rsidRPr="00AA22EE">
        <w:rPr>
          <w:i/>
        </w:rPr>
        <w:t>Praylenchus</w:t>
      </w:r>
      <w:proofErr w:type="spellEnd"/>
      <w:r w:rsidRPr="00AA22EE">
        <w:rPr>
          <w:i/>
        </w:rPr>
        <w:t xml:space="preserve"> </w:t>
      </w:r>
      <w:proofErr w:type="spellStart"/>
      <w:r w:rsidRPr="00AA22EE">
        <w:rPr>
          <w:i/>
        </w:rPr>
        <w:t>penetrans</w:t>
      </w:r>
      <w:proofErr w:type="spellEnd"/>
      <w:r w:rsidRPr="00AA22EE">
        <w:t xml:space="preserve"> in the rhizosphere of apple trees</w:t>
      </w:r>
      <w:r w:rsidR="00011B24">
        <w:t xml:space="preserve"> </w:t>
      </w:r>
      <w:r w:rsidR="00011B24">
        <w:fldChar w:fldCharType="begin"/>
      </w:r>
      <w:r w:rsidR="00011B24">
        <w:instrText xml:space="preserve"> ADDIN ZOTERO_ITEM CSL_CITATION {"citationID":"noinchv9e","properties":{"formattedCitation":"{\\rtf (Forge {\\i{}et al.}, 2001)}","plainCitation":"(Forge et al., 2001)"},"citationItems":[{"id":68,"uris":["http://zotero.org/users/local/d1gJDEOw/items/4XHBZECG"],"uri":["http://zotero.org/users/local/d1gJDEOw/items/4XHBZECG"],"itemData":{"id":68,"type":"article-journal","title":"Effects of preplant inoculation of apple (Malus domestica Borkh.) with arbuscular mycorrhizal fungi on population growth of the root-lesion nematode, Pratylenchus penetrans","container-title":"Plant and Soil","page":"185-196","volume":"236","issue":"2","abstract":"Six species of arbuscular mycorrhizal (AM) fungi (Glomus aggregatum, G. clarum, G. etunicatum, G. intraradices, G. mosseae and G. versiforme) were evaluated, in three greenhouse experiments, for their effects on reproduction of the root-lesion nematode, Pratylenchus penetrans, and growth of Ottawa 3 apple rootstock. Glomus mosseae increased total dry weights of nematode-inoculated and non-inoculated rootstock in all three greenhouse experiments, and G. intraradices increased dry weights in two of three greenhouse experiments. Plants inoculated with G. mosseae generally supported fewer P. penetrans per gram of root than plants inoculated with other AM fungi, but did not differ significantly from the controls in any greenhouse experiment. Colonization of roots by AM fungi was reduced by P. penetrans at initial inoculum densities greater than 250 nematodes/L soil. In field trials, preplant inoculation with either G. intraradices or G. mosseae increased rootstock growth and leaf concentrations of P, Mg, Zn and Cu in fumigated plots but not in non-fumigated plots, indicating that colonization by native AM fungi in non-fumigated plots may have been sufficient for adequate nutrient acquisition. The abundance of vesicles and arbuscules was greater in roots of plants inoculated with AM fungi before planting than in roots of non-inoculated plants, in both fumigated and non-fumigated plots. P. penetrans per gram of root and per 50 ml soil were significantly lower for G. mosseae- inoculated plants than for non-inoculated plants in fumigated soil but not in non-fumigated soil.","DOI":"10.1023/A:1012743028974","ISSN":"1573-5036","journalAbbreviation":"Plant and Soil","author":[{"family":"Forge","given":"Thomas"},{"family":"Muehlchen","given":"Andrea"},{"family":"Hackenberg","given":"Clemens"},{"family":"Neilsen","given":"Gerry"},{"family":"Vrain","given":"Thierry"}],"issued":{"date-parts":[["2001"]]}}}],"schema":"https://github.com/citation-style-language/schema/raw/master/csl-citation.json"} </w:instrText>
      </w:r>
      <w:r w:rsidR="00011B24">
        <w:fldChar w:fldCharType="separate"/>
      </w:r>
      <w:r w:rsidR="00011B24" w:rsidRPr="00011B24">
        <w:rPr>
          <w:rFonts w:cs="Times New Roman"/>
          <w:szCs w:val="24"/>
        </w:rPr>
        <w:t xml:space="preserve">(Forge </w:t>
      </w:r>
      <w:r w:rsidR="00011B24" w:rsidRPr="00011B24">
        <w:rPr>
          <w:rFonts w:cs="Times New Roman"/>
          <w:i/>
          <w:iCs/>
          <w:szCs w:val="24"/>
        </w:rPr>
        <w:t>et al.</w:t>
      </w:r>
      <w:r w:rsidR="00011B24" w:rsidRPr="00011B24">
        <w:rPr>
          <w:rFonts w:cs="Times New Roman"/>
          <w:szCs w:val="24"/>
        </w:rPr>
        <w:t>, 2001)</w:t>
      </w:r>
      <w:r w:rsidR="00011B24">
        <w:fldChar w:fldCharType="end"/>
      </w:r>
      <w:r w:rsidRPr="00AA22EE">
        <w:t xml:space="preserve">. </w:t>
      </w:r>
    </w:p>
    <w:p w:rsidR="007E60E4" w:rsidRPr="00AA22EE" w:rsidRDefault="00D76319" w:rsidP="007E60E4">
      <w:pPr>
        <w:pStyle w:val="Heading3"/>
        <w:rPr>
          <w:rFonts w:cs="Times New Roman"/>
        </w:rPr>
      </w:pPr>
      <w:bookmarkStart w:id="100" w:name="_Toc463208989"/>
      <w:bookmarkStart w:id="101" w:name="_Toc469855014"/>
      <w:bookmarkStart w:id="102" w:name="_Toc469856014"/>
      <w:bookmarkStart w:id="103" w:name="_Toc469931923"/>
      <w:bookmarkStart w:id="104" w:name="_Toc469982244"/>
      <w:r>
        <w:rPr>
          <w:rFonts w:cs="Times New Roman"/>
        </w:rPr>
        <w:t>Arbuscular mycorrhizal fungi</w:t>
      </w:r>
      <w:r w:rsidR="007E60E4" w:rsidRPr="00AA22EE">
        <w:rPr>
          <w:rFonts w:cs="Times New Roman"/>
        </w:rPr>
        <w:t xml:space="preserve"> within UK apple orchards</w:t>
      </w:r>
      <w:bookmarkEnd w:id="100"/>
      <w:bookmarkEnd w:id="101"/>
      <w:bookmarkEnd w:id="102"/>
      <w:bookmarkEnd w:id="103"/>
      <w:bookmarkEnd w:id="104"/>
    </w:p>
    <w:p w:rsidR="007E60E4" w:rsidRDefault="007E60E4" w:rsidP="00DE54FD">
      <w:r w:rsidRPr="00AA22EE">
        <w:t xml:space="preserve">The ability of the domestic apple </w:t>
      </w:r>
      <w:r w:rsidR="00887F9A">
        <w:rPr>
          <w:i/>
        </w:rPr>
        <w:t>M.</w:t>
      </w:r>
      <w:r w:rsidR="00361D64">
        <w:rPr>
          <w:i/>
        </w:rPr>
        <w:t xml:space="preserve"> </w:t>
      </w:r>
      <w:r w:rsidRPr="00AA22EE">
        <w:rPr>
          <w:i/>
        </w:rPr>
        <w:t>pumila</w:t>
      </w:r>
      <w:r w:rsidRPr="00AA22EE">
        <w:t xml:space="preserve"> to form association with </w:t>
      </w:r>
      <w:r w:rsidR="00BB34AF">
        <w:t xml:space="preserve">AMF </w:t>
      </w:r>
      <w:r w:rsidRPr="00AA22EE">
        <w:t xml:space="preserve">is well established however </w:t>
      </w:r>
      <w:r w:rsidR="00E01DD2">
        <w:t>less</w:t>
      </w:r>
      <w:r w:rsidRPr="00AA22EE">
        <w:t xml:space="preserve"> is </w:t>
      </w:r>
      <w:r w:rsidR="00BB34AF" w:rsidRPr="00AA22EE">
        <w:t xml:space="preserve">known </w:t>
      </w:r>
      <w:r w:rsidR="00BB34AF">
        <w:t xml:space="preserve">about </w:t>
      </w:r>
      <w:r w:rsidRPr="00AA22EE">
        <w:t>AM</w:t>
      </w:r>
      <w:r w:rsidR="00BB34AF">
        <w:t>F</w:t>
      </w:r>
      <w:r w:rsidRPr="00AA22EE">
        <w:t xml:space="preserve"> </w:t>
      </w:r>
      <w:r w:rsidR="00BB34AF">
        <w:t>communities</w:t>
      </w:r>
      <w:r w:rsidRPr="00AA22EE">
        <w:t xml:space="preserve"> which naturally occur within apple orchard soils</w:t>
      </w:r>
      <w:r w:rsidR="00BB34AF">
        <w:t>.</w:t>
      </w:r>
      <w:r w:rsidRPr="00AA22EE">
        <w:t xml:space="preserve"> To assess whether mycorrhizae may be utilised within sustainable apple orchard systems it is therefore essential to first establish the abundance and </w:t>
      </w:r>
      <w:r w:rsidR="00E01DD2">
        <w:t>richness</w:t>
      </w:r>
      <w:r w:rsidRPr="00AA22EE">
        <w:t xml:space="preserve"> of AM</w:t>
      </w:r>
      <w:r w:rsidR="00E01DD2">
        <w:t>F</w:t>
      </w:r>
      <w:r w:rsidRPr="00AA22EE">
        <w:t xml:space="preserve"> found within apple orchard</w:t>
      </w:r>
      <w:r w:rsidR="00E01DD2">
        <w:t>s</w:t>
      </w:r>
      <w:r w:rsidRPr="00AA22EE">
        <w:t xml:space="preserve"> and identify factors which </w:t>
      </w:r>
      <w:r w:rsidR="00E01DD2">
        <w:t xml:space="preserve">affect orchard </w:t>
      </w:r>
      <w:r w:rsidRPr="00AA22EE">
        <w:t>AM</w:t>
      </w:r>
      <w:r w:rsidR="00E01DD2">
        <w:t>F</w:t>
      </w:r>
      <w:r w:rsidRPr="00AA22EE">
        <w:t xml:space="preserve"> </w:t>
      </w:r>
      <w:r w:rsidR="00E01DD2">
        <w:t>communities</w:t>
      </w:r>
      <w:r w:rsidRPr="00AA22EE">
        <w:t>.</w:t>
      </w:r>
    </w:p>
    <w:p w:rsidR="00B74CFC" w:rsidRDefault="00E01DD2" w:rsidP="00B74CFC">
      <w:pPr>
        <w:sectPr w:rsidR="00B74CFC" w:rsidSect="00B31A40">
          <w:headerReference w:type="default" r:id="rId19"/>
          <w:footerReference w:type="even" r:id="rId20"/>
          <w:footerReference w:type="default" r:id="rId21"/>
          <w:type w:val="oddPage"/>
          <w:pgSz w:w="11906" w:h="16838"/>
          <w:pgMar w:top="1134" w:right="1134" w:bottom="1134" w:left="2268" w:header="709" w:footer="709" w:gutter="0"/>
          <w:pgNumType w:start="1"/>
          <w:cols w:space="708"/>
          <w:docGrid w:linePitch="360"/>
        </w:sectPr>
      </w:pPr>
      <w:r w:rsidRPr="00AA22EE">
        <w:t>Research into the use of mycorrhizal inoculum both for nutritional and non</w:t>
      </w:r>
      <w:r>
        <w:t>-</w:t>
      </w:r>
      <w:r w:rsidRPr="00AA22EE">
        <w:t xml:space="preserve">nutritional benefits to trees has led to the recent appearance of commercial mycorrhizal inoculum on the market such as </w:t>
      </w:r>
      <w:proofErr w:type="gramStart"/>
      <w:r w:rsidRPr="00AA22EE">
        <w:t>VAMINOC</w:t>
      </w:r>
      <w:r w:rsidRPr="00AA22EE">
        <w:rPr>
          <w:vertAlign w:val="superscript"/>
        </w:rPr>
        <w:t>TM</w:t>
      </w:r>
      <w:r w:rsidRPr="00AA22EE">
        <w:t xml:space="preserve"> </w:t>
      </w:r>
      <w:r w:rsidR="00C51141">
        <w:t>,</w:t>
      </w:r>
      <w:proofErr w:type="gramEnd"/>
      <w:r w:rsidR="00C51141">
        <w:t xml:space="preserve"> a commercial mycorrhizal inoculum </w:t>
      </w:r>
      <w:r w:rsidRPr="00AA22EE">
        <w:t>in which tree</w:t>
      </w:r>
      <w:r>
        <w:t>s are root</w:t>
      </w:r>
      <w:r w:rsidRPr="00AA22EE">
        <w:t xml:space="preserve"> dipped prior to planting</w:t>
      </w:r>
      <w:r w:rsidR="00C51141">
        <w:t>. H</w:t>
      </w:r>
      <w:r w:rsidRPr="00AA22EE">
        <w:t>owever application of mycorrhiza du</w:t>
      </w:r>
      <w:r>
        <w:t xml:space="preserve">ring planting is not routinely practiced </w:t>
      </w:r>
      <w:r w:rsidRPr="00AA22EE">
        <w:t>and no measures are currently undertaken to promote AM</w:t>
      </w:r>
      <w:r>
        <w:t>F</w:t>
      </w:r>
      <w:r w:rsidRPr="00AA22EE">
        <w:t xml:space="preserve"> in cider orchards </w:t>
      </w:r>
      <w:r>
        <w:fldChar w:fldCharType="begin"/>
      </w:r>
      <w:r w:rsidR="00954B3D">
        <w:instrText xml:space="preserve"> ADDIN ZOTERO_ITEM CSL_CITATION {"citationID":"16rmqv8rii","properties":{"formattedCitation":"(Umpelby &amp; Copas, 2002)","plainCitation":"(Umpelby &amp; Copas, 2002)"},"citationItems":[{"id":808,"uris":["http://zotero.org/users/local/d1gJDEOw/items/D6M7SWKQ"],"uri":["http://zotero.org/users/local/d1gJDEOw/items/D6M7SWKQ"],"itemData":{"id":808,"type":"book","title":"Growing Cider Apples: A guide to good growing practice","publisher":"National Association of Cider Makers (NACM) in association with ADAS, Horticultural Research International (HRI) and the Farming and Wildlife Advisory Group (FWAG)","author":[{"family":"Umpelby","given":"R"},{"family":"Copas","given":"L"}],"issued":{"date-parts":[["2002"]]}}}],"schema":"https://github.com/citation-style-language/schema/raw/master/csl-citation.json"} </w:instrText>
      </w:r>
      <w:r>
        <w:fldChar w:fldCharType="separate"/>
      </w:r>
      <w:r w:rsidR="00954B3D" w:rsidRPr="00954B3D">
        <w:rPr>
          <w:rFonts w:cs="Times New Roman"/>
        </w:rPr>
        <w:t>(</w:t>
      </w:r>
      <w:proofErr w:type="spellStart"/>
      <w:r w:rsidR="00954B3D" w:rsidRPr="00954B3D">
        <w:rPr>
          <w:rFonts w:cs="Times New Roman"/>
        </w:rPr>
        <w:t>Umpelby</w:t>
      </w:r>
      <w:proofErr w:type="spellEnd"/>
      <w:r w:rsidR="00954B3D" w:rsidRPr="00954B3D">
        <w:rPr>
          <w:rFonts w:cs="Times New Roman"/>
        </w:rPr>
        <w:t xml:space="preserve"> &amp; </w:t>
      </w:r>
      <w:proofErr w:type="spellStart"/>
      <w:r w:rsidR="00954B3D" w:rsidRPr="00954B3D">
        <w:rPr>
          <w:rFonts w:cs="Times New Roman"/>
        </w:rPr>
        <w:t>Copas</w:t>
      </w:r>
      <w:proofErr w:type="spellEnd"/>
      <w:r w:rsidR="00954B3D" w:rsidRPr="00954B3D">
        <w:rPr>
          <w:rFonts w:cs="Times New Roman"/>
        </w:rPr>
        <w:t>, 2002)</w:t>
      </w:r>
      <w:r>
        <w:fldChar w:fldCharType="end"/>
      </w:r>
      <w:r w:rsidRPr="00AA22EE">
        <w:fldChar w:fldCharType="begin"/>
      </w:r>
      <w:r w:rsidRPr="00AA22EE">
        <w:instrText xml:space="preserve"> ADDIN EN.CITE &lt;EndNote&gt;&lt;Cite&gt;&lt;Author&gt;Umpelby &lt;/Author&gt;&lt;Year&gt;2002&lt;/Year&gt;&lt;IDText&gt;Growing Cider Apples: A guide to good growing practice&lt;/IDText&gt;&lt;DisplayText&gt;(Umpelby  and Copas 2002)&lt;/DisplayText&gt;&lt;record&gt;&lt;titles&gt;&lt;title&gt;Growing Cider Apples: A guide to good growing practice&lt;/title&gt;&lt;/titles&gt;&lt;contributors&gt;&lt;authors&gt;&lt;author&gt;Umpelby , Roger&lt;/author&gt;&lt;author&gt;Copas, Liz&lt;/author&gt;&lt;/authors&gt;&lt;/contributors&gt;&lt;added-date format="utc"&gt;1358981233&lt;/added-date&gt;&lt;ref-type name="Book"&gt;6&lt;/ref-type&gt;&lt;dates&gt;&lt;year&gt;2002&lt;/year&gt;&lt;/dates&gt;&lt;rec-number&gt;190&lt;/rec-number&gt;&lt;publisher&gt;National Association of Cider Makers (NACM)in association with ADAS, Horticulture Research International (HRI) and the Farming and Wildlife Advisory Group (FWAG)&lt;/publisher&gt;&lt;last-updated-date format="utc"&gt;1358981412&lt;/last-updated-date&gt;&lt;/record&gt;&lt;/Cite&gt;&lt;/EndNote&gt;</w:instrText>
      </w:r>
      <w:r w:rsidRPr="00AA22EE">
        <w:fldChar w:fldCharType="end"/>
      </w:r>
      <w:r w:rsidR="00B74CFC">
        <w:t>.</w:t>
      </w:r>
      <w:bookmarkStart w:id="105" w:name="_Ref469843738"/>
      <w:r w:rsidR="00B74CFC">
        <w:t xml:space="preserve"> </w:t>
      </w:r>
    </w:p>
    <w:tbl>
      <w:tblPr>
        <w:tblStyle w:val="TableGrid"/>
        <w:tblpPr w:leftFromText="180" w:rightFromText="180" w:vertAnchor="page" w:horzAnchor="page" w:tblpX="1130" w:tblpY="1"/>
        <w:tblW w:w="14312" w:type="dxa"/>
        <w:tblLayout w:type="fixed"/>
        <w:tblLook w:val="04A0" w:firstRow="1" w:lastRow="0" w:firstColumn="1" w:lastColumn="0" w:noHBand="0" w:noVBand="1"/>
      </w:tblPr>
      <w:tblGrid>
        <w:gridCol w:w="1134"/>
        <w:gridCol w:w="1701"/>
        <w:gridCol w:w="2410"/>
        <w:gridCol w:w="1985"/>
        <w:gridCol w:w="1701"/>
        <w:gridCol w:w="1984"/>
        <w:gridCol w:w="1134"/>
        <w:gridCol w:w="2263"/>
      </w:tblGrid>
      <w:tr w:rsidR="007E60E4" w:rsidRPr="00AA22EE" w:rsidTr="007E60E4">
        <w:trPr>
          <w:trHeight w:val="567"/>
        </w:trPr>
        <w:tc>
          <w:tcPr>
            <w:tcW w:w="14312" w:type="dxa"/>
            <w:gridSpan w:val="8"/>
            <w:tcBorders>
              <w:top w:val="nil"/>
              <w:left w:val="nil"/>
              <w:bottom w:val="single" w:sz="4" w:space="0" w:color="auto"/>
              <w:right w:val="nil"/>
            </w:tcBorders>
          </w:tcPr>
          <w:p w:rsidR="00B74CFC" w:rsidRPr="00B74CFC" w:rsidRDefault="00B74CFC" w:rsidP="00B74CFC"/>
          <w:p w:rsidR="00F67658" w:rsidRPr="00F67658" w:rsidRDefault="007E60E4" w:rsidP="00F67658">
            <w:pPr>
              <w:pStyle w:val="Caption"/>
              <w:keepNext/>
            </w:pPr>
            <w:bookmarkStart w:id="106" w:name="_Ref469944080"/>
            <w:bookmarkStart w:id="107" w:name="_Toc469868571"/>
            <w:bookmarkStart w:id="108" w:name="_Ref469944075"/>
            <w:r>
              <w:t xml:space="preserve">Table </w:t>
            </w:r>
            <w:r w:rsidR="00C44EF5">
              <w:fldChar w:fldCharType="begin"/>
            </w:r>
            <w:r w:rsidR="00C44EF5">
              <w:instrText xml:space="preserve"> STYLEREF 1 \s </w:instrText>
            </w:r>
            <w:r w:rsidR="00C44EF5">
              <w:fldChar w:fldCharType="separate"/>
            </w:r>
            <w:r w:rsidR="00E0714D">
              <w:rPr>
                <w:noProof/>
              </w:rPr>
              <w:t>1</w:t>
            </w:r>
            <w:r w:rsidR="00C44EF5">
              <w:rPr>
                <w:noProof/>
              </w:rPr>
              <w:fldChar w:fldCharType="end"/>
            </w:r>
            <w:r>
              <w:t>.</w:t>
            </w:r>
            <w:r w:rsidR="00C44EF5">
              <w:fldChar w:fldCharType="begin"/>
            </w:r>
            <w:r w:rsidR="00C44EF5">
              <w:instrText xml:space="preserve"> SEQ Table \* ARABIC \s 1 </w:instrText>
            </w:r>
            <w:r w:rsidR="00C44EF5">
              <w:fldChar w:fldCharType="separate"/>
            </w:r>
            <w:r w:rsidR="00E0714D">
              <w:rPr>
                <w:noProof/>
              </w:rPr>
              <w:t>3</w:t>
            </w:r>
            <w:r w:rsidR="00C44EF5">
              <w:rPr>
                <w:noProof/>
              </w:rPr>
              <w:fldChar w:fldCharType="end"/>
            </w:r>
            <w:bookmarkEnd w:id="105"/>
            <w:bookmarkEnd w:id="106"/>
            <w:r>
              <w:rPr>
                <w:rFonts w:cs="Times New Roman"/>
              </w:rPr>
              <w:t xml:space="preserve"> </w:t>
            </w:r>
            <w:r w:rsidRPr="00AA22EE">
              <w:rPr>
                <w:rFonts w:cs="Times New Roman"/>
              </w:rPr>
              <w:t>Summary of studies upon arbuscular mycorrhizal association with domestic apple and effects upon growth</w:t>
            </w:r>
            <w:bookmarkEnd w:id="107"/>
            <w:bookmarkEnd w:id="108"/>
          </w:p>
        </w:tc>
      </w:tr>
      <w:tr w:rsidR="007E60E4" w:rsidRPr="00AA22EE" w:rsidTr="007E60E4">
        <w:tc>
          <w:tcPr>
            <w:tcW w:w="1134" w:type="dxa"/>
            <w:tcBorders>
              <w:top w:val="single" w:sz="4" w:space="0" w:color="auto"/>
              <w:left w:val="nil"/>
              <w:bottom w:val="single" w:sz="4" w:space="0" w:color="auto"/>
              <w:right w:val="nil"/>
            </w:tcBorders>
          </w:tcPr>
          <w:p w:rsidR="007E60E4" w:rsidRPr="00A57540" w:rsidRDefault="007E60E4" w:rsidP="00F67658">
            <w:pPr>
              <w:spacing w:line="240" w:lineRule="auto"/>
              <w:contextualSpacing/>
              <w:jc w:val="left"/>
              <w:rPr>
                <w:rFonts w:cs="Times New Roman"/>
                <w:b/>
                <w:sz w:val="18"/>
                <w:szCs w:val="18"/>
              </w:rPr>
            </w:pPr>
            <w:r w:rsidRPr="00A57540">
              <w:rPr>
                <w:rFonts w:cs="Times New Roman"/>
                <w:b/>
                <w:sz w:val="18"/>
                <w:szCs w:val="18"/>
              </w:rPr>
              <w:t xml:space="preserve">Overall effect of AM </w:t>
            </w:r>
          </w:p>
        </w:tc>
        <w:tc>
          <w:tcPr>
            <w:tcW w:w="1701" w:type="dxa"/>
            <w:tcBorders>
              <w:top w:val="single" w:sz="4" w:space="0" w:color="auto"/>
              <w:left w:val="nil"/>
              <w:bottom w:val="single" w:sz="4" w:space="0" w:color="auto"/>
              <w:right w:val="nil"/>
            </w:tcBorders>
          </w:tcPr>
          <w:p w:rsidR="007E60E4" w:rsidRPr="00A57540" w:rsidRDefault="00361D64" w:rsidP="007E60E4">
            <w:pPr>
              <w:spacing w:line="240" w:lineRule="auto"/>
              <w:contextualSpacing/>
              <w:rPr>
                <w:rFonts w:cs="Times New Roman"/>
                <w:b/>
                <w:sz w:val="18"/>
                <w:szCs w:val="18"/>
              </w:rPr>
            </w:pPr>
            <w:r>
              <w:rPr>
                <w:rFonts w:cs="Times New Roman"/>
                <w:b/>
                <w:i/>
                <w:sz w:val="18"/>
                <w:szCs w:val="18"/>
              </w:rPr>
              <w:t>M. pumila</w:t>
            </w:r>
            <w:r w:rsidR="007E60E4" w:rsidRPr="00A57540">
              <w:rPr>
                <w:rFonts w:cs="Times New Roman"/>
                <w:b/>
                <w:sz w:val="18"/>
                <w:szCs w:val="18"/>
              </w:rPr>
              <w:t xml:space="preserve"> variety</w:t>
            </w:r>
          </w:p>
        </w:tc>
        <w:tc>
          <w:tcPr>
            <w:tcW w:w="2410" w:type="dxa"/>
            <w:tcBorders>
              <w:top w:val="single" w:sz="4" w:space="0" w:color="auto"/>
              <w:left w:val="nil"/>
              <w:bottom w:val="single" w:sz="4" w:space="0" w:color="auto"/>
              <w:right w:val="nil"/>
            </w:tcBorders>
          </w:tcPr>
          <w:p w:rsidR="007E60E4" w:rsidRPr="00A57540" w:rsidRDefault="007E60E4" w:rsidP="007E60E4">
            <w:pPr>
              <w:spacing w:line="240" w:lineRule="auto"/>
              <w:contextualSpacing/>
              <w:rPr>
                <w:rFonts w:cs="Times New Roman"/>
                <w:b/>
                <w:sz w:val="18"/>
                <w:szCs w:val="18"/>
              </w:rPr>
            </w:pPr>
            <w:r w:rsidRPr="00A57540">
              <w:rPr>
                <w:rFonts w:cs="Times New Roman"/>
                <w:b/>
                <w:sz w:val="18"/>
                <w:szCs w:val="18"/>
              </w:rPr>
              <w:t>AM species</w:t>
            </w:r>
          </w:p>
        </w:tc>
        <w:tc>
          <w:tcPr>
            <w:tcW w:w="1985" w:type="dxa"/>
            <w:tcBorders>
              <w:top w:val="single" w:sz="4" w:space="0" w:color="auto"/>
              <w:left w:val="nil"/>
              <w:bottom w:val="single" w:sz="4" w:space="0" w:color="auto"/>
              <w:right w:val="nil"/>
            </w:tcBorders>
          </w:tcPr>
          <w:p w:rsidR="007E60E4" w:rsidRPr="00A57540" w:rsidRDefault="007E60E4" w:rsidP="007E60E4">
            <w:pPr>
              <w:spacing w:line="240" w:lineRule="auto"/>
              <w:contextualSpacing/>
              <w:rPr>
                <w:rFonts w:cs="Times New Roman"/>
                <w:b/>
                <w:sz w:val="18"/>
                <w:szCs w:val="18"/>
              </w:rPr>
            </w:pPr>
            <w:r w:rsidRPr="00A57540">
              <w:rPr>
                <w:rFonts w:cs="Times New Roman"/>
                <w:b/>
                <w:sz w:val="18"/>
                <w:szCs w:val="18"/>
              </w:rPr>
              <w:t>Response parameter</w:t>
            </w:r>
          </w:p>
        </w:tc>
        <w:tc>
          <w:tcPr>
            <w:tcW w:w="1701" w:type="dxa"/>
            <w:tcBorders>
              <w:top w:val="single" w:sz="4" w:space="0" w:color="auto"/>
              <w:left w:val="nil"/>
              <w:bottom w:val="single" w:sz="4" w:space="0" w:color="auto"/>
              <w:right w:val="nil"/>
            </w:tcBorders>
          </w:tcPr>
          <w:p w:rsidR="007E60E4" w:rsidRPr="00A57540" w:rsidRDefault="007E60E4" w:rsidP="007E60E4">
            <w:pPr>
              <w:spacing w:line="240" w:lineRule="auto"/>
              <w:contextualSpacing/>
              <w:rPr>
                <w:rFonts w:cs="Times New Roman"/>
                <w:b/>
                <w:sz w:val="18"/>
                <w:szCs w:val="18"/>
              </w:rPr>
            </w:pPr>
            <w:r w:rsidRPr="00A57540">
              <w:rPr>
                <w:rFonts w:cs="Times New Roman"/>
                <w:b/>
                <w:sz w:val="18"/>
                <w:szCs w:val="18"/>
              </w:rPr>
              <w:t>Soil P</w:t>
            </w:r>
          </w:p>
        </w:tc>
        <w:tc>
          <w:tcPr>
            <w:tcW w:w="1984" w:type="dxa"/>
            <w:tcBorders>
              <w:top w:val="single" w:sz="4" w:space="0" w:color="auto"/>
              <w:left w:val="nil"/>
              <w:bottom w:val="single" w:sz="4" w:space="0" w:color="auto"/>
              <w:right w:val="nil"/>
            </w:tcBorders>
          </w:tcPr>
          <w:p w:rsidR="007E60E4" w:rsidRPr="00A57540" w:rsidRDefault="007E60E4" w:rsidP="007E60E4">
            <w:pPr>
              <w:spacing w:line="240" w:lineRule="auto"/>
              <w:contextualSpacing/>
              <w:rPr>
                <w:rFonts w:cs="Times New Roman"/>
                <w:b/>
                <w:sz w:val="18"/>
                <w:szCs w:val="18"/>
              </w:rPr>
            </w:pPr>
            <w:r w:rsidRPr="00A57540">
              <w:rPr>
                <w:rFonts w:cs="Times New Roman"/>
                <w:b/>
                <w:sz w:val="18"/>
                <w:szCs w:val="18"/>
              </w:rPr>
              <w:t>Greenhouse/field trial</w:t>
            </w:r>
          </w:p>
        </w:tc>
        <w:tc>
          <w:tcPr>
            <w:tcW w:w="1134" w:type="dxa"/>
            <w:tcBorders>
              <w:top w:val="single" w:sz="4" w:space="0" w:color="auto"/>
              <w:left w:val="nil"/>
              <w:bottom w:val="single" w:sz="4" w:space="0" w:color="auto"/>
              <w:right w:val="nil"/>
            </w:tcBorders>
          </w:tcPr>
          <w:p w:rsidR="007E60E4" w:rsidRPr="00A57540" w:rsidRDefault="007E60E4" w:rsidP="007E60E4">
            <w:pPr>
              <w:spacing w:line="240" w:lineRule="auto"/>
              <w:contextualSpacing/>
              <w:rPr>
                <w:rFonts w:cs="Times New Roman"/>
                <w:b/>
                <w:sz w:val="18"/>
                <w:szCs w:val="18"/>
              </w:rPr>
            </w:pPr>
            <w:r w:rsidRPr="00A57540">
              <w:rPr>
                <w:rFonts w:cs="Times New Roman"/>
                <w:b/>
                <w:sz w:val="18"/>
                <w:szCs w:val="18"/>
              </w:rPr>
              <w:t xml:space="preserve">Duration (weeks) </w:t>
            </w:r>
          </w:p>
        </w:tc>
        <w:tc>
          <w:tcPr>
            <w:tcW w:w="2263" w:type="dxa"/>
            <w:tcBorders>
              <w:top w:val="single" w:sz="4" w:space="0" w:color="auto"/>
              <w:left w:val="nil"/>
              <w:bottom w:val="single" w:sz="4" w:space="0" w:color="auto"/>
              <w:right w:val="nil"/>
            </w:tcBorders>
          </w:tcPr>
          <w:p w:rsidR="007E60E4" w:rsidRPr="00A57540" w:rsidRDefault="007E60E4" w:rsidP="007E60E4">
            <w:pPr>
              <w:spacing w:line="240" w:lineRule="auto"/>
              <w:contextualSpacing/>
              <w:rPr>
                <w:rFonts w:cs="Times New Roman"/>
                <w:b/>
                <w:sz w:val="18"/>
                <w:szCs w:val="18"/>
              </w:rPr>
            </w:pPr>
            <w:r w:rsidRPr="00A57540">
              <w:rPr>
                <w:rFonts w:cs="Times New Roman"/>
                <w:b/>
                <w:sz w:val="18"/>
                <w:szCs w:val="18"/>
              </w:rPr>
              <w:t>Reference</w:t>
            </w:r>
          </w:p>
        </w:tc>
      </w:tr>
      <w:tr w:rsidR="007E60E4" w:rsidRPr="00AA22EE" w:rsidTr="007E60E4">
        <w:tc>
          <w:tcPr>
            <w:tcW w:w="1134" w:type="dxa"/>
            <w:tcBorders>
              <w:top w:val="single" w:sz="4" w:space="0" w:color="auto"/>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Positive</w:t>
            </w:r>
          </w:p>
        </w:tc>
        <w:tc>
          <w:tcPr>
            <w:tcW w:w="1701" w:type="dxa"/>
            <w:tcBorders>
              <w:top w:val="single" w:sz="4" w:space="0" w:color="auto"/>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Unspecified</w:t>
            </w:r>
          </w:p>
        </w:tc>
        <w:tc>
          <w:tcPr>
            <w:tcW w:w="2410" w:type="dxa"/>
            <w:tcBorders>
              <w:top w:val="single" w:sz="4" w:space="0" w:color="auto"/>
              <w:left w:val="nil"/>
              <w:bottom w:val="nil"/>
              <w:right w:val="nil"/>
            </w:tcBorders>
          </w:tcPr>
          <w:p w:rsidR="007E60E4" w:rsidRPr="00A57540" w:rsidRDefault="007E60E4" w:rsidP="007E60E4">
            <w:pPr>
              <w:spacing w:line="240" w:lineRule="auto"/>
              <w:contextualSpacing/>
              <w:rPr>
                <w:rFonts w:cs="Times New Roman"/>
                <w:sz w:val="18"/>
                <w:szCs w:val="18"/>
              </w:rPr>
            </w:pPr>
            <w:proofErr w:type="spellStart"/>
            <w:r w:rsidRPr="00A57540">
              <w:rPr>
                <w:rFonts w:cs="Times New Roman"/>
                <w:i/>
                <w:sz w:val="18"/>
                <w:szCs w:val="18"/>
              </w:rPr>
              <w:t>Endogone</w:t>
            </w:r>
            <w:proofErr w:type="spellEnd"/>
            <w:r w:rsidRPr="00A57540">
              <w:rPr>
                <w:rFonts w:cs="Times New Roman"/>
                <w:i/>
                <w:sz w:val="18"/>
                <w:szCs w:val="18"/>
              </w:rPr>
              <w:t xml:space="preserve"> sp</w:t>
            </w:r>
            <w:r w:rsidRPr="00A57540">
              <w:rPr>
                <w:rFonts w:cs="Times New Roman"/>
                <w:sz w:val="18"/>
                <w:szCs w:val="18"/>
              </w:rPr>
              <w:t>.</w:t>
            </w:r>
          </w:p>
        </w:tc>
        <w:tc>
          <w:tcPr>
            <w:tcW w:w="1985" w:type="dxa"/>
            <w:tcBorders>
              <w:top w:val="single" w:sz="4" w:space="0" w:color="auto"/>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Total dry biomass</w:t>
            </w:r>
          </w:p>
        </w:tc>
        <w:tc>
          <w:tcPr>
            <w:tcW w:w="1701" w:type="dxa"/>
            <w:tcBorders>
              <w:top w:val="single" w:sz="4" w:space="0" w:color="auto"/>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unspecified</w:t>
            </w:r>
          </w:p>
        </w:tc>
        <w:tc>
          <w:tcPr>
            <w:tcW w:w="1984" w:type="dxa"/>
            <w:tcBorders>
              <w:top w:val="single" w:sz="4" w:space="0" w:color="auto"/>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single" w:sz="4" w:space="0" w:color="auto"/>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14</w:t>
            </w:r>
          </w:p>
        </w:tc>
        <w:tc>
          <w:tcPr>
            <w:tcW w:w="2263" w:type="dxa"/>
            <w:tcBorders>
              <w:top w:val="single" w:sz="4" w:space="0" w:color="auto"/>
              <w:left w:val="nil"/>
              <w:bottom w:val="nil"/>
              <w:right w:val="nil"/>
            </w:tcBorders>
          </w:tcPr>
          <w:p w:rsidR="007E60E4" w:rsidRPr="00A57540" w:rsidRDefault="00690D05" w:rsidP="00690D05">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{"citationID":"mc12fr9k","properties":{"formattedCitation":"(Mosse, 1957)","plainCitation":"(Mosse, 1957)"},"citationItems":[{"id":803,"uris":["http://zotero.org/users/local/d1gJDEOw/items/4WP7PQTG"],"uri":["http://zotero.org/users/local/d1gJDEOw/items/4WP7PQTG"],"itemData":{"id":803,"type":"article-journal","title":"Growth and chemical composition of mycorrhizal and non-mycorrhizal apple seedlings","container-title":"Nature","page":"923-924","volume":"179","author":[{"family":"Mosse","given":"B"}],"issued":{"date-parts":[["1957"]]}}}],"schema":"https://github.com/citation-style-language/schema/raw/master/csl-citation.json"} </w:instrText>
            </w:r>
            <w:r>
              <w:rPr>
                <w:rFonts w:cs="Times New Roman"/>
                <w:sz w:val="18"/>
                <w:szCs w:val="18"/>
              </w:rPr>
              <w:fldChar w:fldCharType="separate"/>
            </w:r>
            <w:r w:rsidR="00954B3D" w:rsidRPr="00954B3D">
              <w:rPr>
                <w:rFonts w:cs="Times New Roman"/>
                <w:sz w:val="18"/>
              </w:rPr>
              <w:t>(</w:t>
            </w:r>
            <w:proofErr w:type="spellStart"/>
            <w:r w:rsidR="00954B3D" w:rsidRPr="00954B3D">
              <w:rPr>
                <w:rFonts w:cs="Times New Roman"/>
                <w:sz w:val="18"/>
              </w:rPr>
              <w:t>Mosse</w:t>
            </w:r>
            <w:proofErr w:type="spellEnd"/>
            <w:r w:rsidR="00954B3D" w:rsidRPr="00954B3D">
              <w:rPr>
                <w:rFonts w:cs="Times New Roman"/>
                <w:sz w:val="18"/>
              </w:rPr>
              <w:t>, 1957)</w:t>
            </w:r>
            <w:r>
              <w:rPr>
                <w:rFonts w:cs="Times New Roman"/>
                <w:sz w:val="18"/>
                <w:szCs w:val="18"/>
              </w:rPr>
              <w:fldChar w:fldCharType="end"/>
            </w:r>
            <w:r w:rsidRPr="00A57540">
              <w:rPr>
                <w:rFonts w:cs="Times New Roman"/>
                <w:sz w:val="18"/>
                <w:szCs w:val="18"/>
              </w:rPr>
              <w:t xml:space="preserve"> </w:t>
            </w:r>
          </w:p>
        </w:tc>
      </w:tr>
      <w:tr w:rsidR="007E60E4" w:rsidRPr="00AA22EE" w:rsidTr="007E60E4">
        <w:trPr>
          <w:trHeight w:val="867"/>
        </w:trPr>
        <w:tc>
          <w:tcPr>
            <w:tcW w:w="1134" w:type="dxa"/>
            <w:tcBorders>
              <w:top w:val="nil"/>
              <w:left w:val="nil"/>
              <w:bottom w:val="nil"/>
              <w:right w:val="nil"/>
            </w:tcBorders>
          </w:tcPr>
          <w:p w:rsidR="007E60E4" w:rsidRPr="00A57540" w:rsidRDefault="007E60E4" w:rsidP="007E60E4">
            <w:pPr>
              <w:tabs>
                <w:tab w:val="left" w:pos="1273"/>
              </w:tabs>
              <w:spacing w:line="240" w:lineRule="auto"/>
              <w:contextualSpacing/>
              <w:rPr>
                <w:rFonts w:cs="Times New Roman"/>
                <w:sz w:val="18"/>
                <w:szCs w:val="18"/>
              </w:rPr>
            </w:pPr>
            <w:r w:rsidRPr="00A57540">
              <w:rPr>
                <w:rFonts w:cs="Times New Roman"/>
                <w:sz w:val="18"/>
                <w:szCs w:val="18"/>
              </w:rPr>
              <w:t>Positive</w:t>
            </w:r>
          </w:p>
          <w:p w:rsidR="007E60E4" w:rsidRPr="00A57540" w:rsidRDefault="007E60E4" w:rsidP="007E60E4">
            <w:pPr>
              <w:tabs>
                <w:tab w:val="left" w:pos="1273"/>
              </w:tabs>
              <w:spacing w:line="240" w:lineRule="auto"/>
              <w:contextualSpacing/>
              <w:rPr>
                <w:rFonts w:cs="Times New Roman"/>
                <w:sz w:val="18"/>
                <w:szCs w:val="18"/>
              </w:rPr>
            </w:pP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Unspecified</w:t>
            </w:r>
          </w:p>
          <w:p w:rsidR="007E60E4" w:rsidRPr="00A57540" w:rsidRDefault="007E60E4" w:rsidP="007E60E4">
            <w:pPr>
              <w:spacing w:line="240" w:lineRule="auto"/>
              <w:contextualSpacing/>
              <w:rPr>
                <w:rFonts w:cs="Times New Roman"/>
                <w:sz w:val="18"/>
                <w:szCs w:val="18"/>
              </w:rPr>
            </w:pPr>
          </w:p>
        </w:tc>
        <w:tc>
          <w:tcPr>
            <w:tcW w:w="2410" w:type="dxa"/>
            <w:tcBorders>
              <w:top w:val="nil"/>
              <w:left w:val="nil"/>
              <w:bottom w:val="nil"/>
              <w:right w:val="nil"/>
            </w:tcBorders>
          </w:tcPr>
          <w:p w:rsidR="007E60E4" w:rsidRPr="00A57540" w:rsidRDefault="00CC66C9" w:rsidP="007E60E4">
            <w:pPr>
              <w:spacing w:line="240" w:lineRule="auto"/>
              <w:contextualSpacing/>
              <w:rPr>
                <w:rFonts w:cs="Times New Roman"/>
                <w:sz w:val="18"/>
                <w:szCs w:val="18"/>
              </w:rPr>
            </w:pPr>
            <w:proofErr w:type="spellStart"/>
            <w:r>
              <w:rPr>
                <w:rFonts w:cs="Times New Roman"/>
                <w:i/>
                <w:sz w:val="18"/>
                <w:szCs w:val="18"/>
              </w:rPr>
              <w:t>Funneliformis</w:t>
            </w:r>
            <w:proofErr w:type="spellEnd"/>
            <w:r>
              <w:rPr>
                <w:rFonts w:cs="Times New Roman"/>
                <w:i/>
                <w:sz w:val="18"/>
                <w:szCs w:val="18"/>
              </w:rPr>
              <w:t xml:space="preserve"> </w:t>
            </w:r>
            <w:proofErr w:type="spellStart"/>
            <w:r>
              <w:rPr>
                <w:rFonts w:cs="Times New Roman"/>
                <w:i/>
                <w:sz w:val="18"/>
                <w:szCs w:val="18"/>
              </w:rPr>
              <w:t>mosseae</w:t>
            </w:r>
            <w:proofErr w:type="spellEnd"/>
          </w:p>
          <w:p w:rsidR="007E60E4" w:rsidRPr="00A57540" w:rsidRDefault="007E60E4" w:rsidP="007E60E4">
            <w:pPr>
              <w:spacing w:line="240" w:lineRule="auto"/>
              <w:contextualSpacing/>
              <w:rPr>
                <w:rFonts w:cs="Times New Roman"/>
                <w:sz w:val="18"/>
                <w:szCs w:val="18"/>
              </w:rPr>
            </w:pP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Dry shoot biomass</w:t>
            </w:r>
          </w:p>
          <w:p w:rsidR="007E60E4" w:rsidRPr="00A57540" w:rsidRDefault="007E60E4" w:rsidP="007E60E4">
            <w:pPr>
              <w:spacing w:line="240" w:lineRule="auto"/>
              <w:contextualSpacing/>
              <w:rPr>
                <w:rFonts w:cs="Times New Roman"/>
                <w:sz w:val="18"/>
                <w:szCs w:val="18"/>
              </w:rPr>
            </w:pP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8.7 mg kg</w:t>
            </w:r>
            <w:r w:rsidRPr="00A57540">
              <w:rPr>
                <w:rFonts w:cs="Times New Roman"/>
                <w:sz w:val="18"/>
                <w:szCs w:val="18"/>
                <w:vertAlign w:val="superscript"/>
              </w:rPr>
              <w:t>-1</w:t>
            </w:r>
          </w:p>
          <w:p w:rsidR="007E60E4" w:rsidRPr="00A57540" w:rsidRDefault="007E60E4" w:rsidP="007E60E4">
            <w:pPr>
              <w:spacing w:line="240" w:lineRule="auto"/>
              <w:contextualSpacing/>
              <w:rPr>
                <w:rFonts w:cs="Times New Roman"/>
                <w:sz w:val="18"/>
                <w:szCs w:val="18"/>
              </w:rPr>
            </w:pPr>
            <w:r w:rsidRPr="00A57540">
              <w:rPr>
                <w:rFonts w:cs="Times New Roman"/>
                <w:sz w:val="18"/>
                <w:szCs w:val="18"/>
              </w:rPr>
              <w:t>108.7 mg kg</w:t>
            </w:r>
            <w:r w:rsidRPr="00A57540">
              <w:rPr>
                <w:rFonts w:cs="Times New Roman"/>
                <w:sz w:val="18"/>
                <w:szCs w:val="18"/>
                <w:vertAlign w:val="superscript"/>
              </w:rPr>
              <w:t>-1</w:t>
            </w:r>
          </w:p>
          <w:p w:rsidR="007E60E4" w:rsidRPr="00A57540" w:rsidRDefault="007E60E4" w:rsidP="007E60E4">
            <w:pPr>
              <w:spacing w:line="240" w:lineRule="auto"/>
              <w:contextualSpacing/>
              <w:rPr>
                <w:rFonts w:cs="Times New Roman"/>
                <w:sz w:val="18"/>
                <w:szCs w:val="18"/>
              </w:rPr>
            </w:pPr>
            <w:r w:rsidRPr="00A57540">
              <w:rPr>
                <w:rFonts w:cs="Times New Roman"/>
                <w:sz w:val="18"/>
                <w:szCs w:val="18"/>
              </w:rPr>
              <w:t>208.7 mg kg</w:t>
            </w:r>
            <w:r w:rsidRPr="00A57540">
              <w:rPr>
                <w:rFonts w:cs="Times New Roman"/>
                <w:sz w:val="18"/>
                <w:szCs w:val="18"/>
                <w:vertAlign w:val="superscript"/>
              </w:rPr>
              <w:t>-1</w:t>
            </w:r>
          </w:p>
          <w:p w:rsidR="007E60E4" w:rsidRPr="00A57540" w:rsidRDefault="007E60E4" w:rsidP="007E60E4">
            <w:pPr>
              <w:spacing w:line="240" w:lineRule="auto"/>
              <w:contextualSpacing/>
              <w:rPr>
                <w:rFonts w:cs="Times New Roman"/>
                <w:sz w:val="18"/>
                <w:szCs w:val="18"/>
              </w:rPr>
            </w:pPr>
            <w:r w:rsidRPr="00A57540">
              <w:rPr>
                <w:rFonts w:cs="Times New Roman"/>
                <w:sz w:val="18"/>
                <w:szCs w:val="18"/>
              </w:rPr>
              <w:t>408.7 mg kg</w:t>
            </w:r>
            <w:r w:rsidRPr="00A57540">
              <w:rPr>
                <w:rFonts w:cs="Times New Roman"/>
                <w:sz w:val="18"/>
                <w:szCs w:val="18"/>
                <w:vertAlign w:val="superscript"/>
              </w:rPr>
              <w:t>-1</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20</w:t>
            </w:r>
          </w:p>
          <w:p w:rsidR="007E60E4" w:rsidRPr="00A57540" w:rsidRDefault="007E60E4" w:rsidP="007E60E4">
            <w:pPr>
              <w:spacing w:line="240" w:lineRule="auto"/>
              <w:contextualSpacing/>
              <w:rPr>
                <w:rFonts w:cs="Times New Roman"/>
                <w:sz w:val="18"/>
                <w:szCs w:val="18"/>
              </w:rPr>
            </w:pP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{"citationID":"7hm99mef","properties":{"formattedCitation":"{\\rtf (Covey {\\i{}et al.}, 1981)}","plainCitation":"(Covey et al., 1981)"},"citationItems":[{"id":185,"uris":["http://zotero.org/users/local/d1gJDEOw/items/94RP5SGV"],"uri":["http://zotero.org/users/local/d1gJDEOw/items/94RP5SGV"],"itemData":{"id":185,"type":"article-journal","title":"Influence of Vesicular Arbuscular Mycorrhizae on the Growth of Apple and Corn in Low-Phosphorous Soil","container-title":"Phytopathology","page":"712-715","volume":"71","issue":"7","source":"Web of Science","DOI":"10.1094/Phyto-71-712","ISSN":"0031-949X","note":"WOS:A1981LZ56700009","journalAbbreviation":"Phytopathology","language":"English","author":[{"family":"Covey","given":"Rp"},{"family":"Koch","given":"Bl"},{"family":"Larsen","given":"Hj"}],"issued":{"date-parts":[["1981"]]}}}],"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(Covey </w:t>
            </w:r>
            <w:r w:rsidR="00954B3D" w:rsidRPr="00954B3D">
              <w:rPr>
                <w:rFonts w:cs="Times New Roman"/>
                <w:i/>
                <w:iCs/>
                <w:sz w:val="18"/>
                <w:szCs w:val="24"/>
              </w:rPr>
              <w:t>et al.</w:t>
            </w:r>
            <w:r w:rsidR="00954B3D" w:rsidRPr="00954B3D">
              <w:rPr>
                <w:rFonts w:cs="Times New Roman"/>
                <w:sz w:val="18"/>
                <w:szCs w:val="24"/>
              </w:rPr>
              <w:t>, 1981)</w:t>
            </w:r>
            <w:r>
              <w:rPr>
                <w:rFonts w:cs="Times New Roman"/>
                <w:sz w:val="18"/>
                <w:szCs w:val="18"/>
              </w:rPr>
              <w:fldChar w:fldCharType="end"/>
            </w:r>
          </w:p>
        </w:tc>
      </w:tr>
      <w:tr w:rsidR="007E60E4" w:rsidRPr="00AA22EE" w:rsidTr="007E60E4">
        <w:trPr>
          <w:trHeight w:val="1006"/>
        </w:trPr>
        <w:tc>
          <w:tcPr>
            <w:tcW w:w="1134" w:type="dxa"/>
            <w:tcBorders>
              <w:top w:val="nil"/>
              <w:left w:val="nil"/>
              <w:bottom w:val="nil"/>
              <w:right w:val="nil"/>
            </w:tcBorders>
          </w:tcPr>
          <w:p w:rsidR="007E60E4" w:rsidRPr="00A57540" w:rsidRDefault="007E60E4" w:rsidP="007E60E4">
            <w:pPr>
              <w:tabs>
                <w:tab w:val="left" w:pos="1273"/>
              </w:tabs>
              <w:spacing w:line="240" w:lineRule="auto"/>
              <w:contextualSpacing/>
              <w:rPr>
                <w:rFonts w:cs="Times New Roman"/>
                <w:sz w:val="18"/>
                <w:szCs w:val="18"/>
              </w:rPr>
            </w:pPr>
            <w:r w:rsidRPr="00A57540">
              <w:rPr>
                <w:rFonts w:cs="Times New Roman"/>
                <w:sz w:val="18"/>
                <w:szCs w:val="18"/>
              </w:rPr>
              <w:t>Positive</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Golden delicious</w:t>
            </w:r>
          </w:p>
          <w:p w:rsidR="007E60E4" w:rsidRPr="00A57540" w:rsidRDefault="007E60E4" w:rsidP="007E60E4">
            <w:pPr>
              <w:spacing w:line="240" w:lineRule="auto"/>
              <w:contextualSpacing/>
              <w:rPr>
                <w:rFonts w:cs="Times New Roman"/>
                <w:sz w:val="18"/>
                <w:szCs w:val="18"/>
              </w:rPr>
            </w:pP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highlight w:val="yellow"/>
              </w:rPr>
            </w:pPr>
            <w:r w:rsidRPr="00A57540">
              <w:rPr>
                <w:rFonts w:cs="Times New Roman"/>
                <w:i/>
                <w:sz w:val="18"/>
                <w:szCs w:val="18"/>
              </w:rPr>
              <w:t xml:space="preserve">Glomus </w:t>
            </w:r>
            <w:proofErr w:type="spellStart"/>
            <w:r w:rsidRPr="00A57540">
              <w:rPr>
                <w:rFonts w:cs="Times New Roman"/>
                <w:i/>
                <w:sz w:val="18"/>
                <w:szCs w:val="18"/>
              </w:rPr>
              <w:t>bitunicatum</w:t>
            </w:r>
            <w:proofErr w:type="spellEnd"/>
          </w:p>
          <w:p w:rsidR="007E60E4" w:rsidRPr="00A57540" w:rsidRDefault="007E60E4" w:rsidP="007E60E4">
            <w:pPr>
              <w:spacing w:line="240" w:lineRule="auto"/>
              <w:contextualSpacing/>
              <w:rPr>
                <w:rFonts w:cs="Times New Roman"/>
                <w:sz w:val="18"/>
                <w:szCs w:val="18"/>
              </w:rPr>
            </w:pPr>
            <w:r w:rsidRPr="00A57540">
              <w:rPr>
                <w:rFonts w:cs="Times New Roman"/>
                <w:i/>
                <w:sz w:val="18"/>
                <w:szCs w:val="18"/>
              </w:rPr>
              <w:t xml:space="preserve">Glomus </w:t>
            </w:r>
            <w:proofErr w:type="spellStart"/>
            <w:r w:rsidRPr="00A57540">
              <w:rPr>
                <w:rFonts w:cs="Times New Roman"/>
                <w:i/>
                <w:sz w:val="18"/>
                <w:szCs w:val="18"/>
              </w:rPr>
              <w:t>maculosum</w:t>
            </w:r>
            <w:proofErr w:type="spellEnd"/>
          </w:p>
          <w:p w:rsidR="007E60E4" w:rsidRPr="00A57540" w:rsidRDefault="007E60E4" w:rsidP="007E60E4">
            <w:pPr>
              <w:spacing w:line="240" w:lineRule="auto"/>
              <w:contextualSpacing/>
              <w:rPr>
                <w:rFonts w:cs="Times New Roman"/>
                <w:sz w:val="18"/>
                <w:szCs w:val="18"/>
              </w:rPr>
            </w:pPr>
            <w:r w:rsidRPr="00A57540">
              <w:rPr>
                <w:rFonts w:cs="Times New Roman"/>
                <w:i/>
                <w:sz w:val="18"/>
                <w:szCs w:val="18"/>
              </w:rPr>
              <w:t xml:space="preserve">Glomus </w:t>
            </w:r>
            <w:proofErr w:type="spellStart"/>
            <w:r w:rsidRPr="00A57540">
              <w:rPr>
                <w:rFonts w:cs="Times New Roman"/>
                <w:i/>
                <w:sz w:val="18"/>
                <w:szCs w:val="18"/>
              </w:rPr>
              <w:t>manihotis</w:t>
            </w:r>
            <w:proofErr w:type="spellEnd"/>
          </w:p>
          <w:p w:rsidR="007E60E4" w:rsidRPr="00A57540" w:rsidRDefault="00CC66C9" w:rsidP="007E60E4">
            <w:pPr>
              <w:spacing w:line="240" w:lineRule="auto"/>
              <w:contextualSpacing/>
              <w:rPr>
                <w:rFonts w:cs="Times New Roman"/>
                <w:sz w:val="18"/>
                <w:szCs w:val="18"/>
              </w:rPr>
            </w:pPr>
            <w:proofErr w:type="spellStart"/>
            <w:r>
              <w:rPr>
                <w:rFonts w:cs="Times New Roman"/>
                <w:i/>
                <w:sz w:val="18"/>
                <w:szCs w:val="18"/>
              </w:rPr>
              <w:t>Funneliformis</w:t>
            </w:r>
            <w:proofErr w:type="spellEnd"/>
            <w:r>
              <w:rPr>
                <w:rFonts w:cs="Times New Roman"/>
                <w:i/>
                <w:sz w:val="18"/>
                <w:szCs w:val="18"/>
              </w:rPr>
              <w:t xml:space="preserve"> </w:t>
            </w:r>
            <w:proofErr w:type="spellStart"/>
            <w:r>
              <w:rPr>
                <w:rFonts w:cs="Times New Roman"/>
                <w:i/>
                <w:sz w:val="18"/>
                <w:szCs w:val="18"/>
              </w:rPr>
              <w:t>mosseae</w:t>
            </w:r>
            <w:proofErr w:type="spellEnd"/>
          </w:p>
          <w:p w:rsidR="007E60E4" w:rsidRPr="00A57540" w:rsidRDefault="007E60E4" w:rsidP="007E60E4">
            <w:pPr>
              <w:spacing w:line="240" w:lineRule="auto"/>
              <w:contextualSpacing/>
              <w:rPr>
                <w:rFonts w:cs="Times New Roman"/>
                <w:i/>
                <w:sz w:val="18"/>
                <w:szCs w:val="18"/>
                <w:highlight w:val="yellow"/>
              </w:rPr>
            </w:pPr>
            <w:bookmarkStart w:id="109" w:name="OLE_LINK1"/>
            <w:r w:rsidRPr="00A57540">
              <w:rPr>
                <w:rFonts w:cs="Times New Roman"/>
                <w:i/>
                <w:sz w:val="18"/>
                <w:szCs w:val="18"/>
              </w:rPr>
              <w:t>Glomus occulutum</w:t>
            </w:r>
            <w:bookmarkEnd w:id="109"/>
            <w:r w:rsidRPr="00A57540">
              <w:rPr>
                <w:rFonts w:cs="Times New Roman"/>
                <w:i/>
                <w:sz w:val="18"/>
                <w:szCs w:val="18"/>
                <w:vertAlign w:val="superscript"/>
              </w:rPr>
              <w:t>1</w:t>
            </w: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Tree height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30 mg kg</w:t>
            </w:r>
            <w:r w:rsidRPr="00A57540">
              <w:rPr>
                <w:rFonts w:cs="Times New Roman"/>
                <w:sz w:val="18"/>
                <w:szCs w:val="18"/>
                <w:vertAlign w:val="superscript"/>
              </w:rPr>
              <w:t>-1</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 xml:space="preserve">11 </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{"citationID":"1p2go7ucfo","properties":{"formattedCitation":"{\\rtf (Miller {\\i{}et al.}, 1985a)}","plainCitation":"(Miller et al., 1985a)"},"citationItems":[{"id":169,"uris":["http://zotero.org/users/local/d1gJDEOw/items/7U7J7NHE"],"uri":["http://zotero.org/users/local/d1gJDEOw/items/7U7J7NHE"],"itemData":{"id":169,"type":"article-journal","title":"Mycorrhizal Fungi at 18-Apple Rootstock Plantings in the United-States","container-title":"New Phytologist","page":"379-391","volume":"100","issue":"3","source":"Web of Science","DOI":"10.1111/j.1469-8137.1985.tb02787.x","ISSN":"0028-646X","note":"WOS:A1985AND4800010","journalAbbreviation":"New Phytol.","language":"English","author":[{"family":"Miller","given":"Dd"},{"family":"Domoto","given":"Pa"},{"family":"Walker","given":"C."}],"issued":{"date-parts":[["1985"]]}}}],"schema":"https://github.com/citation-style-language/schema/raw/master/csl-citation.json"}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(Miller </w:t>
            </w:r>
            <w:r w:rsidR="00954B3D" w:rsidRPr="00954B3D">
              <w:rPr>
                <w:rFonts w:cs="Times New Roman"/>
                <w:i/>
                <w:iCs/>
                <w:sz w:val="18"/>
                <w:szCs w:val="24"/>
              </w:rPr>
              <w:t>et al.</w:t>
            </w:r>
            <w:r w:rsidR="00954B3D" w:rsidRPr="00954B3D">
              <w:rPr>
                <w:rFonts w:cs="Times New Roman"/>
                <w:sz w:val="18"/>
                <w:szCs w:val="24"/>
              </w:rPr>
              <w:t>, 1985a)</w:t>
            </w:r>
            <w:r>
              <w:rPr>
                <w:rFonts w:cs="Times New Roman"/>
                <w:sz w:val="18"/>
                <w:szCs w:val="18"/>
              </w:rPr>
              <w:fldChar w:fldCharType="end"/>
            </w:r>
          </w:p>
        </w:tc>
      </w:tr>
      <w:tr w:rsidR="007E60E4" w:rsidRPr="00AA22EE" w:rsidTr="007E60E4">
        <w:trPr>
          <w:trHeight w:val="539"/>
        </w:trPr>
        <w:tc>
          <w:tcPr>
            <w:tcW w:w="1134" w:type="dxa"/>
            <w:tcBorders>
              <w:top w:val="nil"/>
              <w:left w:val="nil"/>
              <w:bottom w:val="nil"/>
              <w:right w:val="nil"/>
            </w:tcBorders>
          </w:tcPr>
          <w:p w:rsidR="007E60E4" w:rsidRPr="00A57540" w:rsidRDefault="007E60E4" w:rsidP="007E60E4">
            <w:pPr>
              <w:tabs>
                <w:tab w:val="left" w:pos="1273"/>
              </w:tabs>
              <w:spacing w:line="240" w:lineRule="auto"/>
              <w:contextualSpacing/>
              <w:rPr>
                <w:rFonts w:cs="Times New Roman"/>
                <w:sz w:val="18"/>
                <w:szCs w:val="18"/>
              </w:rPr>
            </w:pPr>
            <w:r w:rsidRPr="00A57540">
              <w:rPr>
                <w:rFonts w:cs="Times New Roman"/>
                <w:sz w:val="18"/>
                <w:szCs w:val="18"/>
              </w:rPr>
              <w:t>Positive</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Golden delicious</w:t>
            </w:r>
          </w:p>
          <w:p w:rsidR="007E60E4" w:rsidRPr="00A57540" w:rsidRDefault="007E60E4" w:rsidP="007E60E4">
            <w:pPr>
              <w:spacing w:line="240" w:lineRule="auto"/>
              <w:contextualSpacing/>
              <w:rPr>
                <w:rFonts w:cs="Times New Roman"/>
                <w:sz w:val="18"/>
                <w:szCs w:val="18"/>
              </w:rPr>
            </w:pP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i/>
                <w:sz w:val="18"/>
                <w:szCs w:val="18"/>
              </w:rPr>
              <w:t xml:space="preserve">Glomus </w:t>
            </w:r>
            <w:proofErr w:type="spellStart"/>
            <w:r w:rsidRPr="00A57540">
              <w:rPr>
                <w:rFonts w:cs="Times New Roman"/>
                <w:i/>
                <w:sz w:val="18"/>
                <w:szCs w:val="18"/>
              </w:rPr>
              <w:t>manihotis</w:t>
            </w:r>
            <w:proofErr w:type="spellEnd"/>
          </w:p>
          <w:p w:rsidR="007E60E4" w:rsidRPr="00A57540" w:rsidRDefault="00CC66C9" w:rsidP="007E60E4">
            <w:pPr>
              <w:spacing w:line="240" w:lineRule="auto"/>
              <w:contextualSpacing/>
              <w:rPr>
                <w:rFonts w:cs="Times New Roman"/>
                <w:sz w:val="18"/>
                <w:szCs w:val="18"/>
              </w:rPr>
            </w:pPr>
            <w:proofErr w:type="spellStart"/>
            <w:r>
              <w:rPr>
                <w:rFonts w:cs="Times New Roman"/>
                <w:i/>
                <w:sz w:val="18"/>
                <w:szCs w:val="18"/>
              </w:rPr>
              <w:t>Funneliformis</w:t>
            </w:r>
            <w:proofErr w:type="spellEnd"/>
            <w:r>
              <w:rPr>
                <w:rFonts w:cs="Times New Roman"/>
                <w:i/>
                <w:sz w:val="18"/>
                <w:szCs w:val="18"/>
              </w:rPr>
              <w:t xml:space="preserve"> </w:t>
            </w:r>
            <w:proofErr w:type="spellStart"/>
            <w:r>
              <w:rPr>
                <w:rFonts w:cs="Times New Roman"/>
                <w:i/>
                <w:sz w:val="18"/>
                <w:szCs w:val="18"/>
              </w:rPr>
              <w:t>mosseae</w:t>
            </w:r>
            <w:proofErr w:type="spellEnd"/>
          </w:p>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occulutum</w:t>
            </w:r>
            <w:proofErr w:type="spellEnd"/>
            <w:r w:rsidRPr="00A57540">
              <w:rPr>
                <w:rFonts w:cs="Times New Roman"/>
                <w:i/>
                <w:sz w:val="18"/>
                <w:szCs w:val="18"/>
              </w:rPr>
              <w:t xml:space="preserve"> </w:t>
            </w:r>
            <w:r w:rsidRPr="00A57540">
              <w:rPr>
                <w:rFonts w:cs="Times New Roman"/>
                <w:i/>
                <w:sz w:val="18"/>
                <w:szCs w:val="18"/>
                <w:vertAlign w:val="superscript"/>
              </w:rPr>
              <w:t>1</w:t>
            </w: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Total dry biomass</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30 mg kg</w:t>
            </w:r>
            <w:r w:rsidRPr="00A57540">
              <w:rPr>
                <w:rFonts w:cs="Times New Roman"/>
                <w:sz w:val="18"/>
                <w:szCs w:val="18"/>
                <w:vertAlign w:val="superscript"/>
              </w:rPr>
              <w:t>-1</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11</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{"citationID":"1h6hl68fn3","properties":{"formattedCitation":"{\\rtf (Miller {\\i{}et al.}, 1985a)}","plainCitation":"(Miller et al., 1985a)"},"citationItems":[{"id":169,"uris":["http://zotero.org/users/local/d1gJDEOw/items/7U7J7NHE"],"uri":["http://zotero.org/users/local/d1gJDEOw/items/7U7J7NHE"],"itemData":{"id":169,"type":"article-journal","title":"Mycorrhizal Fungi at 18-Apple Rootstock Plantings in the United-States","container-title":"New Phytologist","page":"379-391","volume":"100","issue":"3","source":"Web of Science","DOI":"10.1111/j.1469-8137.1985.tb02787.x","ISSN":"0028-646X","note":"WOS:A1985AND4800010","journalAbbreviation":"New Phytol.","language":"English","author":[{"family":"Miller","given":"Dd"},{"family":"Domoto","given":"Pa"},{"family":"Walker","given":"C."}],"issued":{"date-parts":[["1985"]]}}}],"schema":"https://github.com/citation-style-language/schema/raw/master/csl-citation.json"}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(Miller </w:t>
            </w:r>
            <w:r w:rsidR="00954B3D" w:rsidRPr="00954B3D">
              <w:rPr>
                <w:rFonts w:cs="Times New Roman"/>
                <w:i/>
                <w:iCs/>
                <w:sz w:val="18"/>
                <w:szCs w:val="24"/>
              </w:rPr>
              <w:t>et al.</w:t>
            </w:r>
            <w:r w:rsidR="00954B3D" w:rsidRPr="00954B3D">
              <w:rPr>
                <w:rFonts w:cs="Times New Roman"/>
                <w:sz w:val="18"/>
                <w:szCs w:val="24"/>
              </w:rPr>
              <w:t>, 1985a)</w:t>
            </w:r>
            <w:r>
              <w:rPr>
                <w:rFonts w:cs="Times New Roman"/>
                <w:sz w:val="18"/>
                <w:szCs w:val="18"/>
              </w:rPr>
              <w:fldChar w:fldCharType="end"/>
            </w:r>
          </w:p>
        </w:tc>
      </w:tr>
      <w:tr w:rsidR="007E60E4" w:rsidRPr="00AA22EE" w:rsidTr="007E60E4">
        <w:trPr>
          <w:trHeight w:val="679"/>
        </w:trPr>
        <w:tc>
          <w:tcPr>
            <w:tcW w:w="1134" w:type="dxa"/>
            <w:tcBorders>
              <w:top w:val="nil"/>
              <w:left w:val="nil"/>
              <w:bottom w:val="nil"/>
              <w:right w:val="nil"/>
            </w:tcBorders>
          </w:tcPr>
          <w:p w:rsidR="007E60E4" w:rsidRPr="00A57540" w:rsidRDefault="007E60E4" w:rsidP="007E60E4">
            <w:pPr>
              <w:tabs>
                <w:tab w:val="left" w:pos="1273"/>
              </w:tabs>
              <w:spacing w:line="240" w:lineRule="auto"/>
              <w:contextualSpacing/>
              <w:rPr>
                <w:rFonts w:cs="Times New Roman"/>
                <w:sz w:val="18"/>
                <w:szCs w:val="18"/>
              </w:rPr>
            </w:pPr>
            <w:r w:rsidRPr="00A57540">
              <w:rPr>
                <w:rFonts w:cs="Times New Roman"/>
                <w:sz w:val="18"/>
                <w:szCs w:val="18"/>
              </w:rPr>
              <w:t>Positive</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Golden delicious</w:t>
            </w:r>
          </w:p>
          <w:p w:rsidR="007E60E4" w:rsidRPr="00A57540" w:rsidRDefault="007E60E4" w:rsidP="007E60E4">
            <w:pPr>
              <w:spacing w:line="240" w:lineRule="auto"/>
              <w:contextualSpacing/>
              <w:rPr>
                <w:rFonts w:cs="Times New Roman"/>
                <w:sz w:val="18"/>
                <w:szCs w:val="18"/>
              </w:rPr>
            </w:pP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manihotis</w:t>
            </w:r>
            <w:proofErr w:type="spellEnd"/>
          </w:p>
          <w:p w:rsidR="007E60E4" w:rsidRPr="00A57540" w:rsidRDefault="00CC66C9" w:rsidP="007E60E4">
            <w:pPr>
              <w:spacing w:line="240" w:lineRule="auto"/>
              <w:contextualSpacing/>
              <w:rPr>
                <w:rFonts w:cs="Times New Roman"/>
                <w:i/>
                <w:sz w:val="18"/>
                <w:szCs w:val="18"/>
              </w:rPr>
            </w:pPr>
            <w:proofErr w:type="spellStart"/>
            <w:r>
              <w:rPr>
                <w:rFonts w:cs="Times New Roman"/>
                <w:i/>
                <w:sz w:val="18"/>
                <w:szCs w:val="18"/>
              </w:rPr>
              <w:t>Funneliformis</w:t>
            </w:r>
            <w:proofErr w:type="spellEnd"/>
            <w:r>
              <w:rPr>
                <w:rFonts w:cs="Times New Roman"/>
                <w:i/>
                <w:sz w:val="18"/>
                <w:szCs w:val="18"/>
              </w:rPr>
              <w:t xml:space="preserve"> </w:t>
            </w:r>
            <w:proofErr w:type="spellStart"/>
            <w:r>
              <w:rPr>
                <w:rFonts w:cs="Times New Roman"/>
                <w:i/>
                <w:sz w:val="18"/>
                <w:szCs w:val="18"/>
              </w:rPr>
              <w:t>mosseae</w:t>
            </w:r>
            <w:proofErr w:type="spellEnd"/>
          </w:p>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occulutum</w:t>
            </w:r>
            <w:proofErr w:type="spellEnd"/>
            <w:r w:rsidRPr="00A57540">
              <w:rPr>
                <w:rFonts w:cs="Times New Roman"/>
                <w:i/>
                <w:sz w:val="18"/>
                <w:szCs w:val="18"/>
              </w:rPr>
              <w:t xml:space="preserve"> </w:t>
            </w:r>
            <w:r w:rsidRPr="00A57540">
              <w:rPr>
                <w:rFonts w:cs="Times New Roman"/>
                <w:i/>
                <w:sz w:val="18"/>
                <w:szCs w:val="18"/>
                <w:vertAlign w:val="superscript"/>
              </w:rPr>
              <w:t>1</w:t>
            </w: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Stem diameter</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30 mg kg</w:t>
            </w:r>
            <w:r w:rsidRPr="00A57540">
              <w:rPr>
                <w:rFonts w:cs="Times New Roman"/>
                <w:sz w:val="18"/>
                <w:szCs w:val="18"/>
                <w:vertAlign w:val="superscript"/>
              </w:rPr>
              <w:t>-1</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11</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{"citationID":"2oikcvo319","properties":{"formattedCitation":"{\\rtf (Miller {\\i{}et al.}, 1985a)}","plainCitation":"(Miller et al., 1985a)"},"citationItems":[{"id":169,"uris":["http://zotero.org/users/local/d1gJDEOw/items/7U7J7NHE"],"uri":["http://zotero.org/users/local/d1gJDEOw/items/7U7J7NHE"],"itemData":{"id":169,"type":"article-journal","title":"Mycorrhizal Fungi at 18-Apple Rootstock Plantings in the United-States","container-title":"New Phytologist","page":"379-391","volume":"100","issue":"3","source":"Web of Science","DOI":"10.1111/j.1469-8137.1985.tb02787.x","ISSN":"0028-646X","note":"WOS:A1985AND4800010","journalAbbreviation":"New Phytol.","language":"English","author":[{"family":"Miller","given":"Dd"},{"family":"Domoto","given":"Pa"},{"family":"Walker","given":"C."}],"issued":{"date-parts":[["1985"]]}}}],"schema":"https://github.com/citation-style-language/schema/raw/master/csl-citation.json"}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(Miller </w:t>
            </w:r>
            <w:r w:rsidR="00954B3D" w:rsidRPr="00954B3D">
              <w:rPr>
                <w:rFonts w:cs="Times New Roman"/>
                <w:i/>
                <w:iCs/>
                <w:sz w:val="18"/>
                <w:szCs w:val="24"/>
              </w:rPr>
              <w:t>et al.</w:t>
            </w:r>
            <w:r w:rsidR="00954B3D" w:rsidRPr="00954B3D">
              <w:rPr>
                <w:rFonts w:cs="Times New Roman"/>
                <w:sz w:val="18"/>
                <w:szCs w:val="24"/>
              </w:rPr>
              <w:t>, 1985a)</w:t>
            </w:r>
            <w:r>
              <w:rPr>
                <w:rFonts w:cs="Times New Roman"/>
                <w:sz w:val="18"/>
                <w:szCs w:val="18"/>
              </w:rPr>
              <w:fldChar w:fldCharType="end"/>
            </w:r>
          </w:p>
        </w:tc>
      </w:tr>
      <w:tr w:rsidR="007E60E4" w:rsidRPr="00AA22EE" w:rsidTr="007E60E4">
        <w:trPr>
          <w:trHeight w:val="259"/>
        </w:trPr>
        <w:tc>
          <w:tcPr>
            <w:tcW w:w="1134" w:type="dxa"/>
            <w:tcBorders>
              <w:top w:val="nil"/>
              <w:left w:val="nil"/>
              <w:bottom w:val="nil"/>
              <w:right w:val="nil"/>
            </w:tcBorders>
          </w:tcPr>
          <w:p w:rsidR="007E60E4" w:rsidRPr="00A57540" w:rsidRDefault="007E60E4" w:rsidP="007E60E4">
            <w:pPr>
              <w:tabs>
                <w:tab w:val="left" w:pos="1273"/>
              </w:tabs>
              <w:spacing w:line="240" w:lineRule="auto"/>
              <w:contextualSpacing/>
              <w:rPr>
                <w:rFonts w:cs="Times New Roman"/>
                <w:sz w:val="18"/>
                <w:szCs w:val="18"/>
              </w:rPr>
            </w:pPr>
            <w:r w:rsidRPr="00A57540">
              <w:rPr>
                <w:rFonts w:cs="Times New Roman"/>
                <w:sz w:val="18"/>
                <w:szCs w:val="18"/>
              </w:rPr>
              <w:t>Positive</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Golden delicious</w:t>
            </w:r>
          </w:p>
          <w:p w:rsidR="007E60E4" w:rsidRPr="00A57540" w:rsidRDefault="007E60E4" w:rsidP="007E60E4">
            <w:pPr>
              <w:spacing w:line="240" w:lineRule="auto"/>
              <w:contextualSpacing/>
              <w:rPr>
                <w:rFonts w:cs="Times New Roman"/>
                <w:sz w:val="18"/>
                <w:szCs w:val="18"/>
              </w:rPr>
            </w:pP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maculosum</w:t>
            </w:r>
            <w:proofErr w:type="spellEnd"/>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Total dry biomass</w:t>
            </w:r>
          </w:p>
        </w:tc>
        <w:tc>
          <w:tcPr>
            <w:tcW w:w="1701" w:type="dxa"/>
            <w:tcBorders>
              <w:top w:val="nil"/>
              <w:left w:val="nil"/>
              <w:bottom w:val="nil"/>
              <w:right w:val="nil"/>
            </w:tcBorders>
          </w:tcPr>
          <w:p w:rsidR="007E60E4" w:rsidRPr="00A57540" w:rsidRDefault="007E60E4" w:rsidP="008C190E">
            <w:pPr>
              <w:spacing w:line="240" w:lineRule="auto"/>
              <w:contextualSpacing/>
              <w:rPr>
                <w:rFonts w:cs="Times New Roman"/>
                <w:sz w:val="18"/>
                <w:szCs w:val="18"/>
              </w:rPr>
            </w:pPr>
            <w:r w:rsidRPr="00A57540">
              <w:rPr>
                <w:rFonts w:cs="Times New Roman"/>
                <w:sz w:val="18"/>
                <w:szCs w:val="18"/>
              </w:rPr>
              <w:t xml:space="preserve">180 mg </w:t>
            </w:r>
            <w:r w:rsidR="008C190E">
              <w:rPr>
                <w:rFonts w:cs="Times New Roman"/>
                <w:sz w:val="18"/>
                <w:szCs w:val="18"/>
              </w:rPr>
              <w:t>k</w:t>
            </w:r>
            <w:r w:rsidRPr="00A57540">
              <w:rPr>
                <w:rFonts w:cs="Times New Roman"/>
                <w:sz w:val="18"/>
                <w:szCs w:val="18"/>
              </w:rPr>
              <w:t>g</w:t>
            </w:r>
            <w:r w:rsidRPr="00A57540">
              <w:rPr>
                <w:rFonts w:cs="Times New Roman"/>
                <w:sz w:val="18"/>
                <w:szCs w:val="18"/>
                <w:vertAlign w:val="superscript"/>
              </w:rPr>
              <w:t>-1</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11</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{"citationID":"16und34pnc","properties":{"formattedCitation":"{\\rtf (Miller {\\i{}et al.}, 1985a)}","plainCitation":"(Miller et al., 1985a)"},"citationItems":[{"id":169,"uris":["http://zotero.org/users/local/d1gJDEOw/items/7U7J7NHE"],"uri":["http://zotero.org/users/local/d1gJDEOw/items/7U7J7NHE"],"itemData":{"id":169,"type":"article-journal","title":"Mycorrhizal Fungi at 18-Apple Rootstock Plantings in the United-States","container-title":"New Phytologist","page":"379-391","volume":"100","issue":"3","source":"Web of Science","DOI":"10.1111/j.1469-8137.1985.tb02787.x","ISSN":"0028-646X","note":"WOS:A1985AND4800010","journalAbbreviation":"New Phytol.","language":"English","author":[{"family":"Miller","given":"Dd"},{"family":"Domoto","given":"Pa"},{"family":"Walker","given":"C."}],"issued":{"date-parts":[["1985"]]}}}],"schema":"https://github.com/citation-style-language/schema/raw/master/csl-citation.json"}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(Miller </w:t>
            </w:r>
            <w:r w:rsidR="00954B3D" w:rsidRPr="00954B3D">
              <w:rPr>
                <w:rFonts w:cs="Times New Roman"/>
                <w:i/>
                <w:iCs/>
                <w:sz w:val="18"/>
                <w:szCs w:val="24"/>
              </w:rPr>
              <w:t>et al.</w:t>
            </w:r>
            <w:r w:rsidR="00954B3D" w:rsidRPr="00954B3D">
              <w:rPr>
                <w:rFonts w:cs="Times New Roman"/>
                <w:sz w:val="18"/>
                <w:szCs w:val="24"/>
              </w:rPr>
              <w:t>, 1985a)</w:t>
            </w:r>
            <w:r>
              <w:rPr>
                <w:rFonts w:cs="Times New Roman"/>
                <w:sz w:val="18"/>
                <w:szCs w:val="18"/>
              </w:rPr>
              <w:fldChar w:fldCharType="end"/>
            </w:r>
          </w:p>
        </w:tc>
      </w:tr>
      <w:tr w:rsidR="007E60E4" w:rsidRPr="00AA22EE" w:rsidTr="007E60E4">
        <w:trPr>
          <w:trHeight w:val="439"/>
        </w:trPr>
        <w:tc>
          <w:tcPr>
            <w:tcW w:w="1134" w:type="dxa"/>
            <w:tcBorders>
              <w:top w:val="nil"/>
              <w:left w:val="nil"/>
              <w:bottom w:val="nil"/>
              <w:right w:val="nil"/>
            </w:tcBorders>
          </w:tcPr>
          <w:p w:rsidR="007E60E4" w:rsidRPr="00A57540" w:rsidRDefault="007E60E4" w:rsidP="007E60E4">
            <w:pPr>
              <w:tabs>
                <w:tab w:val="left" w:pos="1273"/>
              </w:tabs>
              <w:spacing w:line="240" w:lineRule="auto"/>
              <w:contextualSpacing/>
              <w:rPr>
                <w:rFonts w:cs="Times New Roman"/>
                <w:sz w:val="18"/>
                <w:szCs w:val="18"/>
              </w:rPr>
            </w:pPr>
            <w:r w:rsidRPr="00A57540">
              <w:rPr>
                <w:rFonts w:cs="Times New Roman"/>
                <w:sz w:val="18"/>
                <w:szCs w:val="18"/>
              </w:rPr>
              <w:t>Positive</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Golden delicious</w:t>
            </w:r>
          </w:p>
          <w:p w:rsidR="007E60E4" w:rsidRPr="00A57540" w:rsidRDefault="007E60E4" w:rsidP="007E60E4">
            <w:pPr>
              <w:spacing w:line="240" w:lineRule="auto"/>
              <w:contextualSpacing/>
              <w:rPr>
                <w:rFonts w:cs="Times New Roman"/>
                <w:sz w:val="18"/>
                <w:szCs w:val="18"/>
              </w:rPr>
            </w:pP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rPr>
            </w:pPr>
            <w:proofErr w:type="spellStart"/>
            <w:r w:rsidRPr="00A57540">
              <w:rPr>
                <w:rFonts w:cs="Times New Roman"/>
                <w:i/>
                <w:sz w:val="18"/>
                <w:szCs w:val="18"/>
              </w:rPr>
              <w:t>Gigaspora</w:t>
            </w:r>
            <w:proofErr w:type="spellEnd"/>
            <w:r w:rsidRPr="00A57540">
              <w:rPr>
                <w:rFonts w:cs="Times New Roman"/>
                <w:i/>
                <w:sz w:val="18"/>
                <w:szCs w:val="18"/>
              </w:rPr>
              <w:t xml:space="preserve"> </w:t>
            </w:r>
            <w:proofErr w:type="spellStart"/>
            <w:r w:rsidRPr="00A57540">
              <w:rPr>
                <w:rFonts w:cs="Times New Roman"/>
                <w:i/>
                <w:sz w:val="18"/>
                <w:szCs w:val="18"/>
              </w:rPr>
              <w:t>calospora</w:t>
            </w:r>
            <w:proofErr w:type="spellEnd"/>
            <w:r w:rsidRPr="00A57540">
              <w:rPr>
                <w:rFonts w:cs="Times New Roman"/>
                <w:sz w:val="18"/>
                <w:szCs w:val="18"/>
              </w:rPr>
              <w:t>,</w:t>
            </w:r>
          </w:p>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maculosum</w:t>
            </w:r>
            <w:proofErr w:type="spellEnd"/>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Stem diameter</w:t>
            </w:r>
          </w:p>
        </w:tc>
        <w:tc>
          <w:tcPr>
            <w:tcW w:w="1701" w:type="dxa"/>
            <w:tcBorders>
              <w:top w:val="nil"/>
              <w:left w:val="nil"/>
              <w:bottom w:val="nil"/>
              <w:right w:val="nil"/>
            </w:tcBorders>
          </w:tcPr>
          <w:p w:rsidR="007E60E4" w:rsidRPr="00A57540" w:rsidRDefault="008C190E" w:rsidP="007E60E4">
            <w:pPr>
              <w:spacing w:line="240" w:lineRule="auto"/>
              <w:contextualSpacing/>
              <w:rPr>
                <w:rFonts w:cs="Times New Roman"/>
                <w:sz w:val="18"/>
                <w:szCs w:val="18"/>
              </w:rPr>
            </w:pPr>
            <w:r>
              <w:rPr>
                <w:rFonts w:cs="Times New Roman"/>
                <w:sz w:val="18"/>
                <w:szCs w:val="18"/>
              </w:rPr>
              <w:t>180 mg k</w:t>
            </w:r>
            <w:r w:rsidR="007E60E4" w:rsidRPr="00A57540">
              <w:rPr>
                <w:rFonts w:cs="Times New Roman"/>
                <w:sz w:val="18"/>
                <w:szCs w:val="18"/>
              </w:rPr>
              <w:t>g</w:t>
            </w:r>
            <w:r w:rsidR="007E60E4" w:rsidRPr="00A57540">
              <w:rPr>
                <w:rFonts w:cs="Times New Roman"/>
                <w:sz w:val="18"/>
                <w:szCs w:val="18"/>
                <w:vertAlign w:val="superscript"/>
              </w:rPr>
              <w:t>-1</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11</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{"citationID":"u1qmkjact","properties":{"formattedCitation":"{\\rtf (Miller {\\i{}et al.}, 1985a)}","plainCitation":"(Miller et al., 1985a)"},"citationItems":[{"id":169,"uris":["http://zotero.org/users/local/d1gJDEOw/items/7U7J7NHE"],"uri":["http://zotero.org/users/local/d1gJDEOw/items/7U7J7NHE"],"itemData":{"id":169,"type":"article-journal","title":"Mycorrhizal Fungi at 18-Apple Rootstock Plantings in the United-States","container-title":"New Phytologist","page":"379-391","volume":"100","issue":"3","source":"Web of Science","DOI":"10.1111/j.1469-8137.1985.tb02787.x","ISSN":"0028-646X","note":"WOS:A1985AND4800010","journalAbbreviation":"New Phytol.","language":"English","author":[{"family":"Miller","given":"Dd"},{"family":"Domoto","given":"Pa"},{"family":"Walker","given":"C."}],"issued":{"date-parts":[["1985"]]}}}],"schema":"https://github.com/citation-style-language/schema/raw/master/csl-citation.json"}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(Miller </w:t>
            </w:r>
            <w:r w:rsidR="00954B3D" w:rsidRPr="00954B3D">
              <w:rPr>
                <w:rFonts w:cs="Times New Roman"/>
                <w:i/>
                <w:iCs/>
                <w:sz w:val="18"/>
                <w:szCs w:val="24"/>
              </w:rPr>
              <w:t>et al.</w:t>
            </w:r>
            <w:r w:rsidR="00954B3D" w:rsidRPr="00954B3D">
              <w:rPr>
                <w:rFonts w:cs="Times New Roman"/>
                <w:sz w:val="18"/>
                <w:szCs w:val="24"/>
              </w:rPr>
              <w:t>, 1985a)</w:t>
            </w:r>
            <w:r>
              <w:rPr>
                <w:rFonts w:cs="Times New Roman"/>
                <w:sz w:val="18"/>
                <w:szCs w:val="18"/>
              </w:rPr>
              <w:fldChar w:fldCharType="end"/>
            </w:r>
          </w:p>
        </w:tc>
      </w:tr>
      <w:tr w:rsidR="007E60E4" w:rsidRPr="00AA22EE" w:rsidTr="008C190E">
        <w:trPr>
          <w:cantSplit/>
        </w:trPr>
        <w:tc>
          <w:tcPr>
            <w:tcW w:w="1134" w:type="dxa"/>
            <w:tcBorders>
              <w:top w:val="nil"/>
              <w:left w:val="nil"/>
              <w:bottom w:val="nil"/>
              <w:right w:val="nil"/>
            </w:tcBorders>
          </w:tcPr>
          <w:p w:rsidR="007E60E4" w:rsidRPr="00A57540" w:rsidRDefault="007E60E4" w:rsidP="007E60E4">
            <w:pPr>
              <w:tabs>
                <w:tab w:val="left" w:pos="1273"/>
              </w:tabs>
              <w:spacing w:line="240" w:lineRule="auto"/>
              <w:contextualSpacing/>
              <w:rPr>
                <w:rFonts w:cs="Times New Roman"/>
                <w:sz w:val="18"/>
                <w:szCs w:val="18"/>
              </w:rPr>
            </w:pPr>
            <w:r w:rsidRPr="00A57540">
              <w:rPr>
                <w:rFonts w:cs="Times New Roman"/>
                <w:sz w:val="18"/>
                <w:szCs w:val="18"/>
              </w:rPr>
              <w:t>Positive</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Unspecified</w:t>
            </w: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epigaeum</w:t>
            </w:r>
            <w:proofErr w:type="spellEnd"/>
          </w:p>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macrocarpum</w:t>
            </w:r>
            <w:proofErr w:type="spellEnd"/>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Tree height</w:t>
            </w:r>
          </w:p>
        </w:tc>
        <w:tc>
          <w:tcPr>
            <w:tcW w:w="1701" w:type="dxa"/>
            <w:tcBorders>
              <w:top w:val="nil"/>
              <w:left w:val="nil"/>
              <w:bottom w:val="nil"/>
              <w:right w:val="nil"/>
            </w:tcBorders>
          </w:tcPr>
          <w:p w:rsidR="007E60E4" w:rsidRPr="00A57540" w:rsidRDefault="008C190E" w:rsidP="007E60E4">
            <w:pPr>
              <w:spacing w:line="240" w:lineRule="auto"/>
              <w:contextualSpacing/>
              <w:rPr>
                <w:rFonts w:cs="Times New Roman"/>
                <w:sz w:val="18"/>
                <w:szCs w:val="18"/>
              </w:rPr>
            </w:pPr>
            <w:r>
              <w:rPr>
                <w:rFonts w:cs="Times New Roman"/>
                <w:sz w:val="18"/>
                <w:szCs w:val="18"/>
              </w:rPr>
              <w:t>25.2 mg k</w:t>
            </w:r>
            <w:r w:rsidR="007E60E4" w:rsidRPr="00A57540">
              <w:rPr>
                <w:rFonts w:cs="Times New Roman"/>
                <w:sz w:val="18"/>
                <w:szCs w:val="18"/>
              </w:rPr>
              <w:t>g</w:t>
            </w:r>
            <w:r w:rsidR="007E60E4" w:rsidRPr="00A57540">
              <w:rPr>
                <w:rFonts w:cs="Times New Roman"/>
                <w:sz w:val="18"/>
                <w:szCs w:val="18"/>
                <w:vertAlign w:val="superscript"/>
              </w:rPr>
              <w:t>-1</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 xml:space="preserve">14 </w:t>
            </w:r>
          </w:p>
        </w:tc>
        <w:tc>
          <w:tcPr>
            <w:tcW w:w="2263" w:type="dxa"/>
            <w:tcBorders>
              <w:top w:val="nil"/>
              <w:left w:val="nil"/>
              <w:bottom w:val="nil"/>
              <w:right w:val="nil"/>
            </w:tcBorders>
          </w:tcPr>
          <w:p w:rsidR="007E60E4" w:rsidRPr="00A57540" w:rsidRDefault="00690D05" w:rsidP="0054501B">
            <w:pPr>
              <w:spacing w:line="240" w:lineRule="auto"/>
              <w:contextualSpacing/>
              <w:rPr>
                <w:rFonts w:cs="Times New Roman"/>
                <w:sz w:val="18"/>
                <w:szCs w:val="18"/>
              </w:rPr>
            </w:pPr>
            <w:r>
              <w:rPr>
                <w:rFonts w:cs="Times New Roman"/>
                <w:sz w:val="18"/>
                <w:szCs w:val="18"/>
              </w:rPr>
              <w:fldChar w:fldCharType="begin"/>
            </w:r>
            <w:r w:rsidR="0054501B">
              <w:rPr>
                <w:rFonts w:cs="Times New Roman"/>
                <w:sz w:val="18"/>
                <w:szCs w:val="18"/>
              </w:rPr>
              <w:instrText xml:space="preserve"> ADDIN ZOTERO_ITEM CSL_CITATION {"citationID":"2grsm57eo2","properties":{"formattedCitation":"{\\rtf (An {\\i{}et al.}, 1993)}","plainCitation":"(An et al., 1993)"},"citationItems":[{"id":801,"uris":["http://zotero.org/users/local/d1gJDEOw/items/SJBG4RQM"],"uri":["http://zotero.org/users/local/d1gJDEOw/items/SJBG4RQM"],"itemData":{"id":801,"type":"article-journal","title":"Mycorrhizal fungi in relation to growth and mineral nutrition of apple seedlings","container-title":"Scientia Horticulturae","page":"275-285","volume":"54","issue":"4","source":"ScienceDirect","abstract":"The effects of two mycorrhizal fungi (Glomus epigaeum Daniels &amp;amp; Trappe and Glomus macrocarpum Tul. &amp;amp; Tul.) on the growth and mineral composition of shoots and roots of apple seedlings (Malus micromalus Makino) were studied. Variables were air temperature and sterilization of soil. In sterilized soil, the two species differed in their effects on seedlings grown at different temperatures. G. epigaeum was mutualistic at low and high temperature, but G. macrocarpum was ineffective at low temperature. In unsterilized soil, neither species was mutualistic at low temperature, but both increased plant growth at high temperature. In sterilized soil, mutualism by G. macrocarpum was related to colonization. Enhanced growth of seedlings was accompanied by improved uptake of immobile nutrient elements, mainly Cu, P, Zn. Apple has a high dependency on mycorrhizal fungi, and mycorrhizal isolates selected for effectiveness may be useful for producing seedlings under Chinese production conditions.","DOI":"10.1016/0304-4238(93)90106-Z","ISSN":"0304-4238","journalAbbreviation":"Scientia Horticulturae","author":[{"family":"An","given":"Z. Q."},{"family":"Shen","given":"T."},{"family":"Wang","given":"H. G."}],"issued":{"date-parts":[["1993",7]]}}}],"schema":"https://github.com/citation-style-language/schema/raw/master/csl-citation.json"} </w:instrText>
            </w:r>
            <w:r>
              <w:rPr>
                <w:rFonts w:cs="Times New Roman"/>
                <w:sz w:val="18"/>
                <w:szCs w:val="18"/>
              </w:rPr>
              <w:fldChar w:fldCharType="separate"/>
            </w:r>
            <w:r w:rsidR="0054501B" w:rsidRPr="0054501B">
              <w:rPr>
                <w:rFonts w:cs="Times New Roman"/>
                <w:sz w:val="18"/>
                <w:szCs w:val="24"/>
              </w:rPr>
              <w:t xml:space="preserve">(An </w:t>
            </w:r>
            <w:r w:rsidR="0054501B" w:rsidRPr="0054501B">
              <w:rPr>
                <w:rFonts w:cs="Times New Roman"/>
                <w:i/>
                <w:iCs/>
                <w:sz w:val="18"/>
                <w:szCs w:val="24"/>
              </w:rPr>
              <w:t>et al.</w:t>
            </w:r>
            <w:r w:rsidR="0054501B" w:rsidRPr="0054501B">
              <w:rPr>
                <w:rFonts w:cs="Times New Roman"/>
                <w:sz w:val="18"/>
                <w:szCs w:val="24"/>
              </w:rPr>
              <w:t>, 1993)</w:t>
            </w:r>
            <w:r>
              <w:rPr>
                <w:rFonts w:cs="Times New Roman"/>
                <w:sz w:val="18"/>
                <w:szCs w:val="18"/>
              </w:rPr>
              <w:fldChar w:fldCharType="end"/>
            </w:r>
          </w:p>
        </w:tc>
      </w:tr>
      <w:tr w:rsidR="007E60E4" w:rsidRPr="00AA22EE" w:rsidTr="007E60E4">
        <w:tc>
          <w:tcPr>
            <w:tcW w:w="1134" w:type="dxa"/>
            <w:tcBorders>
              <w:top w:val="nil"/>
              <w:left w:val="nil"/>
              <w:bottom w:val="nil"/>
              <w:right w:val="nil"/>
            </w:tcBorders>
          </w:tcPr>
          <w:p w:rsidR="007E60E4" w:rsidRPr="00A57540" w:rsidRDefault="007E60E4" w:rsidP="007E60E4">
            <w:pPr>
              <w:tabs>
                <w:tab w:val="left" w:pos="1273"/>
              </w:tabs>
              <w:spacing w:line="240" w:lineRule="auto"/>
              <w:contextualSpacing/>
              <w:rPr>
                <w:rFonts w:cs="Times New Roman"/>
                <w:sz w:val="18"/>
                <w:szCs w:val="18"/>
              </w:rPr>
            </w:pPr>
            <w:r w:rsidRPr="00A57540">
              <w:rPr>
                <w:rFonts w:cs="Times New Roman"/>
                <w:sz w:val="18"/>
                <w:szCs w:val="18"/>
              </w:rPr>
              <w:t>Positive</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McIntosh</w:t>
            </w: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etunicatum</w:t>
            </w:r>
            <w:proofErr w:type="spellEnd"/>
          </w:p>
          <w:p w:rsidR="007E60E4" w:rsidRPr="00A57540" w:rsidRDefault="007E60E4" w:rsidP="007E60E4">
            <w:pPr>
              <w:spacing w:line="240" w:lineRule="auto"/>
              <w:contextualSpacing/>
              <w:rPr>
                <w:rFonts w:cs="Times New Roman"/>
                <w:i/>
                <w:sz w:val="18"/>
                <w:szCs w:val="18"/>
              </w:rPr>
            </w:pPr>
            <w:proofErr w:type="spellStart"/>
            <w:r w:rsidRPr="00A57540">
              <w:rPr>
                <w:rFonts w:cs="Times New Roman"/>
                <w:i/>
                <w:sz w:val="18"/>
                <w:szCs w:val="18"/>
              </w:rPr>
              <w:t>Gigaspora</w:t>
            </w:r>
            <w:proofErr w:type="spellEnd"/>
            <w:r w:rsidRPr="00A57540">
              <w:rPr>
                <w:rFonts w:cs="Times New Roman"/>
                <w:i/>
                <w:sz w:val="18"/>
                <w:szCs w:val="18"/>
              </w:rPr>
              <w:t xml:space="preserve"> margarita</w:t>
            </w: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Total dry weight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unspecified</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8</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{"citationID":"6q4igi5h7","properties":{"formattedCitation":"{\\rtf (Matsubara {\\i{}et al.}, 1996)}","plainCitation":"(Matsubara et al., 1996)"},"citationItems":[{"id":184,"uris":["http://zotero.org/users/local/d1gJDEOw/items/8JWXI5WT"],"uri":["http://zotero.org/users/local/d1gJDEOw/items/8JWXI5WT"],"itemData":{"id":184,"type":"article-journal","title":"Effect of arbuscular Mycorrhizal fungus inoculation on growth of apple (Malus ssp) seedlings","container-title":"Journal of the Japanese Society for Horticultural Science","page":"297-302","volume":"65","issue":"2","source":"Web of Science","abstract":"The means of enhancing the growth of seedlings of apples, Malus pumila Mill. var. domestica Schneid. (cv. McIntosh, American Summer Pearmain, Jonathan, Golden Delicious, Starking Delicious, Fuji, Mutsu and Red Gold) and Malus sieboldii Rehd., through inoculation of arbuscular mycorrhizal (AM) fungus [Glomus etunicatum (GE) and Gigaspora margarila (GM)] were investigated. Eight weeks after inoculation, AM fungus infection occurred in all combinations of apple cultivars and fungus species. The rate of AM fungus-infected portions in a whole root system were: 31.7% in 'Golden Delicious', 50.5% in 'Jonathan' in GE-inoculated plants, and 24.0% for Malus sieboldii Rehd., and 50.7% in 'Starking Delicious' in GM-inoculated ones. Plant height and dry weights of top and roots were greater in all GE-infected seedlings than in noninoculated ones. The GM-infected seedlings made larger height and weight increments than did the noninoculated ones in all seedlings except those of 'Golden Delicious' and Malus sieboldii Rehd.. In 'McIntosh' seedlings, plant growth enhancement through symbiosis clearly appeared associated with both fungi. With both fungal species, P concentrations in the top or roots were higher in infected plants than in noninoculated plants; the effect appeared more noticeably in roots than in top. Consequently, it was confirmed that GE and GM infections and their plant growth enhancement through symbiosis occurred with the seedling stage in several apple cultivars.","ISSN":"1882-3351","note":"WOS:A1996VG48900009","journalAbbreviation":"J. Jpn. Soc. Hortic. Sci.","language":"English","author":[{"family":"Matsubara","given":"Y."},{"family":"Karikomi","given":"T."},{"family":"Ikuta","given":"M."},{"family":"Hori","given":"H."},{"family":"Ishikawa","given":"S."},{"family":"Harada","given":"T."}],"issued":{"date-parts":[["1996",9]]}}}],"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(Matsubara </w:t>
            </w:r>
            <w:r w:rsidR="00954B3D" w:rsidRPr="00954B3D">
              <w:rPr>
                <w:rFonts w:cs="Times New Roman"/>
                <w:i/>
                <w:iCs/>
                <w:sz w:val="18"/>
                <w:szCs w:val="24"/>
              </w:rPr>
              <w:t>et al.</w:t>
            </w:r>
            <w:r w:rsidR="00954B3D" w:rsidRPr="00954B3D">
              <w:rPr>
                <w:rFonts w:cs="Times New Roman"/>
                <w:sz w:val="18"/>
                <w:szCs w:val="24"/>
              </w:rPr>
              <w:t>, 1996)</w:t>
            </w:r>
            <w:r>
              <w:rPr>
                <w:rFonts w:cs="Times New Roman"/>
                <w:sz w:val="18"/>
                <w:szCs w:val="18"/>
              </w:rPr>
              <w:fldChar w:fldCharType="end"/>
            </w:r>
          </w:p>
        </w:tc>
      </w:tr>
      <w:tr w:rsidR="007E60E4" w:rsidRPr="00AA22EE" w:rsidTr="007E60E4">
        <w:tc>
          <w:tcPr>
            <w:tcW w:w="1134" w:type="dxa"/>
            <w:tcBorders>
              <w:top w:val="nil"/>
              <w:left w:val="nil"/>
              <w:bottom w:val="nil"/>
              <w:right w:val="nil"/>
            </w:tcBorders>
          </w:tcPr>
          <w:p w:rsidR="007E60E4" w:rsidRPr="00A57540" w:rsidRDefault="007E60E4" w:rsidP="007E60E4">
            <w:pPr>
              <w:tabs>
                <w:tab w:val="left" w:pos="1273"/>
              </w:tabs>
              <w:spacing w:line="240" w:lineRule="auto"/>
              <w:contextualSpacing/>
              <w:rPr>
                <w:rFonts w:cs="Times New Roman"/>
                <w:sz w:val="18"/>
                <w:szCs w:val="18"/>
              </w:rPr>
            </w:pPr>
            <w:r w:rsidRPr="00A57540">
              <w:rPr>
                <w:rFonts w:cs="Times New Roman"/>
                <w:sz w:val="18"/>
                <w:szCs w:val="18"/>
              </w:rPr>
              <w:t>Positive</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 xml:space="preserve">American Summer </w:t>
            </w:r>
            <w:proofErr w:type="spellStart"/>
            <w:r w:rsidRPr="00A57540">
              <w:rPr>
                <w:rFonts w:cs="Times New Roman"/>
                <w:sz w:val="18"/>
                <w:szCs w:val="18"/>
              </w:rPr>
              <w:t>Permain</w:t>
            </w:r>
            <w:proofErr w:type="spellEnd"/>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etunicatum</w:t>
            </w:r>
            <w:proofErr w:type="spellEnd"/>
          </w:p>
          <w:p w:rsidR="007E60E4" w:rsidRPr="00A57540" w:rsidRDefault="007E60E4" w:rsidP="007E60E4">
            <w:pPr>
              <w:spacing w:line="240" w:lineRule="auto"/>
              <w:contextualSpacing/>
              <w:rPr>
                <w:rFonts w:cs="Times New Roman"/>
                <w:i/>
                <w:sz w:val="18"/>
                <w:szCs w:val="18"/>
              </w:rPr>
            </w:pPr>
            <w:proofErr w:type="spellStart"/>
            <w:r w:rsidRPr="00A57540">
              <w:rPr>
                <w:rFonts w:cs="Times New Roman"/>
                <w:i/>
                <w:sz w:val="18"/>
                <w:szCs w:val="18"/>
              </w:rPr>
              <w:t>Gigaspora</w:t>
            </w:r>
            <w:proofErr w:type="spellEnd"/>
            <w:r w:rsidRPr="00A57540">
              <w:rPr>
                <w:rFonts w:cs="Times New Roman"/>
                <w:i/>
                <w:sz w:val="18"/>
                <w:szCs w:val="18"/>
              </w:rPr>
              <w:t xml:space="preserve"> margarita</w:t>
            </w: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Total dry weight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unspecified</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8</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{"citationID":"16aech8euf","properties":{"formattedCitation":"{\\rtf (Matsubara {\\i{}et al.}, 1996)}","plainCitation":"(Matsubara et al., 1996)"},"citationItems":[{"id":184,"uris":["http://zotero.org/users/local/d1gJDEOw/items/8JWXI5WT"],"uri":["http://zotero.org/users/local/d1gJDEOw/items/8JWXI5WT"],"itemData":{"id":184,"type":"article-journal","title":"Effect of arbuscular Mycorrhizal fungus inoculation on growth of apple (Malus ssp) seedlings","container-title":"Journal of the Japanese Society for Horticultural Science","page":"297-302","volume":"65","issue":"2","source":"Web of Science","abstract":"The means of enhancing the growth of seedlings of apples, Malus pumila Mill. var. domestica Schneid. (cv. McIntosh, American Summer Pearmain, Jonathan, Golden Delicious, Starking Delicious, Fuji, Mutsu and Red Gold) and Malus sieboldii Rehd., through inoculation of arbuscular mycorrhizal (AM) fungus [Glomus etunicatum (GE) and Gigaspora margarila (GM)] were investigated. Eight weeks after inoculation, AM fungus infection occurred in all combinations of apple cultivars and fungus species. The rate of AM fungus-infected portions in a whole root system were: 31.7% in 'Golden Delicious', 50.5% in 'Jonathan' in GE-inoculated plants, and 24.0% for Malus sieboldii Rehd., and 50.7% in 'Starking Delicious' in GM-inoculated ones. Plant height and dry weights of top and roots were greater in all GE-infected seedlings than in noninoculated ones. The GM-infected seedlings made larger height and weight increments than did the noninoculated ones in all seedlings except those of 'Golden Delicious' and Malus sieboldii Rehd.. In 'McIntosh' seedlings, plant growth enhancement through symbiosis clearly appeared associated with both fungi. With both fungal species, P concentrations in the top or roots were higher in infected plants than in noninoculated plants; the effect appeared more noticeably in roots than in top. Consequently, it was confirmed that GE and GM infections and their plant growth enhancement through symbiosis occurred with the seedling stage in several apple cultivars.","ISSN":"1882-3351","note":"WOS:A1996VG48900009","journalAbbreviation":"J. Jpn. Soc. Hortic. Sci.","language":"English","author":[{"family":"Matsubara","given":"Y."},{"family":"Karikomi","given":"T."},{"family":"Ikuta","given":"M."},{"family":"Hori","given":"H."},{"family":"Ishikawa","given":"S."},{"family":"Harada","given":"T."}],"issued":{"date-parts":[["1996",9]]}}}],"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(Matsubara </w:t>
            </w:r>
            <w:r w:rsidR="00954B3D" w:rsidRPr="00954B3D">
              <w:rPr>
                <w:rFonts w:cs="Times New Roman"/>
                <w:i/>
                <w:iCs/>
                <w:sz w:val="18"/>
                <w:szCs w:val="24"/>
              </w:rPr>
              <w:t>et al.</w:t>
            </w:r>
            <w:r w:rsidR="00954B3D" w:rsidRPr="00954B3D">
              <w:rPr>
                <w:rFonts w:cs="Times New Roman"/>
                <w:sz w:val="18"/>
                <w:szCs w:val="24"/>
              </w:rPr>
              <w:t>, 1996)</w:t>
            </w:r>
            <w:r>
              <w:rPr>
                <w:rFonts w:cs="Times New Roman"/>
                <w:sz w:val="18"/>
                <w:szCs w:val="18"/>
              </w:rPr>
              <w:fldChar w:fldCharType="end"/>
            </w:r>
          </w:p>
        </w:tc>
      </w:tr>
      <w:tr w:rsidR="007E60E4" w:rsidRPr="00AA22EE" w:rsidTr="007E60E4">
        <w:tc>
          <w:tcPr>
            <w:tcW w:w="1134" w:type="dxa"/>
            <w:tcBorders>
              <w:top w:val="nil"/>
              <w:left w:val="nil"/>
              <w:bottom w:val="nil"/>
              <w:right w:val="nil"/>
            </w:tcBorders>
          </w:tcPr>
          <w:p w:rsidR="007E60E4" w:rsidRPr="00A57540" w:rsidRDefault="007E60E4" w:rsidP="007E60E4">
            <w:pPr>
              <w:tabs>
                <w:tab w:val="left" w:pos="1273"/>
              </w:tabs>
              <w:spacing w:line="240" w:lineRule="auto"/>
              <w:contextualSpacing/>
              <w:rPr>
                <w:rFonts w:cs="Times New Roman"/>
                <w:sz w:val="18"/>
                <w:szCs w:val="18"/>
              </w:rPr>
            </w:pPr>
            <w:r w:rsidRPr="00A57540">
              <w:rPr>
                <w:rFonts w:cs="Times New Roman"/>
                <w:sz w:val="18"/>
                <w:szCs w:val="18"/>
              </w:rPr>
              <w:t>Positive</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proofErr w:type="spellStart"/>
            <w:r w:rsidRPr="00A57540">
              <w:rPr>
                <w:rFonts w:cs="Times New Roman"/>
                <w:sz w:val="18"/>
                <w:szCs w:val="18"/>
              </w:rPr>
              <w:t>Jonathathan</w:t>
            </w:r>
            <w:proofErr w:type="spellEnd"/>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etunicatum</w:t>
            </w:r>
            <w:proofErr w:type="spellEnd"/>
          </w:p>
          <w:p w:rsidR="007E60E4" w:rsidRPr="00A57540" w:rsidRDefault="007E60E4" w:rsidP="007E60E4">
            <w:pPr>
              <w:spacing w:line="240" w:lineRule="auto"/>
              <w:contextualSpacing/>
              <w:rPr>
                <w:rFonts w:cs="Times New Roman"/>
                <w:i/>
                <w:sz w:val="18"/>
                <w:szCs w:val="18"/>
              </w:rPr>
            </w:pPr>
            <w:proofErr w:type="spellStart"/>
            <w:r w:rsidRPr="00A57540">
              <w:rPr>
                <w:rFonts w:cs="Times New Roman"/>
                <w:i/>
                <w:sz w:val="18"/>
                <w:szCs w:val="18"/>
              </w:rPr>
              <w:t>Gigaspora</w:t>
            </w:r>
            <w:proofErr w:type="spellEnd"/>
            <w:r w:rsidRPr="00A57540">
              <w:rPr>
                <w:rFonts w:cs="Times New Roman"/>
                <w:i/>
                <w:sz w:val="18"/>
                <w:szCs w:val="18"/>
              </w:rPr>
              <w:t xml:space="preserve"> margarita</w:t>
            </w: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Total dry weight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unspecified</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8</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{"citationID":"222mceme14","properties":{"formattedCitation":"{\\rtf (Matsubara {\\i{}et al.}, 1996)}","plainCitation":"(Matsubara et al., 1996)"},"citationItems":[{"id":184,"uris":["http://zotero.org/users/local/d1gJDEOw/items/8JWXI5WT"],"uri":["http://zotero.org/users/local/d1gJDEOw/items/8JWXI5WT"],"itemData":{"id":184,"type":"article-journal","title":"Effect of arbuscular Mycorrhizal fungus inoculation on growth of apple (Malus ssp) seedlings","container-title":"Journal of the Japanese Society for Horticultural Science","page":"297-302","volume":"65","issue":"2","source":"Web of Science","abstract":"The means of enhancing the growth of seedlings of apples, Malus pumila Mill. var. domestica Schneid. (cv. McIntosh, American Summer Pearmain, Jonathan, Golden Delicious, Starking Delicious, Fuji, Mutsu and Red Gold) and Malus sieboldii Rehd., through inoculation of arbuscular mycorrhizal (AM) fungus [Glomus etunicatum (GE) and Gigaspora margarila (GM)] were investigated. Eight weeks after inoculation, AM fungus infection occurred in all combinations of apple cultivars and fungus species. The rate of AM fungus-infected portions in a whole root system were: 31.7% in 'Golden Delicious', 50.5% in 'Jonathan' in GE-inoculated plants, and 24.0% for Malus sieboldii Rehd., and 50.7% in 'Starking Delicious' in GM-inoculated ones. Plant height and dry weights of top and roots were greater in all GE-infected seedlings than in noninoculated ones. The GM-infected seedlings made larger height and weight increments than did the noninoculated ones in all seedlings except those of 'Golden Delicious' and Malus sieboldii Rehd.. In 'McIntosh' seedlings, plant growth enhancement through symbiosis clearly appeared associated with both fungi. With both fungal species, P concentrations in the top or roots were higher in infected plants than in noninoculated plants; the effect appeared more noticeably in roots than in top. Consequently, it was confirmed that GE and GM infections and their plant growth enhancement through symbiosis occurred with the seedling stage in several apple cultivars.","ISSN":"1882-3351","note":"WOS:A1996VG48900009","journalAbbreviation":"J. Jpn. Soc. Hortic. Sci.","language":"English","author":[{"family":"Matsubara","given":"Y."},{"family":"Karikomi","given":"T."},{"family":"Ikuta","given":"M."},{"family":"Hori","given":"H."},{"family":"Ishikawa","given":"S."},{"family":"Harada","given":"T."}],"issued":{"date-parts":[["1996",9]]}}}],"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(Matsubara </w:t>
            </w:r>
            <w:r w:rsidR="00954B3D" w:rsidRPr="00954B3D">
              <w:rPr>
                <w:rFonts w:cs="Times New Roman"/>
                <w:i/>
                <w:iCs/>
                <w:sz w:val="18"/>
                <w:szCs w:val="24"/>
              </w:rPr>
              <w:t>et al.</w:t>
            </w:r>
            <w:r w:rsidR="00954B3D" w:rsidRPr="00954B3D">
              <w:rPr>
                <w:rFonts w:cs="Times New Roman"/>
                <w:sz w:val="18"/>
                <w:szCs w:val="24"/>
              </w:rPr>
              <w:t>, 1996)</w:t>
            </w:r>
            <w:r>
              <w:rPr>
                <w:rFonts w:cs="Times New Roman"/>
                <w:sz w:val="18"/>
                <w:szCs w:val="18"/>
              </w:rPr>
              <w:fldChar w:fldCharType="end"/>
            </w:r>
          </w:p>
        </w:tc>
      </w:tr>
      <w:tr w:rsidR="007E60E4" w:rsidRPr="00AA22EE" w:rsidTr="007E60E4">
        <w:tc>
          <w:tcPr>
            <w:tcW w:w="1134" w:type="dxa"/>
            <w:tcBorders>
              <w:top w:val="nil"/>
              <w:left w:val="nil"/>
              <w:bottom w:val="nil"/>
              <w:right w:val="nil"/>
            </w:tcBorders>
          </w:tcPr>
          <w:p w:rsidR="007E60E4" w:rsidRPr="00A57540" w:rsidRDefault="007E60E4" w:rsidP="007E60E4">
            <w:pPr>
              <w:tabs>
                <w:tab w:val="left" w:pos="1273"/>
              </w:tabs>
              <w:spacing w:line="240" w:lineRule="auto"/>
              <w:contextualSpacing/>
              <w:rPr>
                <w:rFonts w:cs="Times New Roman"/>
                <w:sz w:val="18"/>
                <w:szCs w:val="18"/>
              </w:rPr>
            </w:pPr>
            <w:r w:rsidRPr="00A57540">
              <w:rPr>
                <w:rFonts w:cs="Times New Roman"/>
                <w:sz w:val="18"/>
                <w:szCs w:val="18"/>
              </w:rPr>
              <w:t>Positive</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Golden Delicious</w:t>
            </w: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etunicatum</w:t>
            </w:r>
            <w:proofErr w:type="spellEnd"/>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Total dry weight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unspecified</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8</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{"citationID":"1qfnvchu1l","properties":{"formattedCitation":"{\\rtf (Matsubara {\\i{}et al.}, 1996)}","plainCitation":"(Matsubara et al., 1996)"},"citationItems":[{"id":184,"uris":["http://zotero.org/users/local/d1gJDEOw/items/8JWXI5WT"],"uri":["http://zotero.org/users/local/d1gJDEOw/items/8JWXI5WT"],"itemData":{"id":184,"type":"article-journal","title":"Effect of arbuscular Mycorrhizal fungus inoculation on growth of apple (Malus ssp) seedlings","container-title":"Journal of the Japanese Society for Horticultural Science","page":"297-302","volume":"65","issue":"2","source":"Web of Science","abstract":"The means of enhancing the growth of seedlings of apples, Malus pumila Mill. var. domestica Schneid. (cv. McIntosh, American Summer Pearmain, Jonathan, Golden Delicious, Starking Delicious, Fuji, Mutsu and Red Gold) and Malus sieboldii Rehd., through inoculation of arbuscular mycorrhizal (AM) fungus [Glomus etunicatum (GE) and Gigaspora margarila (GM)] were investigated. Eight weeks after inoculation, AM fungus infection occurred in all combinations of apple cultivars and fungus species. The rate of AM fungus-infected portions in a whole root system were: 31.7% in 'Golden Delicious', 50.5% in 'Jonathan' in GE-inoculated plants, and 24.0% for Malus sieboldii Rehd., and 50.7% in 'Starking Delicious' in GM-inoculated ones. Plant height and dry weights of top and roots were greater in all GE-infected seedlings than in noninoculated ones. The GM-infected seedlings made larger height and weight increments than did the noninoculated ones in all seedlings except those of 'Golden Delicious' and Malus sieboldii Rehd.. In 'McIntosh' seedlings, plant growth enhancement through symbiosis clearly appeared associated with both fungi. With both fungal species, P concentrations in the top or roots were higher in infected plants than in noninoculated plants; the effect appeared more noticeably in roots than in top. Consequently, it was confirmed that GE and GM infections and their plant growth enhancement through symbiosis occurred with the seedling stage in several apple cultivars.","ISSN":"1882-3351","note":"WOS:A1996VG48900009","journalAbbreviation":"J. Jpn. Soc. Hortic. Sci.","language":"English","author":[{"family":"Matsubara","given":"Y."},{"family":"Karikomi","given":"T."},{"family":"Ikuta","given":"M."},{"family":"Hori","given":"H."},{"family":"Ishikawa","given":"S."},{"family":"Harada","given":"T."}],"issued":{"date-parts":[["1996",9]]}}}],"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(Matsubara </w:t>
            </w:r>
            <w:r w:rsidR="00954B3D" w:rsidRPr="00954B3D">
              <w:rPr>
                <w:rFonts w:cs="Times New Roman"/>
                <w:i/>
                <w:iCs/>
                <w:sz w:val="18"/>
                <w:szCs w:val="24"/>
              </w:rPr>
              <w:t>et al.</w:t>
            </w:r>
            <w:r w:rsidR="00954B3D" w:rsidRPr="00954B3D">
              <w:rPr>
                <w:rFonts w:cs="Times New Roman"/>
                <w:sz w:val="18"/>
                <w:szCs w:val="24"/>
              </w:rPr>
              <w:t>, 1996)</w:t>
            </w:r>
            <w:r>
              <w:rPr>
                <w:rFonts w:cs="Times New Roman"/>
                <w:sz w:val="18"/>
                <w:szCs w:val="18"/>
              </w:rPr>
              <w:fldChar w:fldCharType="end"/>
            </w:r>
          </w:p>
        </w:tc>
      </w:tr>
      <w:tr w:rsidR="007E60E4" w:rsidRPr="00AA22EE" w:rsidTr="007E60E4">
        <w:tc>
          <w:tcPr>
            <w:tcW w:w="1134" w:type="dxa"/>
            <w:tcBorders>
              <w:top w:val="nil"/>
              <w:left w:val="nil"/>
              <w:bottom w:val="nil"/>
              <w:right w:val="nil"/>
            </w:tcBorders>
          </w:tcPr>
          <w:p w:rsidR="007E60E4" w:rsidRPr="00A57540" w:rsidRDefault="007E60E4" w:rsidP="007E60E4">
            <w:pPr>
              <w:tabs>
                <w:tab w:val="left" w:pos="1273"/>
              </w:tabs>
              <w:spacing w:line="240" w:lineRule="auto"/>
              <w:contextualSpacing/>
              <w:rPr>
                <w:rFonts w:cs="Times New Roman"/>
                <w:sz w:val="18"/>
                <w:szCs w:val="18"/>
              </w:rPr>
            </w:pPr>
            <w:r w:rsidRPr="00A57540">
              <w:rPr>
                <w:rFonts w:cs="Times New Roman"/>
                <w:sz w:val="18"/>
                <w:szCs w:val="18"/>
              </w:rPr>
              <w:t>Positive</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proofErr w:type="spellStart"/>
            <w:r w:rsidRPr="00A57540">
              <w:rPr>
                <w:rFonts w:cs="Times New Roman"/>
                <w:sz w:val="18"/>
                <w:szCs w:val="18"/>
              </w:rPr>
              <w:t>Starking</w:t>
            </w:r>
            <w:proofErr w:type="spellEnd"/>
            <w:r w:rsidRPr="00A57540">
              <w:rPr>
                <w:rFonts w:cs="Times New Roman"/>
                <w:sz w:val="18"/>
                <w:szCs w:val="18"/>
              </w:rPr>
              <w:t xml:space="preserve"> Delicious</w:t>
            </w: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etunicatum</w:t>
            </w:r>
            <w:proofErr w:type="spellEnd"/>
          </w:p>
          <w:p w:rsidR="007E60E4" w:rsidRPr="00A57540" w:rsidRDefault="007E60E4" w:rsidP="007E60E4">
            <w:pPr>
              <w:spacing w:line="240" w:lineRule="auto"/>
              <w:contextualSpacing/>
              <w:rPr>
                <w:rFonts w:cs="Times New Roman"/>
                <w:i/>
                <w:sz w:val="18"/>
                <w:szCs w:val="18"/>
              </w:rPr>
            </w:pPr>
            <w:proofErr w:type="spellStart"/>
            <w:r w:rsidRPr="00A57540">
              <w:rPr>
                <w:rFonts w:cs="Times New Roman"/>
                <w:i/>
                <w:sz w:val="18"/>
                <w:szCs w:val="18"/>
              </w:rPr>
              <w:t>Gigaspora</w:t>
            </w:r>
            <w:proofErr w:type="spellEnd"/>
            <w:r w:rsidRPr="00A57540">
              <w:rPr>
                <w:rFonts w:cs="Times New Roman"/>
                <w:i/>
                <w:sz w:val="18"/>
                <w:szCs w:val="18"/>
              </w:rPr>
              <w:t xml:space="preserve"> margarita</w:t>
            </w: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Total dry weight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unspecified</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8</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{"citationID":"1o0b9sd0hi","properties":{"formattedCitation":"{\\rtf (Matsubara {\\i{}et al.}, 1996)}","plainCitation":"(Matsubara et al., 1996)"},"citationItems":[{"id":184,"uris":["http://zotero.org/users/local/d1gJDEOw/items/8JWXI5WT"],"uri":["http://zotero.org/users/local/d1gJDEOw/items/8JWXI5WT"],"itemData":{"id":184,"type":"article-journal","title":"Effect of arbuscular Mycorrhizal fungus inoculation on growth of apple (Malus ssp) seedlings","container-title":"Journal of the Japanese Society for Horticultural Science","page":"297-302","volume":"65","issue":"2","source":"Web of Science","abstract":"The means of enhancing the growth of seedlings of apples, Malus pumila Mill. var. domestica Schneid. (cv. McIntosh, American Summer Pearmain, Jonathan, Golden Delicious, Starking Delicious, Fuji, Mutsu and Red Gold) and Malus sieboldii Rehd., through inoculation of arbuscular mycorrhizal (AM) fungus [Glomus etunicatum (GE) and Gigaspora margarila (GM)] were investigated. Eight weeks after inoculation, AM fungus infection occurred in all combinations of apple cultivars and fungus species. The rate of AM fungus-infected portions in a whole root system were: 31.7% in 'Golden Delicious', 50.5% in 'Jonathan' in GE-inoculated plants, and 24.0% for Malus sieboldii Rehd., and 50.7% in 'Starking Delicious' in GM-inoculated ones. Plant height and dry weights of top and roots were greater in all GE-infected seedlings than in noninoculated ones. The GM-infected seedlings made larger height and weight increments than did the noninoculated ones in all seedlings except those of 'Golden Delicious' and Malus sieboldii Rehd.. In 'McIntosh' seedlings, plant growth enhancement through symbiosis clearly appeared associated with both fungi. With both fungal species, P concentrations in the top or roots were higher in infected plants than in noninoculated plants; the effect appeared more noticeably in roots than in top. Consequently, it was confirmed that GE and GM infections and their plant growth enhancement through symbiosis occurred with the seedling stage in several apple cultivars.","ISSN":"1882-3351","note":"WOS:A1996VG48900009","journalAbbreviation":"J. Jpn. Soc. Hortic. Sci.","language":"English","author":[{"family":"Matsubara","given":"Y."},{"family":"Karikomi","given":"T."},{"family":"Ikuta","given":"M."},{"family":"Hori","given":"H."},{"family":"Ishikawa","given":"S."},{"family":"Harada","given":"T."}],"issued":{"date-parts":[["1996",9]]}}}],"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(Matsubara </w:t>
            </w:r>
            <w:r w:rsidR="00954B3D" w:rsidRPr="00954B3D">
              <w:rPr>
                <w:rFonts w:cs="Times New Roman"/>
                <w:i/>
                <w:iCs/>
                <w:sz w:val="18"/>
                <w:szCs w:val="24"/>
              </w:rPr>
              <w:t>et al.</w:t>
            </w:r>
            <w:r w:rsidR="00954B3D" w:rsidRPr="00954B3D">
              <w:rPr>
                <w:rFonts w:cs="Times New Roman"/>
                <w:sz w:val="18"/>
                <w:szCs w:val="24"/>
              </w:rPr>
              <w:t>, 1996)</w:t>
            </w:r>
            <w:r>
              <w:rPr>
                <w:rFonts w:cs="Times New Roman"/>
                <w:sz w:val="18"/>
                <w:szCs w:val="18"/>
              </w:rPr>
              <w:fldChar w:fldCharType="end"/>
            </w:r>
          </w:p>
        </w:tc>
      </w:tr>
      <w:tr w:rsidR="007E60E4" w:rsidRPr="00AA22EE" w:rsidTr="008C190E">
        <w:trPr>
          <w:cantSplit/>
        </w:trPr>
        <w:tc>
          <w:tcPr>
            <w:tcW w:w="1134" w:type="dxa"/>
            <w:tcBorders>
              <w:top w:val="nil"/>
              <w:left w:val="nil"/>
              <w:bottom w:val="nil"/>
              <w:right w:val="nil"/>
            </w:tcBorders>
          </w:tcPr>
          <w:p w:rsidR="007E60E4" w:rsidRPr="00A57540" w:rsidRDefault="007E60E4" w:rsidP="007E60E4">
            <w:pPr>
              <w:tabs>
                <w:tab w:val="left" w:pos="1273"/>
              </w:tabs>
              <w:spacing w:line="240" w:lineRule="auto"/>
              <w:contextualSpacing/>
              <w:rPr>
                <w:rFonts w:cs="Times New Roman"/>
                <w:sz w:val="18"/>
                <w:szCs w:val="18"/>
              </w:rPr>
            </w:pPr>
            <w:r w:rsidRPr="00A57540">
              <w:rPr>
                <w:rFonts w:cs="Times New Roman"/>
                <w:sz w:val="18"/>
                <w:szCs w:val="18"/>
              </w:rPr>
              <w:t>Positive</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Fuji</w:t>
            </w: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etunicatum</w:t>
            </w:r>
            <w:proofErr w:type="spellEnd"/>
          </w:p>
          <w:p w:rsidR="007E60E4" w:rsidRPr="00A57540" w:rsidRDefault="007E60E4" w:rsidP="007E60E4">
            <w:pPr>
              <w:spacing w:line="240" w:lineRule="auto"/>
              <w:contextualSpacing/>
              <w:rPr>
                <w:rFonts w:cs="Times New Roman"/>
                <w:i/>
                <w:sz w:val="18"/>
                <w:szCs w:val="18"/>
              </w:rPr>
            </w:pPr>
            <w:proofErr w:type="spellStart"/>
            <w:r w:rsidRPr="00A57540">
              <w:rPr>
                <w:rFonts w:cs="Times New Roman"/>
                <w:i/>
                <w:sz w:val="18"/>
                <w:szCs w:val="18"/>
              </w:rPr>
              <w:lastRenderedPageBreak/>
              <w:t>Gigaspora</w:t>
            </w:r>
            <w:proofErr w:type="spellEnd"/>
            <w:r w:rsidRPr="00A57540">
              <w:rPr>
                <w:rFonts w:cs="Times New Roman"/>
                <w:i/>
                <w:sz w:val="18"/>
                <w:szCs w:val="18"/>
              </w:rPr>
              <w:t xml:space="preserve"> margarita</w:t>
            </w: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lastRenderedPageBreak/>
              <w:t>Total dry weight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unspecified</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8</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{"citationID":"ul9jb2527","properties":{"formattedCitation":"{\\rtf (Matsubara {\\i{}et al.}, 1996)}","plainCitation":"(Matsubara et al., 1996)"},"citationItems":[{"id":184,"uris":["http://zotero.org/users/local/d1gJDEOw/items/8JWXI5WT"],"uri":["http://zotero.org/users/local/d1gJDEOw/items/8JWXI5WT"],"itemData":{"id":184,"type":"article-journal","title":"Effect of arbuscular Mycorrhizal fungus inoculation on growth of apple (Malus ssp) seedlings","container-title":"Journal of the Japanese Society for Horticultural Science","page":"297-302","volume":"65","issue":"2","source":"Web of Science","abstract":"The means of enhancing the growth of seedlings of apples, Malus pumila Mill. var. domestica Schneid. (cv. McIntosh, American Summer Pearmain, Jonathan, Golden Delicious, Starking Delicious, Fuji, Mutsu and Red Gold) and Malus sieboldii Rehd., through inoculation of arbuscular mycorrhizal (AM) fungus [Glomus etunicatum (GE) and Gigaspora margarila (GM)] were investigated. Eight weeks after inoculation, AM fungus infection occurred in all combinations of apple cultivars and fungus species. The rate of AM fungus-infected portions in a whole root system were: 31.7% in 'Golden Delicious', 50.5% in 'Jonathan' in GE-inoculated plants, and 24.0% for Malus sieboldii Rehd., and 50.7% in 'Starking Delicious' in GM-inoculated ones. Plant height and dry weights of top and roots were greater in all GE-infected seedlings than in noninoculated ones. The GM-infected seedlings made larger height and weight increments than did the noninoculated ones in all seedlings except those of 'Golden Delicious' and Malus sieboldii Rehd.. In 'McIntosh' seedlings, plant growth enhancement through symbiosis clearly appeared associated with both fungi. With both fungal species, P concentrations in the top or roots were higher in infected plants than in noninoculated plants; the effect appeared more noticeably in roots than in top. Consequently, it was confirmed that GE and GM infections and their plant growth enhancement through symbiosis occurred with the seedling stage in several apple cultivars.","ISSN":"1882-3351","note":"WOS:A1996VG48900009","journalAbbreviation":"J. Jpn. Soc. Hortic. Sci.","language":"English","author":[{"family":"Matsubara","given":"Y."},{"family":"Karikomi","given":"T."},{"family":"Ikuta","given":"M."},{"family":"Hori","given":"H."},{"family":"Ishikawa","given":"S."},{"family":"Harada","given":"T."}],"issued":{"date-parts":[["1996",9]]}}}],"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(Matsubara </w:t>
            </w:r>
            <w:r w:rsidR="00954B3D" w:rsidRPr="00954B3D">
              <w:rPr>
                <w:rFonts w:cs="Times New Roman"/>
                <w:i/>
                <w:iCs/>
                <w:sz w:val="18"/>
                <w:szCs w:val="24"/>
              </w:rPr>
              <w:t>et al.</w:t>
            </w:r>
            <w:r w:rsidR="00954B3D" w:rsidRPr="00954B3D">
              <w:rPr>
                <w:rFonts w:cs="Times New Roman"/>
                <w:sz w:val="18"/>
                <w:szCs w:val="24"/>
              </w:rPr>
              <w:t>, 1996)</w:t>
            </w:r>
            <w:r>
              <w:rPr>
                <w:rFonts w:cs="Times New Roman"/>
                <w:sz w:val="18"/>
                <w:szCs w:val="18"/>
              </w:rPr>
              <w:fldChar w:fldCharType="end"/>
            </w:r>
          </w:p>
        </w:tc>
      </w:tr>
      <w:tr w:rsidR="007E60E4" w:rsidRPr="00AA22EE" w:rsidTr="008C190E">
        <w:trPr>
          <w:cantSplit/>
        </w:trPr>
        <w:tc>
          <w:tcPr>
            <w:tcW w:w="1134" w:type="dxa"/>
            <w:tcBorders>
              <w:top w:val="nil"/>
              <w:left w:val="nil"/>
              <w:bottom w:val="nil"/>
              <w:right w:val="nil"/>
            </w:tcBorders>
          </w:tcPr>
          <w:p w:rsidR="007E60E4" w:rsidRPr="00A57540" w:rsidRDefault="007E60E4" w:rsidP="007E60E4">
            <w:pPr>
              <w:tabs>
                <w:tab w:val="left" w:pos="1273"/>
              </w:tabs>
              <w:spacing w:line="240" w:lineRule="auto"/>
              <w:contextualSpacing/>
              <w:rPr>
                <w:rFonts w:cs="Times New Roman"/>
                <w:sz w:val="18"/>
                <w:szCs w:val="18"/>
              </w:rPr>
            </w:pPr>
            <w:r w:rsidRPr="00A57540">
              <w:rPr>
                <w:rFonts w:cs="Times New Roman"/>
                <w:sz w:val="18"/>
                <w:szCs w:val="18"/>
              </w:rPr>
              <w:t>Positive</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Mutsu</w:t>
            </w:r>
          </w:p>
        </w:tc>
        <w:tc>
          <w:tcPr>
            <w:tcW w:w="2410" w:type="dxa"/>
            <w:tcBorders>
              <w:top w:val="nil"/>
              <w:left w:val="nil"/>
              <w:bottom w:val="nil"/>
              <w:right w:val="nil"/>
            </w:tcBorders>
          </w:tcPr>
          <w:p w:rsidR="007E60E4" w:rsidRPr="00A57540" w:rsidRDefault="00F67658" w:rsidP="00F67658">
            <w:pPr>
              <w:spacing w:line="240" w:lineRule="auto"/>
              <w:contextualSpacing/>
              <w:jc w:val="left"/>
              <w:rPr>
                <w:rFonts w:cs="Times New Roman"/>
                <w:i/>
                <w:sz w:val="18"/>
                <w:szCs w:val="18"/>
              </w:rPr>
            </w:pPr>
            <w:r>
              <w:rPr>
                <w:rFonts w:cs="Times New Roman"/>
                <w:i/>
                <w:sz w:val="18"/>
                <w:szCs w:val="18"/>
              </w:rPr>
              <w:t xml:space="preserve">Glomus </w:t>
            </w:r>
            <w:proofErr w:type="spellStart"/>
            <w:r w:rsidR="007E60E4" w:rsidRPr="00A57540">
              <w:rPr>
                <w:rFonts w:cs="Times New Roman"/>
                <w:i/>
                <w:sz w:val="18"/>
                <w:szCs w:val="18"/>
              </w:rPr>
              <w:t>etunicatum</w:t>
            </w:r>
            <w:proofErr w:type="spellEnd"/>
            <w:r>
              <w:rPr>
                <w:rFonts w:cs="Times New Roman"/>
                <w:i/>
                <w:sz w:val="18"/>
                <w:szCs w:val="18"/>
              </w:rPr>
              <w:br/>
            </w:r>
            <w:proofErr w:type="spellStart"/>
            <w:r w:rsidR="007E60E4" w:rsidRPr="00A57540">
              <w:rPr>
                <w:rFonts w:cs="Times New Roman"/>
                <w:i/>
                <w:sz w:val="18"/>
                <w:szCs w:val="18"/>
              </w:rPr>
              <w:t>Gigaspora</w:t>
            </w:r>
            <w:proofErr w:type="spellEnd"/>
            <w:r w:rsidR="007E60E4" w:rsidRPr="00A57540">
              <w:rPr>
                <w:rFonts w:cs="Times New Roman"/>
                <w:i/>
                <w:sz w:val="18"/>
                <w:szCs w:val="18"/>
              </w:rPr>
              <w:t xml:space="preserve"> margarita</w:t>
            </w: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Total dry weight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unspecified</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8</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{"citationID":"247kht4dku","properties":{"formattedCitation":"{\\rtf (Matsubara {\\i{}et al.}, 1996)}","plainCitation":"(Matsubara et al., 1996)"},"citationItems":[{"id":184,"uris":["http://zotero.org/users/local/d1gJDEOw/items/8JWXI5WT"],"uri":["http://zotero.org/users/local/d1gJDEOw/items/8JWXI5WT"],"itemData":{"id":184,"type":"article-journal","title":"Effect of arbuscular Mycorrhizal fungus inoculation on growth of apple (Malus ssp) seedlings","container-title":"Journal of the Japanese Society for Horticultural Science","page":"297-302","volume":"65","issue":"2","source":"Web of Science","abstract":"The means of enhancing the growth of seedlings of apples, Malus pumila Mill. var. domestica Schneid. (cv. McIntosh, American Summer Pearmain, Jonathan, Golden Delicious, Starking Delicious, Fuji, Mutsu and Red Gold) and Malus sieboldii Rehd., through inoculation of arbuscular mycorrhizal (AM) fungus [Glomus etunicatum (GE) and Gigaspora margarila (GM)] were investigated. Eight weeks after inoculation, AM fungus infection occurred in all combinations of apple cultivars and fungus species. The rate of AM fungus-infected portions in a whole root system were: 31.7% in 'Golden Delicious', 50.5% in 'Jonathan' in GE-inoculated plants, and 24.0% for Malus sieboldii Rehd., and 50.7% in 'Starking Delicious' in GM-inoculated ones. Plant height and dry weights of top and roots were greater in all GE-infected seedlings than in noninoculated ones. The GM-infected seedlings made larger height and weight increments than did the noninoculated ones in all seedlings except those of 'Golden Delicious' and Malus sieboldii Rehd.. In 'McIntosh' seedlings, plant growth enhancement through symbiosis clearly appeared associated with both fungi. With both fungal species, P concentrations in the top or roots were higher in infected plants than in noninoculated plants; the effect appeared more noticeably in roots than in top. Consequently, it was confirmed that GE and GM infections and their plant growth enhancement through symbiosis occurred with the seedling stage in several apple cultivars.","ISSN":"1882-3351","note":"WOS:A1996VG48900009","journalAbbreviation":"J. Jpn. Soc. Hortic. Sci.","language":"English","author":[{"family":"Matsubara","given":"Y."},{"family":"Karikomi","given":"T."},{"family":"Ikuta","given":"M."},{"family":"Hori","given":"H."},{"family":"Ishikawa","given":"S."},{"family":"Harada","given":"T."}],"issued":{"date-parts":[["1996",9]]}}}],"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(Matsubara </w:t>
            </w:r>
            <w:r w:rsidR="00954B3D" w:rsidRPr="00954B3D">
              <w:rPr>
                <w:rFonts w:cs="Times New Roman"/>
                <w:i/>
                <w:iCs/>
                <w:sz w:val="18"/>
                <w:szCs w:val="24"/>
              </w:rPr>
              <w:t>et al.</w:t>
            </w:r>
            <w:r w:rsidR="00954B3D" w:rsidRPr="00954B3D">
              <w:rPr>
                <w:rFonts w:cs="Times New Roman"/>
                <w:sz w:val="18"/>
                <w:szCs w:val="24"/>
              </w:rPr>
              <w:t>, 1996)</w:t>
            </w:r>
            <w:r>
              <w:rPr>
                <w:rFonts w:cs="Times New Roman"/>
                <w:sz w:val="18"/>
                <w:szCs w:val="18"/>
              </w:rPr>
              <w:fldChar w:fldCharType="end"/>
            </w:r>
          </w:p>
        </w:tc>
      </w:tr>
      <w:tr w:rsidR="007E60E4" w:rsidRPr="00AA22EE" w:rsidTr="007E60E4">
        <w:tc>
          <w:tcPr>
            <w:tcW w:w="1134" w:type="dxa"/>
            <w:tcBorders>
              <w:top w:val="nil"/>
              <w:left w:val="nil"/>
              <w:bottom w:val="nil"/>
              <w:right w:val="nil"/>
            </w:tcBorders>
          </w:tcPr>
          <w:p w:rsidR="007E60E4" w:rsidRPr="00A57540" w:rsidRDefault="007E60E4" w:rsidP="007E60E4">
            <w:pPr>
              <w:tabs>
                <w:tab w:val="left" w:pos="1273"/>
              </w:tabs>
              <w:spacing w:line="240" w:lineRule="auto"/>
              <w:contextualSpacing/>
              <w:rPr>
                <w:rFonts w:cs="Times New Roman"/>
                <w:sz w:val="18"/>
                <w:szCs w:val="18"/>
              </w:rPr>
            </w:pPr>
            <w:r w:rsidRPr="00A57540">
              <w:rPr>
                <w:rFonts w:cs="Times New Roman"/>
                <w:sz w:val="18"/>
                <w:szCs w:val="18"/>
              </w:rPr>
              <w:t>Positive</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Red Gold</w:t>
            </w: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etunicatum</w:t>
            </w:r>
            <w:proofErr w:type="spellEnd"/>
          </w:p>
          <w:p w:rsidR="007E60E4" w:rsidRPr="00A57540" w:rsidRDefault="007E60E4" w:rsidP="007E60E4">
            <w:pPr>
              <w:spacing w:line="240" w:lineRule="auto"/>
              <w:contextualSpacing/>
              <w:rPr>
                <w:rFonts w:cs="Times New Roman"/>
                <w:i/>
                <w:sz w:val="18"/>
                <w:szCs w:val="18"/>
              </w:rPr>
            </w:pPr>
            <w:proofErr w:type="spellStart"/>
            <w:r w:rsidRPr="00A57540">
              <w:rPr>
                <w:rFonts w:cs="Times New Roman"/>
                <w:i/>
                <w:sz w:val="18"/>
                <w:szCs w:val="18"/>
              </w:rPr>
              <w:t>Gigaspora</w:t>
            </w:r>
            <w:proofErr w:type="spellEnd"/>
            <w:r w:rsidRPr="00A57540">
              <w:rPr>
                <w:rFonts w:cs="Times New Roman"/>
                <w:i/>
                <w:sz w:val="18"/>
                <w:szCs w:val="18"/>
              </w:rPr>
              <w:t xml:space="preserve"> margarita</w:t>
            </w: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Total dry weight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unspecified</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8</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{"citationID":"u3r7o1b45","properties":{"formattedCitation":"{\\rtf (Matsubara {\\i{}et al.}, 1996)}","plainCitation":"(Matsubara et al., 1996)"},"citationItems":[{"id":184,"uris":["http://zotero.org/users/local/d1gJDEOw/items/8JWXI5WT"],"uri":["http://zotero.org/users/local/d1gJDEOw/items/8JWXI5WT"],"itemData":{"id":184,"type":"article-journal","title":"Effect of arbuscular Mycorrhizal fungus inoculation on growth of apple (Malus ssp) seedlings","container-title":"Journal of the Japanese Society for Horticultural Science","page":"297-302","volume":"65","issue":"2","source":"Web of Science","abstract":"The means of enhancing the growth of seedlings of apples, Malus pumila Mill. var. domestica Schneid. (cv. McIntosh, American Summer Pearmain, Jonathan, Golden Delicious, Starking Delicious, Fuji, Mutsu and Red Gold) and Malus sieboldii Rehd., through inoculation of arbuscular mycorrhizal (AM) fungus [Glomus etunicatum (GE) and Gigaspora margarila (GM)] were investigated. Eight weeks after inoculation, AM fungus infection occurred in all combinations of apple cultivars and fungus species. The rate of AM fungus-infected portions in a whole root system were: 31.7% in 'Golden Delicious', 50.5% in 'Jonathan' in GE-inoculated plants, and 24.0% for Malus sieboldii Rehd., and 50.7% in 'Starking Delicious' in GM-inoculated ones. Plant height and dry weights of top and roots were greater in all GE-infected seedlings than in noninoculated ones. The GM-infected seedlings made larger height and weight increments than did the noninoculated ones in all seedlings except those of 'Golden Delicious' and Malus sieboldii Rehd.. In 'McIntosh' seedlings, plant growth enhancement through symbiosis clearly appeared associated with both fungi. With both fungal species, P concentrations in the top or roots were higher in infected plants than in noninoculated plants; the effect appeared more noticeably in roots than in top. Consequently, it was confirmed that GE and GM infections and their plant growth enhancement through symbiosis occurred with the seedling stage in several apple cultivars.","ISSN":"1882-3351","note":"WOS:A1996VG48900009","journalAbbreviation":"J. Jpn. Soc. Hortic. Sci.","language":"English","author":[{"family":"Matsubara","given":"Y."},{"family":"Karikomi","given":"T."},{"family":"Ikuta","given":"M."},{"family":"Hori","given":"H."},{"family":"Ishikawa","given":"S."},{"family":"Harada","given":"T."}],"issued":{"date-parts":[["1996",9]]}}}],"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(Matsubara </w:t>
            </w:r>
            <w:r w:rsidR="00954B3D" w:rsidRPr="00954B3D">
              <w:rPr>
                <w:rFonts w:cs="Times New Roman"/>
                <w:i/>
                <w:iCs/>
                <w:sz w:val="18"/>
                <w:szCs w:val="24"/>
              </w:rPr>
              <w:t>et al.</w:t>
            </w:r>
            <w:r w:rsidR="00954B3D" w:rsidRPr="00954B3D">
              <w:rPr>
                <w:rFonts w:cs="Times New Roman"/>
                <w:sz w:val="18"/>
                <w:szCs w:val="24"/>
              </w:rPr>
              <w:t>, 1996)</w:t>
            </w:r>
            <w:r>
              <w:rPr>
                <w:rFonts w:cs="Times New Roman"/>
                <w:sz w:val="18"/>
                <w:szCs w:val="18"/>
              </w:rPr>
              <w:fldChar w:fldCharType="end"/>
            </w:r>
          </w:p>
        </w:tc>
      </w:tr>
      <w:tr w:rsidR="007E60E4" w:rsidRPr="00AA22EE" w:rsidTr="007E60E4">
        <w:trPr>
          <w:trHeight w:val="392"/>
        </w:trPr>
        <w:tc>
          <w:tcPr>
            <w:tcW w:w="1134" w:type="dxa"/>
            <w:tcBorders>
              <w:top w:val="nil"/>
              <w:left w:val="nil"/>
              <w:bottom w:val="nil"/>
              <w:right w:val="nil"/>
            </w:tcBorders>
          </w:tcPr>
          <w:p w:rsidR="007E60E4" w:rsidRPr="00A57540" w:rsidRDefault="007E60E4" w:rsidP="007E60E4">
            <w:pPr>
              <w:tabs>
                <w:tab w:val="left" w:pos="1273"/>
              </w:tabs>
              <w:spacing w:line="240" w:lineRule="auto"/>
              <w:contextualSpacing/>
              <w:rPr>
                <w:rFonts w:cs="Times New Roman"/>
                <w:sz w:val="18"/>
                <w:szCs w:val="18"/>
              </w:rPr>
            </w:pPr>
            <w:r w:rsidRPr="00A57540">
              <w:rPr>
                <w:rFonts w:cs="Times New Roman"/>
                <w:sz w:val="18"/>
                <w:szCs w:val="18"/>
              </w:rPr>
              <w:t>Positive</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Unspecified</w:t>
            </w: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epigaeum</w:t>
            </w:r>
            <w:proofErr w:type="spellEnd"/>
          </w:p>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macrocarpum</w:t>
            </w:r>
            <w:proofErr w:type="spellEnd"/>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Total dry biomass</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25.2 mg kg</w:t>
            </w:r>
            <w:r w:rsidRPr="00A57540">
              <w:rPr>
                <w:rFonts w:cs="Times New Roman"/>
                <w:sz w:val="18"/>
                <w:szCs w:val="18"/>
                <w:vertAlign w:val="superscript"/>
              </w:rPr>
              <w:t>-1</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14</w:t>
            </w:r>
          </w:p>
        </w:tc>
        <w:tc>
          <w:tcPr>
            <w:tcW w:w="2263" w:type="dxa"/>
            <w:tcBorders>
              <w:top w:val="nil"/>
              <w:left w:val="nil"/>
              <w:bottom w:val="nil"/>
              <w:right w:val="nil"/>
            </w:tcBorders>
          </w:tcPr>
          <w:p w:rsidR="007E60E4" w:rsidRPr="00A57540" w:rsidRDefault="00690D05" w:rsidP="0054501B">
            <w:pPr>
              <w:spacing w:line="240" w:lineRule="auto"/>
              <w:contextualSpacing/>
              <w:rPr>
                <w:rFonts w:cs="Times New Roman"/>
                <w:sz w:val="18"/>
                <w:szCs w:val="18"/>
              </w:rPr>
            </w:pPr>
            <w:r>
              <w:rPr>
                <w:rFonts w:cs="Times New Roman"/>
                <w:sz w:val="18"/>
                <w:szCs w:val="18"/>
              </w:rPr>
              <w:fldChar w:fldCharType="begin"/>
            </w:r>
            <w:r w:rsidR="0054501B">
              <w:rPr>
                <w:rFonts w:cs="Times New Roman"/>
                <w:sz w:val="18"/>
                <w:szCs w:val="18"/>
              </w:rPr>
              <w:instrText xml:space="preserve"> ADDIN ZOTERO_ITEM CSL_CITATION {"citationID":"1i385uemra","properties":{"formattedCitation":"{\\rtf (An {\\i{}et al.}, 1993)}","plainCitation":"(An et al., 1993)"},"citationItems":[{"id":801,"uris":["http://zotero.org/users/local/d1gJDEOw/items/SJBG4RQM"],"uri":["http://zotero.org/users/local/d1gJDEOw/items/SJBG4RQM"],"itemData":{"id":801,"type":"article-journal","title":"Mycorrhizal fungi in relation to growth and mineral nutrition of apple seedlings","container-title":"Scientia Horticulturae","page":"275-285","volume":"54","issue":"4","source":"ScienceDirect","abstract":"The effects of two mycorrhizal fungi (Glomus epigaeum Daniels &amp;amp; Trappe and Glomus macrocarpum Tul. &amp;amp; Tul.) on the growth and mineral composition of shoots and roots of apple seedlings (Malus micromalus Makino) were studied. Variables were air temperature and sterilization of soil. In sterilized soil, the two species differed in their effects on seedlings grown at different temperatures. G. epigaeum was mutualistic at low and high temperature, but G. macrocarpum was ineffective at low temperature. In unsterilized soil, neither species was mutualistic at low temperature, but both increased plant growth at high temperature. In sterilized soil, mutualism by G. macrocarpum was related to colonization. Enhanced growth of seedlings was accompanied by improved uptake of immobile nutrient elements, mainly Cu, P, Zn. Apple has a high dependency on mycorrhizal fungi, and mycorrhizal isolates selected for effectiveness may be useful for producing seedlings under Chinese production conditions.","DOI":"10.1016/0304-4238(93)90106-Z","ISSN":"0304-4238","journalAbbreviation":"Scientia Horticulturae","author":[{"family":"An","given":"Z. Q."},{"family":"Shen","given":"T."},{"family":"Wang","given":"H. G."}],"issued":{"date-parts":[["1993",7]]}}}],"schema":"https://github.com/citation-style-language/schema/raw/master/csl-citation.json"} </w:instrText>
            </w:r>
            <w:r>
              <w:rPr>
                <w:rFonts w:cs="Times New Roman"/>
                <w:sz w:val="18"/>
                <w:szCs w:val="18"/>
              </w:rPr>
              <w:fldChar w:fldCharType="separate"/>
            </w:r>
            <w:r w:rsidR="0054501B" w:rsidRPr="0054501B">
              <w:rPr>
                <w:rFonts w:cs="Times New Roman"/>
                <w:sz w:val="18"/>
                <w:szCs w:val="24"/>
              </w:rPr>
              <w:t xml:space="preserve">(An </w:t>
            </w:r>
            <w:r w:rsidR="0054501B" w:rsidRPr="0054501B">
              <w:rPr>
                <w:rFonts w:cs="Times New Roman"/>
                <w:i/>
                <w:iCs/>
                <w:sz w:val="18"/>
                <w:szCs w:val="24"/>
              </w:rPr>
              <w:t>et al.</w:t>
            </w:r>
            <w:r w:rsidR="0054501B" w:rsidRPr="0054501B">
              <w:rPr>
                <w:rFonts w:cs="Times New Roman"/>
                <w:sz w:val="18"/>
                <w:szCs w:val="24"/>
              </w:rPr>
              <w:t>, 1993)</w:t>
            </w:r>
            <w:r>
              <w:rPr>
                <w:rFonts w:cs="Times New Roman"/>
                <w:sz w:val="18"/>
                <w:szCs w:val="18"/>
              </w:rPr>
              <w:fldChar w:fldCharType="end"/>
            </w:r>
          </w:p>
        </w:tc>
      </w:tr>
      <w:tr w:rsidR="007E60E4" w:rsidRPr="00AA22EE" w:rsidTr="007E60E4">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No effect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Unspecified</w:t>
            </w: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i/>
                <w:sz w:val="18"/>
                <w:szCs w:val="18"/>
              </w:rPr>
              <w:t xml:space="preserve">Glomus </w:t>
            </w:r>
            <w:proofErr w:type="spellStart"/>
            <w:r w:rsidRPr="00A57540">
              <w:rPr>
                <w:rFonts w:cs="Times New Roman"/>
                <w:i/>
                <w:sz w:val="18"/>
                <w:szCs w:val="18"/>
              </w:rPr>
              <w:t>microcarpus</w:t>
            </w:r>
            <w:proofErr w:type="spellEnd"/>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Dry shoot biomass</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8.7 mg kg</w:t>
            </w:r>
            <w:r w:rsidRPr="00A57540">
              <w:rPr>
                <w:rFonts w:cs="Times New Roman"/>
                <w:sz w:val="18"/>
                <w:szCs w:val="18"/>
                <w:vertAlign w:val="superscript"/>
              </w:rPr>
              <w:t>-1</w:t>
            </w:r>
          </w:p>
          <w:p w:rsidR="007E60E4" w:rsidRPr="00A57540" w:rsidRDefault="007E60E4" w:rsidP="007E60E4">
            <w:pPr>
              <w:spacing w:line="240" w:lineRule="auto"/>
              <w:contextualSpacing/>
              <w:rPr>
                <w:rFonts w:cs="Times New Roman"/>
                <w:sz w:val="18"/>
                <w:szCs w:val="18"/>
              </w:rPr>
            </w:pPr>
            <w:r w:rsidRPr="00A57540">
              <w:rPr>
                <w:rFonts w:cs="Times New Roman"/>
                <w:sz w:val="18"/>
                <w:szCs w:val="18"/>
              </w:rPr>
              <w:t>108.7 mg kg</w:t>
            </w:r>
            <w:r w:rsidRPr="00A57540">
              <w:rPr>
                <w:rFonts w:cs="Times New Roman"/>
                <w:sz w:val="18"/>
                <w:szCs w:val="18"/>
                <w:vertAlign w:val="superscript"/>
              </w:rPr>
              <w:t>-1</w:t>
            </w:r>
          </w:p>
          <w:p w:rsidR="007E60E4" w:rsidRPr="00A57540" w:rsidRDefault="007E60E4" w:rsidP="007E60E4">
            <w:pPr>
              <w:spacing w:line="240" w:lineRule="auto"/>
              <w:contextualSpacing/>
              <w:rPr>
                <w:rFonts w:cs="Times New Roman"/>
                <w:sz w:val="18"/>
                <w:szCs w:val="18"/>
              </w:rPr>
            </w:pPr>
            <w:r w:rsidRPr="00A57540">
              <w:rPr>
                <w:rFonts w:cs="Times New Roman"/>
                <w:sz w:val="18"/>
                <w:szCs w:val="18"/>
              </w:rPr>
              <w:t>208.7 mg kg</w:t>
            </w:r>
            <w:r w:rsidRPr="00A57540">
              <w:rPr>
                <w:rFonts w:cs="Times New Roman"/>
                <w:sz w:val="18"/>
                <w:szCs w:val="18"/>
                <w:vertAlign w:val="superscript"/>
              </w:rPr>
              <w:t>-1</w:t>
            </w:r>
          </w:p>
          <w:p w:rsidR="007E60E4" w:rsidRPr="00A57540" w:rsidRDefault="007E60E4" w:rsidP="007E60E4">
            <w:pPr>
              <w:spacing w:line="240" w:lineRule="auto"/>
              <w:contextualSpacing/>
              <w:rPr>
                <w:rFonts w:cs="Times New Roman"/>
                <w:sz w:val="18"/>
                <w:szCs w:val="18"/>
              </w:rPr>
            </w:pPr>
            <w:r w:rsidRPr="00A57540">
              <w:rPr>
                <w:rFonts w:cs="Times New Roman"/>
                <w:sz w:val="18"/>
                <w:szCs w:val="18"/>
              </w:rPr>
              <w:t>408.7 mg kg</w:t>
            </w:r>
            <w:r w:rsidRPr="00A57540">
              <w:rPr>
                <w:rFonts w:cs="Times New Roman"/>
                <w:sz w:val="18"/>
                <w:szCs w:val="18"/>
                <w:vertAlign w:val="superscript"/>
              </w:rPr>
              <w:t>-1</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20</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{"citationID":"1nr70l544","properties":{"formattedCitation":"{\\rtf (Covey {\\i{}et al.}, 1981)}","plainCitation":"(Covey et al., 1981)"},"citationItems":[{"id":185,"uris":["http://zotero.org/users/local/d1gJDEOw/items/94RP5SGV"],"uri":["http://zotero.org/users/local/d1gJDEOw/items/94RP5SGV"],"itemData":{"id":185,"type":"article-journal","title":"Influence of Vesicular Arbuscular Mycorrhizae on the Growth of Apple and Corn in Low-Phosphorous Soil","container-title":"Phytopathology","page":"712-715","volume":"71","issue":"7","source":"Web of Science","DOI":"10.1094/Phyto-71-712","ISSN":"0031-949X","note":"WOS:A1981LZ56700009","journalAbbreviation":"Phytopathology","language":"English","author":[{"family":"Covey","given":"Rp"},{"family":"Koch","given":"Bl"},{"family":"Larsen","given":"Hj"}],"issued":{"date-parts":[["1981"]]}}}],"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(Covey </w:t>
            </w:r>
            <w:r w:rsidR="00954B3D" w:rsidRPr="00954B3D">
              <w:rPr>
                <w:rFonts w:cs="Times New Roman"/>
                <w:i/>
                <w:iCs/>
                <w:sz w:val="18"/>
                <w:szCs w:val="24"/>
              </w:rPr>
              <w:t>et al.</w:t>
            </w:r>
            <w:r w:rsidR="00954B3D" w:rsidRPr="00954B3D">
              <w:rPr>
                <w:rFonts w:cs="Times New Roman"/>
                <w:sz w:val="18"/>
                <w:szCs w:val="24"/>
              </w:rPr>
              <w:t>, 1981)</w:t>
            </w:r>
            <w:r>
              <w:rPr>
                <w:rFonts w:cs="Times New Roman"/>
                <w:sz w:val="18"/>
                <w:szCs w:val="18"/>
              </w:rPr>
              <w:fldChar w:fldCharType="end"/>
            </w:r>
          </w:p>
        </w:tc>
      </w:tr>
      <w:tr w:rsidR="007E60E4" w:rsidRPr="00AA22EE" w:rsidTr="007E60E4">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No effect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Golden delicious</w:t>
            </w:r>
          </w:p>
          <w:p w:rsidR="007E60E4" w:rsidRPr="00A57540" w:rsidRDefault="007E60E4" w:rsidP="007E60E4">
            <w:pPr>
              <w:spacing w:line="240" w:lineRule="auto"/>
              <w:contextualSpacing/>
              <w:rPr>
                <w:rFonts w:cs="Times New Roman"/>
                <w:sz w:val="18"/>
                <w:szCs w:val="18"/>
              </w:rPr>
            </w:pP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rPr>
            </w:pPr>
            <w:proofErr w:type="spellStart"/>
            <w:r w:rsidRPr="00A57540">
              <w:rPr>
                <w:rFonts w:cs="Times New Roman"/>
                <w:i/>
                <w:sz w:val="18"/>
                <w:szCs w:val="18"/>
              </w:rPr>
              <w:t>Gigaspora</w:t>
            </w:r>
            <w:proofErr w:type="spellEnd"/>
            <w:r w:rsidRPr="00A57540">
              <w:rPr>
                <w:rFonts w:cs="Times New Roman"/>
                <w:i/>
                <w:sz w:val="18"/>
                <w:szCs w:val="18"/>
              </w:rPr>
              <w:t xml:space="preserve"> </w:t>
            </w:r>
            <w:proofErr w:type="spellStart"/>
            <w:r w:rsidRPr="00A57540">
              <w:rPr>
                <w:rFonts w:cs="Times New Roman"/>
                <w:i/>
                <w:sz w:val="18"/>
                <w:szCs w:val="18"/>
              </w:rPr>
              <w:t>calospora</w:t>
            </w:r>
            <w:proofErr w:type="spellEnd"/>
          </w:p>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occulutum</w:t>
            </w:r>
            <w:proofErr w:type="spellEnd"/>
            <w:r w:rsidRPr="00A57540">
              <w:rPr>
                <w:rFonts w:cs="Times New Roman"/>
                <w:i/>
                <w:sz w:val="18"/>
                <w:szCs w:val="18"/>
              </w:rPr>
              <w:t xml:space="preserve"> </w:t>
            </w:r>
            <w:r w:rsidRPr="00A57540">
              <w:rPr>
                <w:rFonts w:cs="Times New Roman"/>
                <w:i/>
                <w:sz w:val="18"/>
                <w:szCs w:val="18"/>
                <w:vertAlign w:val="superscript"/>
              </w:rPr>
              <w:t>2</w:t>
            </w: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Tree height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 xml:space="preserve"> 30 mg kg</w:t>
            </w:r>
            <w:r w:rsidRPr="00A57540">
              <w:rPr>
                <w:rFonts w:cs="Times New Roman"/>
                <w:sz w:val="18"/>
                <w:szCs w:val="18"/>
                <w:vertAlign w:val="superscript"/>
              </w:rPr>
              <w:t>-1</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11</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{"citationID":"mg0dphnj3","properties":{"formattedCitation":"{\\rtf (Miller {\\i{}et al.}, 1985a)}","plainCitation":"(Miller et al., 1985a)"},"citationItems":[{"id":169,"uris":["http://zotero.org/users/local/d1gJDEOw/items/7U7J7NHE"],"uri":["http://zotero.org/users/local/d1gJDEOw/items/7U7J7NHE"],"itemData":{"id":169,"type":"article-journal","title":"Mycorrhizal Fungi at 18-Apple Rootstock Plantings in the United-States","container-title":"New Phytologist","page":"379-391","volume":"100","issue":"3","source":"Web of Science","DOI":"10.1111/j.1469-8137.1985.tb02787.x","ISSN":"0028-646X","note":"WOS:A1985AND4800010","journalAbbreviation":"New Phytol.","language":"English","author":[{"family":"Miller","given":"Dd"},{"family":"Domoto","given":"Pa"},{"family":"Walker","given":"C."}],"issued":{"date-parts":[["1985"]]}}}],"schema":"https://github.com/citation-style-language/schema/raw/master/csl-citation.json"}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(Miller </w:t>
            </w:r>
            <w:r w:rsidR="00954B3D" w:rsidRPr="00954B3D">
              <w:rPr>
                <w:rFonts w:cs="Times New Roman"/>
                <w:i/>
                <w:iCs/>
                <w:sz w:val="18"/>
                <w:szCs w:val="24"/>
              </w:rPr>
              <w:t>et al.</w:t>
            </w:r>
            <w:r w:rsidR="00954B3D" w:rsidRPr="00954B3D">
              <w:rPr>
                <w:rFonts w:cs="Times New Roman"/>
                <w:sz w:val="18"/>
                <w:szCs w:val="24"/>
              </w:rPr>
              <w:t>, 1985a)</w:t>
            </w:r>
            <w:r>
              <w:rPr>
                <w:rFonts w:cs="Times New Roman"/>
                <w:sz w:val="18"/>
                <w:szCs w:val="18"/>
              </w:rPr>
              <w:fldChar w:fldCharType="end"/>
            </w:r>
          </w:p>
        </w:tc>
      </w:tr>
      <w:tr w:rsidR="007E60E4" w:rsidRPr="00AA22EE" w:rsidTr="007E60E4">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No effect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Golden delicious</w:t>
            </w:r>
          </w:p>
          <w:p w:rsidR="007E60E4" w:rsidRPr="00A57540" w:rsidRDefault="007E60E4" w:rsidP="007E60E4">
            <w:pPr>
              <w:spacing w:line="240" w:lineRule="auto"/>
              <w:contextualSpacing/>
              <w:rPr>
                <w:rFonts w:cs="Times New Roman"/>
                <w:sz w:val="18"/>
                <w:szCs w:val="18"/>
              </w:rPr>
            </w:pP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lang w:val="pt-PT"/>
              </w:rPr>
            </w:pPr>
            <w:r w:rsidRPr="00A57540">
              <w:rPr>
                <w:rFonts w:cs="Times New Roman"/>
                <w:i/>
                <w:sz w:val="18"/>
                <w:szCs w:val="18"/>
                <w:lang w:val="pt-PT"/>
              </w:rPr>
              <w:t>Glomus bitunicatum</w:t>
            </w:r>
          </w:p>
          <w:p w:rsidR="007E60E4" w:rsidRPr="00A57540" w:rsidRDefault="007E60E4" w:rsidP="007E60E4">
            <w:pPr>
              <w:spacing w:line="240" w:lineRule="auto"/>
              <w:contextualSpacing/>
              <w:rPr>
                <w:rFonts w:cs="Times New Roman"/>
                <w:i/>
                <w:sz w:val="18"/>
                <w:szCs w:val="18"/>
                <w:lang w:val="pt-PT"/>
              </w:rPr>
            </w:pPr>
            <w:r w:rsidRPr="00A57540">
              <w:rPr>
                <w:rFonts w:cs="Times New Roman"/>
                <w:i/>
                <w:sz w:val="18"/>
                <w:szCs w:val="18"/>
                <w:lang w:val="pt-PT"/>
              </w:rPr>
              <w:t>Gigaspora calospora</w:t>
            </w:r>
          </w:p>
          <w:p w:rsidR="007E60E4" w:rsidRPr="00A57540" w:rsidRDefault="007E60E4" w:rsidP="007E60E4">
            <w:pPr>
              <w:spacing w:line="240" w:lineRule="auto"/>
              <w:contextualSpacing/>
              <w:rPr>
                <w:rFonts w:cs="Times New Roman"/>
                <w:i/>
                <w:sz w:val="18"/>
                <w:szCs w:val="18"/>
                <w:lang w:val="pt-PT"/>
              </w:rPr>
            </w:pPr>
            <w:r w:rsidRPr="00A57540">
              <w:rPr>
                <w:rFonts w:cs="Times New Roman"/>
                <w:i/>
                <w:sz w:val="18"/>
                <w:szCs w:val="18"/>
                <w:lang w:val="pt-PT"/>
              </w:rPr>
              <w:t xml:space="preserve">Glomus maculatum </w:t>
            </w:r>
          </w:p>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occulutum</w:t>
            </w:r>
            <w:proofErr w:type="spellEnd"/>
            <w:r w:rsidRPr="00A57540">
              <w:rPr>
                <w:rFonts w:cs="Times New Roman"/>
                <w:i/>
                <w:sz w:val="18"/>
                <w:szCs w:val="18"/>
              </w:rPr>
              <w:t xml:space="preserve"> </w:t>
            </w:r>
            <w:r w:rsidRPr="00A57540">
              <w:rPr>
                <w:rFonts w:cs="Times New Roman"/>
                <w:i/>
                <w:sz w:val="18"/>
                <w:szCs w:val="18"/>
                <w:vertAlign w:val="superscript"/>
              </w:rPr>
              <w:t>2</w:t>
            </w: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Total dry biomass</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 xml:space="preserve"> 30 mg kg</w:t>
            </w:r>
            <w:r w:rsidRPr="00A57540">
              <w:rPr>
                <w:rFonts w:cs="Times New Roman"/>
                <w:sz w:val="18"/>
                <w:szCs w:val="18"/>
                <w:vertAlign w:val="superscript"/>
              </w:rPr>
              <w:t>-1</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11</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{"citationID":"2atdg2vckb","properties":{"formattedCitation":"{\\rtf (Miller {\\i{}et al.}, 1985a)}","plainCitation":"(Miller et al., 1985a)"},"citationItems":[{"id":169,"uris":["http://zotero.org/users/local/d1gJDEOw/items/7U7J7NHE"],"uri":["http://zotero.org/users/local/d1gJDEOw/items/7U7J7NHE"],"itemData":{"id":169,"type":"article-journal","title":"Mycorrhizal Fungi at 18-Apple Rootstock Plantings in the United-States","container-title":"New Phytologist","page":"379-391","volume":"100","issue":"3","source":"Web of Science","DOI":"10.1111/j.1469-8137.1985.tb02787.x","ISSN":"0028-646X","note":"WOS:A1985AND4800010","journalAbbreviation":"New Phytol.","language":"English","author":[{"family":"Miller","given":"Dd"},{"family":"Domoto","given":"Pa"},{"family":"Walker","given":"C."}],"issued":{"date-parts":[["1985"]]}}}],"schema":"https://github.com/citation-style-language/schema/raw/master/csl-citation.json"}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(Miller </w:t>
            </w:r>
            <w:r w:rsidR="00954B3D" w:rsidRPr="00954B3D">
              <w:rPr>
                <w:rFonts w:cs="Times New Roman"/>
                <w:i/>
                <w:iCs/>
                <w:sz w:val="18"/>
                <w:szCs w:val="24"/>
              </w:rPr>
              <w:t>et al.</w:t>
            </w:r>
            <w:r w:rsidR="00954B3D" w:rsidRPr="00954B3D">
              <w:rPr>
                <w:rFonts w:cs="Times New Roman"/>
                <w:sz w:val="18"/>
                <w:szCs w:val="24"/>
              </w:rPr>
              <w:t>, 1985a)</w:t>
            </w:r>
            <w:r>
              <w:rPr>
                <w:rFonts w:cs="Times New Roman"/>
                <w:sz w:val="18"/>
                <w:szCs w:val="18"/>
              </w:rPr>
              <w:fldChar w:fldCharType="end"/>
            </w:r>
          </w:p>
        </w:tc>
      </w:tr>
      <w:tr w:rsidR="007E60E4" w:rsidRPr="00AA22EE" w:rsidTr="007E60E4">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No effect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Golden delicious</w:t>
            </w:r>
          </w:p>
          <w:p w:rsidR="007E60E4" w:rsidRPr="00A57540" w:rsidRDefault="007E60E4" w:rsidP="007E60E4">
            <w:pPr>
              <w:spacing w:line="240" w:lineRule="auto"/>
              <w:contextualSpacing/>
              <w:rPr>
                <w:rFonts w:cs="Times New Roman"/>
                <w:sz w:val="18"/>
                <w:szCs w:val="18"/>
              </w:rPr>
            </w:pP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lang w:val="pt-PT"/>
              </w:rPr>
            </w:pPr>
            <w:r w:rsidRPr="00A57540">
              <w:rPr>
                <w:rFonts w:cs="Times New Roman"/>
                <w:i/>
                <w:sz w:val="18"/>
                <w:szCs w:val="18"/>
                <w:lang w:val="pt-PT"/>
              </w:rPr>
              <w:t>Glomus bitunicatum</w:t>
            </w:r>
          </w:p>
          <w:p w:rsidR="007E60E4" w:rsidRPr="00A57540" w:rsidRDefault="007E60E4" w:rsidP="007E60E4">
            <w:pPr>
              <w:spacing w:line="240" w:lineRule="auto"/>
              <w:contextualSpacing/>
              <w:rPr>
                <w:rFonts w:cs="Times New Roman"/>
                <w:i/>
                <w:sz w:val="18"/>
                <w:szCs w:val="18"/>
                <w:lang w:val="pt-PT"/>
              </w:rPr>
            </w:pPr>
            <w:r w:rsidRPr="00A57540">
              <w:rPr>
                <w:rFonts w:cs="Times New Roman"/>
                <w:i/>
                <w:sz w:val="18"/>
                <w:szCs w:val="18"/>
                <w:lang w:val="pt-PT"/>
              </w:rPr>
              <w:t>Gigaspora calospora</w:t>
            </w:r>
          </w:p>
          <w:p w:rsidR="007E60E4" w:rsidRPr="00A57540" w:rsidRDefault="007E60E4" w:rsidP="007E60E4">
            <w:pPr>
              <w:spacing w:line="240" w:lineRule="auto"/>
              <w:contextualSpacing/>
              <w:rPr>
                <w:rFonts w:cs="Times New Roman"/>
                <w:i/>
                <w:sz w:val="18"/>
                <w:szCs w:val="18"/>
                <w:lang w:val="pt-PT"/>
              </w:rPr>
            </w:pPr>
            <w:r w:rsidRPr="00A57540">
              <w:rPr>
                <w:rFonts w:cs="Times New Roman"/>
                <w:i/>
                <w:sz w:val="18"/>
                <w:szCs w:val="18"/>
                <w:lang w:val="pt-PT"/>
              </w:rPr>
              <w:t>Glomus maculatum</w:t>
            </w:r>
          </w:p>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occulutum</w:t>
            </w:r>
            <w:proofErr w:type="spellEnd"/>
            <w:r w:rsidRPr="00A57540">
              <w:rPr>
                <w:rFonts w:cs="Times New Roman"/>
                <w:i/>
                <w:sz w:val="18"/>
                <w:szCs w:val="18"/>
              </w:rPr>
              <w:t xml:space="preserve"> </w:t>
            </w:r>
            <w:r w:rsidRPr="00A57540">
              <w:rPr>
                <w:rFonts w:cs="Times New Roman"/>
                <w:i/>
                <w:sz w:val="18"/>
                <w:szCs w:val="18"/>
                <w:vertAlign w:val="superscript"/>
              </w:rPr>
              <w:t>2</w:t>
            </w: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Stem diameter</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30 mg kg</w:t>
            </w:r>
            <w:r w:rsidRPr="00A57540">
              <w:rPr>
                <w:rFonts w:cs="Times New Roman"/>
                <w:sz w:val="18"/>
                <w:szCs w:val="18"/>
                <w:vertAlign w:val="superscript"/>
              </w:rPr>
              <w:t>-1</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11</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{"citationID":"3b66jiacv","properties":{"formattedCitation":"{\\rtf (Miller {\\i{}et al.}, 1985a)}","plainCitation":"(Miller et al., 1985a)"},"citationItems":[{"id":169,"uris":["http://zotero.org/users/local/d1gJDEOw/items/7U7J7NHE"],"uri":["http://zotero.org/users/local/d1gJDEOw/items/7U7J7NHE"],"itemData":{"id":169,"type":"article-journal","title":"Mycorrhizal Fungi at 18-Apple Rootstock Plantings in the United-States","container-title":"New Phytologist","page":"379-391","volume":"100","issue":"3","source":"Web of Science","DOI":"10.1111/j.1469-8137.1985.tb02787.x","ISSN":"0028-646X","note":"WOS:A1985AND4800010","journalAbbreviation":"New Phytol.","language":"English","author":[{"family":"Miller","given":"Dd"},{"family":"Domoto","given":"Pa"},{"family":"Walker","given":"C."}],"issued":{"date-parts":[["1985"]]}}}],"schema":"https://github.com/citation-style-language/schema/raw/master/csl-citation.json"}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(Miller </w:t>
            </w:r>
            <w:r w:rsidR="00954B3D" w:rsidRPr="00954B3D">
              <w:rPr>
                <w:rFonts w:cs="Times New Roman"/>
                <w:i/>
                <w:iCs/>
                <w:sz w:val="18"/>
                <w:szCs w:val="24"/>
              </w:rPr>
              <w:t>et al.</w:t>
            </w:r>
            <w:r w:rsidR="00954B3D" w:rsidRPr="00954B3D">
              <w:rPr>
                <w:rFonts w:cs="Times New Roman"/>
                <w:sz w:val="18"/>
                <w:szCs w:val="24"/>
              </w:rPr>
              <w:t>, 1985a)</w:t>
            </w:r>
            <w:r>
              <w:rPr>
                <w:rFonts w:cs="Times New Roman"/>
                <w:sz w:val="18"/>
                <w:szCs w:val="18"/>
              </w:rPr>
              <w:fldChar w:fldCharType="end"/>
            </w:r>
          </w:p>
        </w:tc>
      </w:tr>
      <w:tr w:rsidR="007E60E4" w:rsidRPr="00AA22EE" w:rsidTr="007E60E4">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No effect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Golden delicious</w:t>
            </w:r>
          </w:p>
          <w:p w:rsidR="007E60E4" w:rsidRPr="00A57540" w:rsidRDefault="007E60E4" w:rsidP="007E60E4">
            <w:pPr>
              <w:spacing w:line="240" w:lineRule="auto"/>
              <w:contextualSpacing/>
              <w:rPr>
                <w:rFonts w:cs="Times New Roman"/>
                <w:sz w:val="18"/>
                <w:szCs w:val="18"/>
              </w:rPr>
            </w:pP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lang w:val="pt-PT"/>
              </w:rPr>
            </w:pPr>
            <w:r w:rsidRPr="00A57540">
              <w:rPr>
                <w:rFonts w:cs="Times New Roman"/>
                <w:i/>
                <w:sz w:val="18"/>
                <w:szCs w:val="18"/>
                <w:lang w:val="pt-PT"/>
              </w:rPr>
              <w:t>Glomus bitunicatum</w:t>
            </w:r>
          </w:p>
          <w:p w:rsidR="007E60E4" w:rsidRPr="00A57540" w:rsidRDefault="007E60E4" w:rsidP="007E60E4">
            <w:pPr>
              <w:spacing w:line="240" w:lineRule="auto"/>
              <w:contextualSpacing/>
              <w:rPr>
                <w:rFonts w:cs="Times New Roman"/>
                <w:i/>
                <w:sz w:val="18"/>
                <w:szCs w:val="18"/>
                <w:lang w:val="pt-PT"/>
              </w:rPr>
            </w:pPr>
            <w:r w:rsidRPr="00A57540">
              <w:rPr>
                <w:rFonts w:cs="Times New Roman"/>
                <w:i/>
                <w:sz w:val="18"/>
                <w:szCs w:val="18"/>
                <w:lang w:val="pt-PT"/>
              </w:rPr>
              <w:t>Gigaspora calospora</w:t>
            </w:r>
          </w:p>
          <w:p w:rsidR="007E60E4" w:rsidRPr="00A57540" w:rsidRDefault="007E60E4" w:rsidP="007E60E4">
            <w:pPr>
              <w:spacing w:line="240" w:lineRule="auto"/>
              <w:contextualSpacing/>
              <w:rPr>
                <w:rFonts w:cs="Times New Roman"/>
                <w:i/>
                <w:sz w:val="18"/>
                <w:szCs w:val="18"/>
                <w:lang w:val="pt-PT"/>
              </w:rPr>
            </w:pPr>
            <w:r w:rsidRPr="00A57540">
              <w:rPr>
                <w:rFonts w:cs="Times New Roman"/>
                <w:i/>
                <w:sz w:val="18"/>
                <w:szCs w:val="18"/>
                <w:lang w:val="pt-PT"/>
              </w:rPr>
              <w:t>Glomus maculatum</w:t>
            </w:r>
          </w:p>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manihotis</w:t>
            </w:r>
            <w:proofErr w:type="spellEnd"/>
          </w:p>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mossea</w:t>
            </w:r>
            <w:proofErr w:type="spellEnd"/>
          </w:p>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occulutum</w:t>
            </w:r>
            <w:proofErr w:type="spellEnd"/>
            <w:r w:rsidRPr="00A57540">
              <w:rPr>
                <w:rFonts w:cs="Times New Roman"/>
                <w:i/>
                <w:sz w:val="18"/>
                <w:szCs w:val="18"/>
              </w:rPr>
              <w:t xml:space="preserve"> </w:t>
            </w:r>
            <w:r w:rsidRPr="00A57540">
              <w:rPr>
                <w:rFonts w:cs="Times New Roman"/>
                <w:i/>
                <w:sz w:val="18"/>
                <w:szCs w:val="18"/>
                <w:vertAlign w:val="superscript"/>
              </w:rPr>
              <w:t>2</w:t>
            </w: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Tree height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180 mg kg</w:t>
            </w:r>
            <w:r w:rsidRPr="00A57540">
              <w:rPr>
                <w:rFonts w:cs="Times New Roman"/>
                <w:sz w:val="18"/>
                <w:szCs w:val="18"/>
                <w:vertAlign w:val="superscript"/>
              </w:rPr>
              <w:t>-1</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p w:rsidR="007E60E4" w:rsidRPr="00A57540" w:rsidRDefault="007E60E4" w:rsidP="007E60E4">
            <w:pPr>
              <w:spacing w:line="240" w:lineRule="auto"/>
              <w:contextualSpacing/>
              <w:rPr>
                <w:rFonts w:cs="Times New Roman"/>
                <w:sz w:val="18"/>
                <w:szCs w:val="18"/>
              </w:rPr>
            </w:pPr>
          </w:p>
          <w:p w:rsidR="007E60E4" w:rsidRPr="00A57540" w:rsidRDefault="007E60E4" w:rsidP="007E60E4">
            <w:pPr>
              <w:spacing w:line="240" w:lineRule="auto"/>
              <w:contextualSpacing/>
              <w:rPr>
                <w:rFonts w:cs="Times New Roman"/>
                <w:sz w:val="18"/>
                <w:szCs w:val="18"/>
              </w:rPr>
            </w:pPr>
          </w:p>
          <w:p w:rsidR="007E60E4" w:rsidRPr="00A57540" w:rsidRDefault="007E60E4" w:rsidP="007E60E4">
            <w:pPr>
              <w:spacing w:line="240" w:lineRule="auto"/>
              <w:contextualSpacing/>
              <w:rPr>
                <w:rFonts w:cs="Times New Roman"/>
                <w:sz w:val="18"/>
                <w:szCs w:val="18"/>
              </w:rPr>
            </w:pPr>
          </w:p>
          <w:p w:rsidR="007E60E4" w:rsidRPr="00A57540" w:rsidRDefault="007E60E4" w:rsidP="007E60E4">
            <w:pPr>
              <w:spacing w:line="240" w:lineRule="auto"/>
              <w:contextualSpacing/>
              <w:rPr>
                <w:rFonts w:cs="Times New Roman"/>
                <w:sz w:val="18"/>
                <w:szCs w:val="18"/>
              </w:rPr>
            </w:pP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11</w:t>
            </w:r>
          </w:p>
          <w:p w:rsidR="007E60E4" w:rsidRPr="00A57540" w:rsidRDefault="007E60E4" w:rsidP="007E60E4">
            <w:pPr>
              <w:spacing w:line="240" w:lineRule="auto"/>
              <w:contextualSpacing/>
              <w:rPr>
                <w:rFonts w:cs="Times New Roman"/>
                <w:sz w:val="18"/>
                <w:szCs w:val="18"/>
              </w:rPr>
            </w:pPr>
          </w:p>
          <w:p w:rsidR="007E60E4" w:rsidRPr="00A57540" w:rsidRDefault="007E60E4" w:rsidP="007E60E4">
            <w:pPr>
              <w:spacing w:line="240" w:lineRule="auto"/>
              <w:contextualSpacing/>
              <w:rPr>
                <w:rFonts w:cs="Times New Roman"/>
                <w:sz w:val="18"/>
                <w:szCs w:val="18"/>
              </w:rPr>
            </w:pPr>
          </w:p>
          <w:p w:rsidR="007E60E4" w:rsidRPr="00A57540" w:rsidRDefault="007E60E4" w:rsidP="007E60E4">
            <w:pPr>
              <w:spacing w:line="240" w:lineRule="auto"/>
              <w:contextualSpacing/>
              <w:rPr>
                <w:rFonts w:cs="Times New Roman"/>
                <w:sz w:val="18"/>
                <w:szCs w:val="18"/>
              </w:rPr>
            </w:pPr>
          </w:p>
          <w:p w:rsidR="007E60E4" w:rsidRPr="00A57540" w:rsidRDefault="007E60E4" w:rsidP="007E60E4">
            <w:pPr>
              <w:spacing w:line="240" w:lineRule="auto"/>
              <w:contextualSpacing/>
              <w:rPr>
                <w:rFonts w:cs="Times New Roman"/>
                <w:sz w:val="18"/>
                <w:szCs w:val="18"/>
              </w:rPr>
            </w:pPr>
          </w:p>
          <w:p w:rsidR="007E60E4" w:rsidRPr="00A57540" w:rsidRDefault="007E60E4" w:rsidP="007E60E4">
            <w:pPr>
              <w:spacing w:line="240" w:lineRule="auto"/>
              <w:contextualSpacing/>
              <w:rPr>
                <w:rFonts w:cs="Times New Roman"/>
                <w:sz w:val="18"/>
                <w:szCs w:val="18"/>
              </w:rPr>
            </w:pP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{"citationID":"48v7i01qj","properties":{"formattedCitation":"{\\rtf (Miller {\\i{}et al.}, 1985a)}","plainCitation":"(Miller et al., 1985a)"},"citationItems":[{"id":169,"uris":["http://zotero.org/users/local/d1gJDEOw/items/7U7J7NHE"],"uri":["http://zotero.org/users/local/d1gJDEOw/items/7U7J7NHE"],"itemData":{"id":169,"type":"article-journal","title":"Mycorrhizal Fungi at 18-Apple Rootstock Plantings in the United-States","container-title":"New Phytologist","page":"379-391","volume":"100","issue":"3","source":"Web of Science","DOI":"10.1111/j.1469-8137.1985.tb02787.x","ISSN":"0028-646X","note":"WOS:A1985AND4800010","journalAbbreviation":"New Phytol.","language":"English","author":[{"family":"Miller","given":"Dd"},{"family":"Domoto","given":"Pa"},{"family":"Walker","given":"C."}],"issued":{"date-parts":[["1985"]]}}}],"schema":"https://github.com/citation-style-language/schema/raw/master/csl-citation.json"}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(Miller </w:t>
            </w:r>
            <w:r w:rsidR="00954B3D" w:rsidRPr="00954B3D">
              <w:rPr>
                <w:rFonts w:cs="Times New Roman"/>
                <w:i/>
                <w:iCs/>
                <w:sz w:val="18"/>
                <w:szCs w:val="24"/>
              </w:rPr>
              <w:t>et al.</w:t>
            </w:r>
            <w:r w:rsidR="00954B3D" w:rsidRPr="00954B3D">
              <w:rPr>
                <w:rFonts w:cs="Times New Roman"/>
                <w:sz w:val="18"/>
                <w:szCs w:val="24"/>
              </w:rPr>
              <w:t>, 1985a)</w:t>
            </w:r>
            <w:r>
              <w:rPr>
                <w:rFonts w:cs="Times New Roman"/>
                <w:sz w:val="18"/>
                <w:szCs w:val="18"/>
              </w:rPr>
              <w:fldChar w:fldCharType="end"/>
            </w:r>
          </w:p>
        </w:tc>
      </w:tr>
      <w:tr w:rsidR="007E60E4" w:rsidRPr="00AA22EE" w:rsidTr="007E60E4">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No effect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Golden delicious</w:t>
            </w:r>
          </w:p>
          <w:p w:rsidR="007E60E4" w:rsidRPr="00A57540" w:rsidRDefault="007E60E4" w:rsidP="007E60E4">
            <w:pPr>
              <w:spacing w:line="240" w:lineRule="auto"/>
              <w:contextualSpacing/>
              <w:rPr>
                <w:rFonts w:cs="Times New Roman"/>
                <w:sz w:val="18"/>
                <w:szCs w:val="18"/>
              </w:rPr>
            </w:pP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lang w:val="pt-PT"/>
              </w:rPr>
            </w:pPr>
            <w:r w:rsidRPr="00A57540">
              <w:rPr>
                <w:rFonts w:cs="Times New Roman"/>
                <w:i/>
                <w:sz w:val="18"/>
                <w:szCs w:val="18"/>
                <w:lang w:val="pt-PT"/>
              </w:rPr>
              <w:t>Glomus bitunicatum</w:t>
            </w:r>
          </w:p>
          <w:p w:rsidR="007E60E4" w:rsidRPr="00A57540" w:rsidRDefault="007E60E4" w:rsidP="007E60E4">
            <w:pPr>
              <w:spacing w:line="240" w:lineRule="auto"/>
              <w:contextualSpacing/>
              <w:rPr>
                <w:rFonts w:cs="Times New Roman"/>
                <w:i/>
                <w:sz w:val="18"/>
                <w:szCs w:val="18"/>
                <w:lang w:val="pt-PT"/>
              </w:rPr>
            </w:pPr>
            <w:r w:rsidRPr="00A57540">
              <w:rPr>
                <w:rFonts w:cs="Times New Roman"/>
                <w:i/>
                <w:sz w:val="18"/>
                <w:szCs w:val="18"/>
                <w:lang w:val="pt-PT"/>
              </w:rPr>
              <w:t>Gigaspora calospora</w:t>
            </w:r>
          </w:p>
          <w:p w:rsidR="007E60E4" w:rsidRPr="00A57540" w:rsidRDefault="007E60E4" w:rsidP="007E60E4">
            <w:pPr>
              <w:spacing w:line="240" w:lineRule="auto"/>
              <w:contextualSpacing/>
              <w:rPr>
                <w:rFonts w:cs="Times New Roman"/>
                <w:i/>
                <w:sz w:val="18"/>
                <w:szCs w:val="18"/>
                <w:lang w:val="pt-PT"/>
              </w:rPr>
            </w:pPr>
            <w:r w:rsidRPr="00A57540">
              <w:rPr>
                <w:rFonts w:cs="Times New Roman"/>
                <w:i/>
                <w:sz w:val="18"/>
                <w:szCs w:val="18"/>
                <w:lang w:val="pt-PT"/>
              </w:rPr>
              <w:t>Glomus manihotis</w:t>
            </w:r>
          </w:p>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mossea</w:t>
            </w:r>
            <w:proofErr w:type="spellEnd"/>
          </w:p>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Glomus occulutum</w:t>
            </w:r>
            <w:r w:rsidRPr="00A57540">
              <w:rPr>
                <w:rFonts w:cs="Times New Roman"/>
                <w:i/>
                <w:sz w:val="18"/>
                <w:szCs w:val="18"/>
                <w:vertAlign w:val="superscript"/>
              </w:rPr>
              <w:t>1</w:t>
            </w:r>
          </w:p>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occulutum</w:t>
            </w:r>
            <w:proofErr w:type="spellEnd"/>
            <w:r w:rsidRPr="00A57540">
              <w:rPr>
                <w:rFonts w:cs="Times New Roman"/>
                <w:i/>
                <w:sz w:val="18"/>
                <w:szCs w:val="18"/>
              </w:rPr>
              <w:t xml:space="preserve"> </w:t>
            </w:r>
            <w:r w:rsidRPr="00A57540">
              <w:rPr>
                <w:rFonts w:cs="Times New Roman"/>
                <w:i/>
                <w:sz w:val="18"/>
                <w:szCs w:val="18"/>
                <w:vertAlign w:val="superscript"/>
              </w:rPr>
              <w:t>2</w:t>
            </w: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Total dry biomass</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180mg kg</w:t>
            </w:r>
            <w:r w:rsidRPr="00A57540">
              <w:rPr>
                <w:rFonts w:cs="Times New Roman"/>
                <w:sz w:val="18"/>
                <w:szCs w:val="18"/>
                <w:vertAlign w:val="superscript"/>
              </w:rPr>
              <w:t>-1</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11</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{"citationID":"1cnocqjcoo","properties":{"formattedCitation":"{\\rtf (Miller {\\i{}et al.}, 1985a)}","plainCitation":"(Miller et al., 1985a)"},"citationItems":[{"id":169,"uris":["http://zotero.org/users/local/d1gJDEOw/items/7U7J7NHE"],"uri":["http://zotero.org/users/local/d1gJDEOw/items/7U7J7NHE"],"itemData":{"id":169,"type":"article-journal","title":"Mycorrhizal Fungi at 18-Apple Rootstock Plantings in the United-States","container-title":"New Phytologist","page":"379-391","volume":"100","issue":"3","source":"Web of Science","DOI":"10.1111/j.1469-8137.1985.tb02787.x","ISSN":"0028-646X","note":"WOS:A1985AND4800010","journalAbbreviation":"New Phytol.","language":"English","author":[{"family":"Miller","given":"Dd"},{"family":"Domoto","given":"Pa"},{"family":"Walker","given":"C."}],"issued":{"date-parts":[["1985"]]}}}],"schema":"https://github.com/citation-style-language/schema/raw/master/csl-citation.json"}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(Miller </w:t>
            </w:r>
            <w:r w:rsidR="00954B3D" w:rsidRPr="00954B3D">
              <w:rPr>
                <w:rFonts w:cs="Times New Roman"/>
                <w:i/>
                <w:iCs/>
                <w:sz w:val="18"/>
                <w:szCs w:val="24"/>
              </w:rPr>
              <w:t>et al.</w:t>
            </w:r>
            <w:r w:rsidR="00954B3D" w:rsidRPr="00954B3D">
              <w:rPr>
                <w:rFonts w:cs="Times New Roman"/>
                <w:sz w:val="18"/>
                <w:szCs w:val="24"/>
              </w:rPr>
              <w:t>, 1985a)</w:t>
            </w:r>
            <w:r>
              <w:rPr>
                <w:rFonts w:cs="Times New Roman"/>
                <w:sz w:val="18"/>
                <w:szCs w:val="18"/>
              </w:rPr>
              <w:fldChar w:fldCharType="end"/>
            </w:r>
          </w:p>
        </w:tc>
      </w:tr>
      <w:tr w:rsidR="007E60E4" w:rsidRPr="00AA22EE" w:rsidTr="007E60E4">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No effect</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Golden delicious</w:t>
            </w:r>
          </w:p>
          <w:p w:rsidR="007E60E4" w:rsidRPr="00A57540" w:rsidRDefault="007E60E4" w:rsidP="007E60E4">
            <w:pPr>
              <w:spacing w:line="240" w:lineRule="auto"/>
              <w:contextualSpacing/>
              <w:rPr>
                <w:rFonts w:cs="Times New Roman"/>
                <w:sz w:val="18"/>
                <w:szCs w:val="18"/>
              </w:rPr>
            </w:pP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lang w:val="pt-PT"/>
              </w:rPr>
            </w:pPr>
            <w:r w:rsidRPr="00A57540">
              <w:rPr>
                <w:rFonts w:cs="Times New Roman"/>
                <w:i/>
                <w:sz w:val="18"/>
                <w:szCs w:val="18"/>
                <w:lang w:val="pt-PT"/>
              </w:rPr>
              <w:t>Glomus bitunicatum</w:t>
            </w:r>
          </w:p>
          <w:p w:rsidR="007E60E4" w:rsidRPr="00A57540" w:rsidRDefault="007E60E4" w:rsidP="007E60E4">
            <w:pPr>
              <w:spacing w:line="240" w:lineRule="auto"/>
              <w:contextualSpacing/>
              <w:rPr>
                <w:rFonts w:cs="Times New Roman"/>
                <w:i/>
                <w:sz w:val="18"/>
                <w:szCs w:val="18"/>
                <w:lang w:val="pt-PT"/>
              </w:rPr>
            </w:pPr>
            <w:r w:rsidRPr="00A57540">
              <w:rPr>
                <w:rFonts w:cs="Times New Roman"/>
                <w:i/>
                <w:sz w:val="18"/>
                <w:szCs w:val="18"/>
                <w:lang w:val="pt-PT"/>
              </w:rPr>
              <w:t>Glomus mossea</w:t>
            </w:r>
          </w:p>
          <w:p w:rsidR="007E60E4" w:rsidRPr="00A57540" w:rsidRDefault="007E60E4" w:rsidP="007E60E4">
            <w:pPr>
              <w:spacing w:line="240" w:lineRule="auto"/>
              <w:contextualSpacing/>
              <w:rPr>
                <w:rFonts w:cs="Times New Roman"/>
                <w:i/>
                <w:sz w:val="18"/>
                <w:szCs w:val="18"/>
                <w:lang w:val="pt-PT"/>
              </w:rPr>
            </w:pPr>
            <w:r w:rsidRPr="00A57540">
              <w:rPr>
                <w:rFonts w:cs="Times New Roman"/>
                <w:i/>
                <w:sz w:val="18"/>
                <w:szCs w:val="18"/>
                <w:lang w:val="pt-PT"/>
              </w:rPr>
              <w:t xml:space="preserve">Glomus occulutum </w:t>
            </w:r>
            <w:r w:rsidRPr="00A57540">
              <w:rPr>
                <w:rFonts w:cs="Times New Roman"/>
                <w:i/>
                <w:sz w:val="18"/>
                <w:szCs w:val="18"/>
                <w:vertAlign w:val="superscript"/>
                <w:lang w:val="pt-PT"/>
              </w:rPr>
              <w:t>1</w:t>
            </w:r>
          </w:p>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occulutum</w:t>
            </w:r>
            <w:proofErr w:type="spellEnd"/>
            <w:r w:rsidRPr="00A57540">
              <w:rPr>
                <w:rFonts w:cs="Times New Roman"/>
                <w:i/>
                <w:sz w:val="18"/>
                <w:szCs w:val="18"/>
              </w:rPr>
              <w:t xml:space="preserve"> </w:t>
            </w:r>
            <w:r w:rsidRPr="00A57540">
              <w:rPr>
                <w:rFonts w:cs="Times New Roman"/>
                <w:i/>
                <w:sz w:val="18"/>
                <w:szCs w:val="18"/>
                <w:vertAlign w:val="superscript"/>
              </w:rPr>
              <w:t>2</w:t>
            </w:r>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Stem diameter</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180 mg kg</w:t>
            </w:r>
            <w:r w:rsidRPr="00A57540">
              <w:rPr>
                <w:rFonts w:cs="Times New Roman"/>
                <w:sz w:val="18"/>
                <w:szCs w:val="18"/>
                <w:vertAlign w:val="superscript"/>
              </w:rPr>
              <w:t>-1</w:t>
            </w: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11</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{"citationID":"1opm3gs5qt","properties":{"formattedCitation":"{\\rtf (Miller {\\i{}et al.}, 1985a)}","plainCitation":"(Miller et al., 1985a)"},"citationItems":[{"id":169,"uris":["http://zotero.org/users/local/d1gJDEOw/items/7U7J7NHE"],"uri":["http://zotero.org/users/local/d1gJDEOw/items/7U7J7NHE"],"itemData":{"id":169,"type":"article-journal","title":"Mycorrhizal Fungi at 18-Apple Rootstock Plantings in the United-States","container-title":"New Phytologist","page":"379-391","volume":"100","issue":"3","source":"Web of Science","DOI":"10.1111/j.1469-8137.1985.tb02787.x","ISSN":"0028-646X","note":"WOS:A1985AND4800010","journalAbbreviation":"New Phytol.","language":"English","author":[{"family":"Miller","given":"Dd"},{"family":"Domoto","given":"Pa"},{"family":"Walker","given":"C."}],"issued":{"date-parts":[["1985"]]}}}],"schema":"https://github.com/citation-style-language/schema/raw/master/csl-citation.json"}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(Miller </w:t>
            </w:r>
            <w:r w:rsidR="00954B3D" w:rsidRPr="00954B3D">
              <w:rPr>
                <w:rFonts w:cs="Times New Roman"/>
                <w:i/>
                <w:iCs/>
                <w:sz w:val="18"/>
                <w:szCs w:val="24"/>
              </w:rPr>
              <w:t>et al.</w:t>
            </w:r>
            <w:r w:rsidR="00954B3D" w:rsidRPr="00954B3D">
              <w:rPr>
                <w:rFonts w:cs="Times New Roman"/>
                <w:sz w:val="18"/>
                <w:szCs w:val="24"/>
              </w:rPr>
              <w:t>, 1985a)</w:t>
            </w:r>
            <w:r>
              <w:rPr>
                <w:rFonts w:cs="Times New Roman"/>
                <w:sz w:val="18"/>
                <w:szCs w:val="18"/>
              </w:rPr>
              <w:fldChar w:fldCharType="end"/>
            </w:r>
          </w:p>
        </w:tc>
      </w:tr>
      <w:tr w:rsidR="007E60E4" w:rsidRPr="00AA22EE" w:rsidTr="007E60E4">
        <w:trPr>
          <w:trHeight w:val="307"/>
        </w:trPr>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Negative</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Golden delicious</w:t>
            </w:r>
          </w:p>
        </w:tc>
        <w:tc>
          <w:tcPr>
            <w:tcW w:w="2410" w:type="dxa"/>
            <w:tcBorders>
              <w:top w:val="nil"/>
              <w:left w:val="nil"/>
              <w:bottom w:val="nil"/>
              <w:right w:val="nil"/>
            </w:tcBorders>
          </w:tcPr>
          <w:p w:rsidR="007E60E4" w:rsidRPr="00A57540" w:rsidRDefault="007E60E4" w:rsidP="007E60E4">
            <w:pPr>
              <w:spacing w:line="240" w:lineRule="auto"/>
              <w:contextualSpacing/>
              <w:rPr>
                <w:rFonts w:cs="Times New Roman"/>
                <w:i/>
                <w:sz w:val="18"/>
                <w:szCs w:val="18"/>
              </w:rPr>
            </w:pPr>
            <w:r w:rsidRPr="00A57540">
              <w:rPr>
                <w:rFonts w:cs="Times New Roman"/>
                <w:i/>
                <w:sz w:val="18"/>
                <w:szCs w:val="18"/>
              </w:rPr>
              <w:t xml:space="preserve">Glomus </w:t>
            </w:r>
            <w:proofErr w:type="spellStart"/>
            <w:r w:rsidRPr="00A57540">
              <w:rPr>
                <w:rFonts w:cs="Times New Roman"/>
                <w:i/>
                <w:sz w:val="18"/>
                <w:szCs w:val="18"/>
              </w:rPr>
              <w:t>manihotis</w:t>
            </w:r>
            <w:proofErr w:type="spellEnd"/>
          </w:p>
        </w:tc>
        <w:tc>
          <w:tcPr>
            <w:tcW w:w="1985"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Stem diameter</w:t>
            </w:r>
          </w:p>
        </w:tc>
        <w:tc>
          <w:tcPr>
            <w:tcW w:w="1701"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180 mg kg</w:t>
            </w:r>
            <w:r w:rsidRPr="00A57540">
              <w:rPr>
                <w:rFonts w:cs="Times New Roman"/>
                <w:sz w:val="18"/>
                <w:szCs w:val="18"/>
                <w:vertAlign w:val="superscript"/>
              </w:rPr>
              <w:t>-1</w:t>
            </w:r>
          </w:p>
          <w:p w:rsidR="007E60E4" w:rsidRPr="00A57540" w:rsidRDefault="007E60E4" w:rsidP="007E60E4">
            <w:pPr>
              <w:spacing w:line="240" w:lineRule="auto"/>
              <w:contextualSpacing/>
              <w:rPr>
                <w:rFonts w:cs="Times New Roman"/>
                <w:sz w:val="18"/>
                <w:szCs w:val="18"/>
              </w:rPr>
            </w:pPr>
          </w:p>
        </w:tc>
        <w:tc>
          <w:tcPr>
            <w:tcW w:w="198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nil"/>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11</w:t>
            </w:r>
          </w:p>
        </w:tc>
        <w:tc>
          <w:tcPr>
            <w:tcW w:w="2263" w:type="dxa"/>
            <w:tcBorders>
              <w:top w:val="nil"/>
              <w:left w:val="nil"/>
              <w:bottom w:val="nil"/>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{"citationID":"1n76f2n9oh","properties":{"formattedCitation":"{\\rtf (Miller {\\i{}et al.}, 1985a)}","plainCitation":"(Miller et al., 1985a)"},"citationItems":[{"id":169,"uris":["http://zotero.org/users/local/d1gJDEOw/items/7U7J7NHE"],"uri":["http://zotero.org/users/local/d1gJDEOw/items/7U7J7NHE"],"itemData":{"id":169,"type":"article-journal","title":"Mycorrhizal Fungi at 18-Apple Rootstock Plantings in the United-States","container-title":"New Phytologist","page":"379-391","volume":"100","issue":"3","source":"Web of Science","DOI":"10.1111/j.1469-8137.1985.tb02787.x","ISSN":"0028-646X","note":"WOS:A1985AND4800010","journalAbbreviation":"New Phytol.","language":"English","author":[{"family":"Miller","given":"Dd"},{"family":"Domoto","given":"Pa"},{"family":"Walker","given":"C."}],"issued":{"date-parts":[["1985"]]}}}],"schema":"https://github.com/citation-style-language/schema/raw/master/csl-citation.json"}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(Miller </w:t>
            </w:r>
            <w:r w:rsidR="00954B3D" w:rsidRPr="00954B3D">
              <w:rPr>
                <w:rFonts w:cs="Times New Roman"/>
                <w:i/>
                <w:iCs/>
                <w:sz w:val="18"/>
                <w:szCs w:val="24"/>
              </w:rPr>
              <w:t>et al.</w:t>
            </w:r>
            <w:r w:rsidR="00954B3D" w:rsidRPr="00954B3D">
              <w:rPr>
                <w:rFonts w:cs="Times New Roman"/>
                <w:sz w:val="18"/>
                <w:szCs w:val="24"/>
              </w:rPr>
              <w:t>, 1985a)</w:t>
            </w:r>
            <w:r>
              <w:rPr>
                <w:rFonts w:cs="Times New Roman"/>
                <w:sz w:val="18"/>
                <w:szCs w:val="18"/>
              </w:rPr>
              <w:fldChar w:fldCharType="end"/>
            </w:r>
          </w:p>
        </w:tc>
      </w:tr>
      <w:tr w:rsidR="007E60E4" w:rsidRPr="00AA22EE" w:rsidTr="007E60E4">
        <w:trPr>
          <w:trHeight w:val="199"/>
        </w:trPr>
        <w:tc>
          <w:tcPr>
            <w:tcW w:w="1134" w:type="dxa"/>
            <w:tcBorders>
              <w:top w:val="nil"/>
              <w:left w:val="nil"/>
              <w:bottom w:val="single" w:sz="4" w:space="0" w:color="auto"/>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Negative</w:t>
            </w:r>
          </w:p>
        </w:tc>
        <w:tc>
          <w:tcPr>
            <w:tcW w:w="1701" w:type="dxa"/>
            <w:tcBorders>
              <w:top w:val="nil"/>
              <w:left w:val="nil"/>
              <w:bottom w:val="single" w:sz="4" w:space="0" w:color="auto"/>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Golden delicious</w:t>
            </w:r>
          </w:p>
        </w:tc>
        <w:tc>
          <w:tcPr>
            <w:tcW w:w="2410" w:type="dxa"/>
            <w:tcBorders>
              <w:top w:val="nil"/>
              <w:left w:val="nil"/>
              <w:bottom w:val="single" w:sz="4" w:space="0" w:color="auto"/>
              <w:right w:val="nil"/>
            </w:tcBorders>
          </w:tcPr>
          <w:p w:rsidR="007E60E4" w:rsidRPr="00A57540" w:rsidRDefault="007E60E4" w:rsidP="007E60E4">
            <w:pPr>
              <w:spacing w:line="240" w:lineRule="auto"/>
              <w:contextualSpacing/>
              <w:rPr>
                <w:rFonts w:cs="Times New Roman"/>
                <w:i/>
                <w:sz w:val="18"/>
                <w:szCs w:val="18"/>
              </w:rPr>
            </w:pPr>
            <w:proofErr w:type="spellStart"/>
            <w:r w:rsidRPr="00A57540">
              <w:rPr>
                <w:rFonts w:cs="Times New Roman"/>
                <w:i/>
                <w:sz w:val="18"/>
                <w:szCs w:val="18"/>
              </w:rPr>
              <w:t>Gigaspora</w:t>
            </w:r>
            <w:proofErr w:type="spellEnd"/>
            <w:r w:rsidRPr="00A57540">
              <w:rPr>
                <w:rFonts w:cs="Times New Roman"/>
                <w:i/>
                <w:sz w:val="18"/>
                <w:szCs w:val="18"/>
              </w:rPr>
              <w:t xml:space="preserve"> margarita</w:t>
            </w:r>
          </w:p>
        </w:tc>
        <w:tc>
          <w:tcPr>
            <w:tcW w:w="1985" w:type="dxa"/>
            <w:tcBorders>
              <w:top w:val="nil"/>
              <w:left w:val="nil"/>
              <w:bottom w:val="single" w:sz="4" w:space="0" w:color="auto"/>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Total dry biomass</w:t>
            </w:r>
          </w:p>
        </w:tc>
        <w:tc>
          <w:tcPr>
            <w:tcW w:w="1701" w:type="dxa"/>
            <w:tcBorders>
              <w:top w:val="nil"/>
              <w:left w:val="nil"/>
              <w:bottom w:val="single" w:sz="4" w:space="0" w:color="auto"/>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Unspecified</w:t>
            </w:r>
          </w:p>
        </w:tc>
        <w:tc>
          <w:tcPr>
            <w:tcW w:w="1984" w:type="dxa"/>
            <w:tcBorders>
              <w:top w:val="nil"/>
              <w:left w:val="nil"/>
              <w:bottom w:val="single" w:sz="4" w:space="0" w:color="auto"/>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Greenhouse</w:t>
            </w:r>
          </w:p>
        </w:tc>
        <w:tc>
          <w:tcPr>
            <w:tcW w:w="1134" w:type="dxa"/>
            <w:tcBorders>
              <w:top w:val="nil"/>
              <w:left w:val="nil"/>
              <w:bottom w:val="single" w:sz="4" w:space="0" w:color="auto"/>
              <w:right w:val="nil"/>
            </w:tcBorders>
          </w:tcPr>
          <w:p w:rsidR="007E60E4" w:rsidRPr="00A57540" w:rsidRDefault="007E60E4" w:rsidP="007E60E4">
            <w:pPr>
              <w:spacing w:line="240" w:lineRule="auto"/>
              <w:contextualSpacing/>
              <w:rPr>
                <w:rFonts w:cs="Times New Roman"/>
                <w:sz w:val="18"/>
                <w:szCs w:val="18"/>
              </w:rPr>
            </w:pPr>
            <w:r w:rsidRPr="00A57540">
              <w:rPr>
                <w:rFonts w:cs="Times New Roman"/>
                <w:sz w:val="18"/>
                <w:szCs w:val="18"/>
              </w:rPr>
              <w:t>8</w:t>
            </w:r>
          </w:p>
        </w:tc>
        <w:tc>
          <w:tcPr>
            <w:tcW w:w="2263" w:type="dxa"/>
            <w:tcBorders>
              <w:top w:val="nil"/>
              <w:left w:val="nil"/>
              <w:bottom w:val="single" w:sz="4" w:space="0" w:color="auto"/>
              <w:right w:val="nil"/>
            </w:tcBorders>
          </w:tcPr>
          <w:p w:rsidR="007E60E4" w:rsidRPr="00A57540" w:rsidRDefault="00690D05" w:rsidP="00954B3D">
            <w:pPr>
              <w:spacing w:line="240" w:lineRule="auto"/>
              <w:contextualSpacing/>
              <w:rPr>
                <w:rFonts w:cs="Times New Roman"/>
                <w:sz w:val="18"/>
                <w:szCs w:val="18"/>
              </w:rPr>
            </w:pPr>
            <w:r>
              <w:rPr>
                <w:rFonts w:cs="Times New Roman"/>
                <w:sz w:val="18"/>
                <w:szCs w:val="18"/>
              </w:rPr>
              <w:fldChar w:fldCharType="begin"/>
            </w:r>
            <w:r w:rsidR="00954B3D">
              <w:rPr>
                <w:rFonts w:cs="Times New Roman"/>
                <w:sz w:val="18"/>
                <w:szCs w:val="18"/>
              </w:rPr>
              <w:instrText xml:space="preserve"> ADDIN ZOTERO_ITEM CSL_CITATION {"citationID":"19l7lsd9tm","properties":{"formattedCitation":"{\\rtf (Matsubara {\\i{}et al.}, 1996)}","plainCitation":"(Matsubara et al., 1996)"},"citationItems":[{"id":184,"uris":["http://zotero.org/users/local/d1gJDEOw/items/8JWXI5WT"],"uri":["http://zotero.org/users/local/d1gJDEOw/items/8JWXI5WT"],"itemData":{"id":184,"type":"article-journal","title":"Effect of arbuscular Mycorrhizal fungus inoculation on growth of apple (Malus ssp) seedlings","container-title":"Journal of the Japanese Society for Horticultural Science","page":"297-302","volume":"65","issue":"2","source":"Web of Science","abstract":"The means of enhancing the growth of seedlings of apples, Malus pumila Mill. var. domestica Schneid. (cv. McIntosh, American Summer Pearmain, Jonathan, Golden Delicious, Starking Delicious, Fuji, Mutsu and Red Gold) and Malus sieboldii Rehd., through inoculation of arbuscular mycorrhizal (AM) fungus [Glomus etunicatum (GE) and Gigaspora margarila (GM)] were investigated. Eight weeks after inoculation, AM fungus infection occurred in all combinations of apple cultivars and fungus species. The rate of AM fungus-infected portions in a whole root system were: 31.7% in 'Golden Delicious', 50.5% in 'Jonathan' in GE-inoculated plants, and 24.0% for Malus sieboldii Rehd., and 50.7% in 'Starking Delicious' in GM-inoculated ones. Plant height and dry weights of top and roots were greater in all GE-infected seedlings than in noninoculated ones. The GM-infected seedlings made larger height and weight increments than did the noninoculated ones in all seedlings except those of 'Golden Delicious' and Malus sieboldii Rehd.. In 'McIntosh' seedlings, plant growth enhancement through symbiosis clearly appeared associated with both fungi. With both fungal species, P concentrations in the top or roots were higher in infected plants than in noninoculated plants; the effect appeared more noticeably in roots than in top. Consequently, it was confirmed that GE and GM infections and their plant growth enhancement through symbiosis occurred with the seedling stage in several apple cultivars.","ISSN":"1882-3351","note":"WOS:A1996VG48900009","journalAbbreviation":"J. Jpn. Soc. Hortic. Sci.","language":"English","author":[{"family":"Matsubara","given":"Y."},{"family":"Karikomi","given":"T."},{"family":"Ikuta","given":"M."},{"family":"Hori","given":"H."},{"family":"Ishikawa","given":"S."},{"family":"Harada","given":"T."}],"issued":{"date-parts":[["1996",9]]}}}],"schema":"https://github.com/citation-style-language/schema/raw/master/csl-citation.json"} </w:instrText>
            </w:r>
            <w:r>
              <w:rPr>
                <w:rFonts w:cs="Times New Roman"/>
                <w:sz w:val="18"/>
                <w:szCs w:val="18"/>
              </w:rPr>
              <w:fldChar w:fldCharType="separate"/>
            </w:r>
            <w:r w:rsidR="00954B3D" w:rsidRPr="00954B3D">
              <w:rPr>
                <w:rFonts w:cs="Times New Roman"/>
                <w:sz w:val="18"/>
                <w:szCs w:val="24"/>
              </w:rPr>
              <w:t xml:space="preserve">(Matsubara </w:t>
            </w:r>
            <w:r w:rsidR="00954B3D" w:rsidRPr="00954B3D">
              <w:rPr>
                <w:rFonts w:cs="Times New Roman"/>
                <w:i/>
                <w:iCs/>
                <w:sz w:val="18"/>
                <w:szCs w:val="24"/>
              </w:rPr>
              <w:t>et al.</w:t>
            </w:r>
            <w:r w:rsidR="00954B3D" w:rsidRPr="00954B3D">
              <w:rPr>
                <w:rFonts w:cs="Times New Roman"/>
                <w:sz w:val="18"/>
                <w:szCs w:val="24"/>
              </w:rPr>
              <w:t>, 1996)</w:t>
            </w:r>
            <w:r>
              <w:rPr>
                <w:rFonts w:cs="Times New Roman"/>
                <w:sz w:val="18"/>
                <w:szCs w:val="18"/>
              </w:rPr>
              <w:fldChar w:fldCharType="end"/>
            </w:r>
          </w:p>
        </w:tc>
      </w:tr>
    </w:tbl>
    <w:tbl>
      <w:tblPr>
        <w:tblStyle w:val="TableGrid"/>
        <w:tblpPr w:leftFromText="180" w:rightFromText="180" w:vertAnchor="page" w:horzAnchor="margin" w:tblpXSpec="center" w:tblpY="1"/>
        <w:tblOverlap w:val="never"/>
        <w:tblW w:w="15701" w:type="dxa"/>
        <w:tblLayout w:type="fixed"/>
        <w:tblLook w:val="04A0" w:firstRow="1" w:lastRow="0" w:firstColumn="1" w:lastColumn="0" w:noHBand="0" w:noVBand="1"/>
      </w:tblPr>
      <w:tblGrid>
        <w:gridCol w:w="1101"/>
        <w:gridCol w:w="1842"/>
        <w:gridCol w:w="1134"/>
        <w:gridCol w:w="2302"/>
        <w:gridCol w:w="2234"/>
        <w:gridCol w:w="318"/>
        <w:gridCol w:w="1559"/>
        <w:gridCol w:w="1134"/>
        <w:gridCol w:w="1276"/>
        <w:gridCol w:w="1100"/>
        <w:gridCol w:w="1701"/>
      </w:tblGrid>
      <w:tr w:rsidR="007E60E4" w:rsidRPr="00AA22EE" w:rsidTr="007E60E4">
        <w:tc>
          <w:tcPr>
            <w:tcW w:w="15701" w:type="dxa"/>
            <w:gridSpan w:val="11"/>
            <w:tcBorders>
              <w:top w:val="nil"/>
              <w:left w:val="nil"/>
              <w:bottom w:val="nil"/>
              <w:right w:val="nil"/>
            </w:tcBorders>
          </w:tcPr>
          <w:p w:rsidR="008C190E" w:rsidRDefault="008C190E" w:rsidP="00F67658">
            <w:pPr>
              <w:pStyle w:val="Caption"/>
            </w:pPr>
            <w:bookmarkStart w:id="110" w:name="_Ref469843753"/>
          </w:p>
          <w:p w:rsidR="007E60E4" w:rsidRPr="00AA22EE" w:rsidRDefault="007E60E4" w:rsidP="00F67658">
            <w:pPr>
              <w:pStyle w:val="Caption"/>
              <w:rPr>
                <w:rFonts w:cs="Times New Roman"/>
                <w:b/>
                <w:szCs w:val="20"/>
              </w:rPr>
            </w:pPr>
            <w:bookmarkStart w:id="111" w:name="_Ref469945063"/>
            <w:bookmarkStart w:id="112" w:name="_Toc469868572"/>
            <w:r>
              <w:t xml:space="preserve">Table </w:t>
            </w:r>
            <w:r w:rsidR="00C44EF5">
              <w:fldChar w:fldCharType="begin"/>
            </w:r>
            <w:r w:rsidR="00C44EF5">
              <w:instrText xml:space="preserve"> STYLEREF 1 \s </w:instrText>
            </w:r>
            <w:r w:rsidR="00C44EF5">
              <w:fldChar w:fldCharType="separate"/>
            </w:r>
            <w:r w:rsidR="00E0714D">
              <w:rPr>
                <w:noProof/>
              </w:rPr>
              <w:t>1</w:t>
            </w:r>
            <w:r w:rsidR="00C44EF5">
              <w:rPr>
                <w:noProof/>
              </w:rPr>
              <w:fldChar w:fldCharType="end"/>
            </w:r>
            <w:r>
              <w:t>.</w:t>
            </w:r>
            <w:r w:rsidR="00C44EF5">
              <w:fldChar w:fldCharType="begin"/>
            </w:r>
            <w:r w:rsidR="00C44EF5">
              <w:instrText xml:space="preserve"> SEQ Table \* ARABIC \s 1 </w:instrText>
            </w:r>
            <w:r w:rsidR="00C44EF5">
              <w:fldChar w:fldCharType="separate"/>
            </w:r>
            <w:r w:rsidR="00E0714D">
              <w:rPr>
                <w:noProof/>
              </w:rPr>
              <w:t>4</w:t>
            </w:r>
            <w:r w:rsidR="00C44EF5">
              <w:rPr>
                <w:noProof/>
              </w:rPr>
              <w:fldChar w:fldCharType="end"/>
            </w:r>
            <w:bookmarkEnd w:id="110"/>
            <w:bookmarkEnd w:id="111"/>
            <w:r>
              <w:t xml:space="preserve"> </w:t>
            </w:r>
            <w:r w:rsidRPr="00AA22EE">
              <w:rPr>
                <w:rFonts w:cs="Times New Roman"/>
              </w:rPr>
              <w:t>Summary of studies upon arbuscular mycorrhizal association with domestic apple and disease resistance</w:t>
            </w:r>
            <w:bookmarkEnd w:id="112"/>
          </w:p>
        </w:tc>
      </w:tr>
      <w:tr w:rsidR="007E60E4" w:rsidRPr="00AA22EE" w:rsidTr="007E60E4">
        <w:tc>
          <w:tcPr>
            <w:tcW w:w="1101" w:type="dxa"/>
            <w:tcBorders>
              <w:top w:val="nil"/>
              <w:left w:val="nil"/>
              <w:bottom w:val="single" w:sz="4" w:space="0" w:color="auto"/>
              <w:right w:val="nil"/>
            </w:tcBorders>
          </w:tcPr>
          <w:p w:rsidR="007E60E4" w:rsidRPr="00AA22EE" w:rsidRDefault="007E60E4" w:rsidP="008C190E">
            <w:pPr>
              <w:spacing w:line="240" w:lineRule="auto"/>
              <w:contextualSpacing/>
              <w:jc w:val="left"/>
              <w:rPr>
                <w:rFonts w:cs="Times New Roman"/>
                <w:b/>
                <w:sz w:val="20"/>
                <w:szCs w:val="20"/>
              </w:rPr>
            </w:pPr>
            <w:r w:rsidRPr="00AA22EE">
              <w:rPr>
                <w:rFonts w:cs="Times New Roman"/>
                <w:b/>
                <w:sz w:val="20"/>
                <w:szCs w:val="20"/>
              </w:rPr>
              <w:t>Overall effect of AM</w:t>
            </w:r>
          </w:p>
        </w:tc>
        <w:tc>
          <w:tcPr>
            <w:tcW w:w="1842" w:type="dxa"/>
            <w:tcBorders>
              <w:top w:val="nil"/>
              <w:left w:val="nil"/>
              <w:bottom w:val="single" w:sz="4" w:space="0" w:color="auto"/>
              <w:right w:val="nil"/>
            </w:tcBorders>
          </w:tcPr>
          <w:p w:rsidR="007E60E4" w:rsidRPr="00AA22EE" w:rsidRDefault="007E60E4" w:rsidP="008C190E">
            <w:pPr>
              <w:spacing w:line="240" w:lineRule="auto"/>
              <w:contextualSpacing/>
              <w:jc w:val="left"/>
              <w:rPr>
                <w:rFonts w:cs="Times New Roman"/>
                <w:b/>
                <w:sz w:val="20"/>
                <w:szCs w:val="20"/>
              </w:rPr>
            </w:pPr>
            <w:r w:rsidRPr="00AA22EE">
              <w:rPr>
                <w:rFonts w:cs="Times New Roman"/>
                <w:b/>
                <w:sz w:val="20"/>
                <w:szCs w:val="20"/>
              </w:rPr>
              <w:t>Disease/pathogen</w:t>
            </w:r>
          </w:p>
        </w:tc>
        <w:tc>
          <w:tcPr>
            <w:tcW w:w="1134" w:type="dxa"/>
            <w:tcBorders>
              <w:top w:val="nil"/>
              <w:left w:val="nil"/>
              <w:bottom w:val="single" w:sz="4" w:space="0" w:color="auto"/>
              <w:right w:val="nil"/>
            </w:tcBorders>
          </w:tcPr>
          <w:p w:rsidR="007E60E4" w:rsidRPr="00AA22EE" w:rsidRDefault="00361D64" w:rsidP="008C190E">
            <w:pPr>
              <w:spacing w:line="240" w:lineRule="auto"/>
              <w:contextualSpacing/>
              <w:jc w:val="left"/>
              <w:rPr>
                <w:rFonts w:cs="Times New Roman"/>
                <w:b/>
                <w:sz w:val="20"/>
                <w:szCs w:val="20"/>
              </w:rPr>
            </w:pPr>
            <w:r>
              <w:rPr>
                <w:rFonts w:cs="Times New Roman"/>
                <w:b/>
                <w:i/>
                <w:sz w:val="20"/>
                <w:szCs w:val="20"/>
              </w:rPr>
              <w:t>M. pumila</w:t>
            </w:r>
            <w:r w:rsidR="007E60E4" w:rsidRPr="00AA22EE">
              <w:rPr>
                <w:rFonts w:cs="Times New Roman"/>
                <w:b/>
                <w:sz w:val="20"/>
                <w:szCs w:val="20"/>
              </w:rPr>
              <w:t xml:space="preserve"> variety</w:t>
            </w:r>
          </w:p>
        </w:tc>
        <w:tc>
          <w:tcPr>
            <w:tcW w:w="2302" w:type="dxa"/>
            <w:tcBorders>
              <w:top w:val="nil"/>
              <w:left w:val="nil"/>
              <w:bottom w:val="single" w:sz="4" w:space="0" w:color="auto"/>
              <w:right w:val="nil"/>
            </w:tcBorders>
          </w:tcPr>
          <w:p w:rsidR="007E60E4" w:rsidRPr="00AA22EE" w:rsidRDefault="007E60E4" w:rsidP="008C190E">
            <w:pPr>
              <w:spacing w:line="240" w:lineRule="auto"/>
              <w:contextualSpacing/>
              <w:jc w:val="left"/>
              <w:rPr>
                <w:rFonts w:cs="Times New Roman"/>
                <w:b/>
                <w:sz w:val="20"/>
                <w:szCs w:val="20"/>
              </w:rPr>
            </w:pPr>
            <w:r w:rsidRPr="00AA22EE">
              <w:rPr>
                <w:rFonts w:cs="Times New Roman"/>
                <w:b/>
                <w:sz w:val="20"/>
                <w:szCs w:val="20"/>
              </w:rPr>
              <w:t>AM species</w:t>
            </w:r>
          </w:p>
        </w:tc>
        <w:tc>
          <w:tcPr>
            <w:tcW w:w="2552" w:type="dxa"/>
            <w:gridSpan w:val="2"/>
            <w:tcBorders>
              <w:top w:val="nil"/>
              <w:left w:val="nil"/>
              <w:bottom w:val="single" w:sz="4" w:space="0" w:color="auto"/>
              <w:right w:val="nil"/>
            </w:tcBorders>
          </w:tcPr>
          <w:p w:rsidR="007E60E4" w:rsidRPr="00AA22EE" w:rsidRDefault="007E60E4" w:rsidP="008C190E">
            <w:pPr>
              <w:spacing w:line="240" w:lineRule="auto"/>
              <w:contextualSpacing/>
              <w:jc w:val="left"/>
              <w:rPr>
                <w:rFonts w:cs="Times New Roman"/>
                <w:b/>
                <w:sz w:val="20"/>
                <w:szCs w:val="20"/>
              </w:rPr>
            </w:pPr>
            <w:r w:rsidRPr="00AA22EE">
              <w:rPr>
                <w:rFonts w:cs="Times New Roman"/>
                <w:b/>
                <w:sz w:val="20"/>
                <w:szCs w:val="20"/>
              </w:rPr>
              <w:t>Effect of AM colonised apple in comparison to non AM control</w:t>
            </w:r>
          </w:p>
        </w:tc>
        <w:tc>
          <w:tcPr>
            <w:tcW w:w="1559" w:type="dxa"/>
            <w:tcBorders>
              <w:top w:val="nil"/>
              <w:left w:val="nil"/>
              <w:bottom w:val="single" w:sz="4" w:space="0" w:color="auto"/>
              <w:right w:val="nil"/>
            </w:tcBorders>
          </w:tcPr>
          <w:p w:rsidR="007E60E4" w:rsidRPr="00AA22EE" w:rsidRDefault="007E60E4" w:rsidP="008C190E">
            <w:pPr>
              <w:spacing w:line="240" w:lineRule="auto"/>
              <w:contextualSpacing/>
              <w:jc w:val="left"/>
              <w:rPr>
                <w:rFonts w:cs="Times New Roman"/>
                <w:b/>
                <w:sz w:val="20"/>
                <w:szCs w:val="20"/>
              </w:rPr>
            </w:pPr>
            <w:r w:rsidRPr="00AA22EE">
              <w:rPr>
                <w:rFonts w:cs="Times New Roman"/>
                <w:b/>
                <w:sz w:val="20"/>
                <w:szCs w:val="20"/>
              </w:rPr>
              <w:t>Explanation</w:t>
            </w:r>
          </w:p>
        </w:tc>
        <w:tc>
          <w:tcPr>
            <w:tcW w:w="1134" w:type="dxa"/>
            <w:tcBorders>
              <w:top w:val="nil"/>
              <w:left w:val="nil"/>
              <w:bottom w:val="single" w:sz="4" w:space="0" w:color="auto"/>
              <w:right w:val="nil"/>
            </w:tcBorders>
          </w:tcPr>
          <w:p w:rsidR="007E60E4" w:rsidRPr="00AA22EE" w:rsidRDefault="007E60E4" w:rsidP="008C190E">
            <w:pPr>
              <w:spacing w:line="240" w:lineRule="auto"/>
              <w:contextualSpacing/>
              <w:jc w:val="left"/>
              <w:rPr>
                <w:rFonts w:cs="Times New Roman"/>
                <w:b/>
                <w:sz w:val="20"/>
                <w:szCs w:val="20"/>
              </w:rPr>
            </w:pPr>
            <w:r w:rsidRPr="00AA22EE">
              <w:rPr>
                <w:rFonts w:cs="Times New Roman"/>
                <w:b/>
                <w:sz w:val="20"/>
                <w:szCs w:val="20"/>
              </w:rPr>
              <w:t>Tree age*</w:t>
            </w:r>
          </w:p>
        </w:tc>
        <w:tc>
          <w:tcPr>
            <w:tcW w:w="1276" w:type="dxa"/>
            <w:tcBorders>
              <w:top w:val="nil"/>
              <w:left w:val="nil"/>
              <w:bottom w:val="single" w:sz="4" w:space="0" w:color="auto"/>
              <w:right w:val="nil"/>
            </w:tcBorders>
          </w:tcPr>
          <w:p w:rsidR="007E60E4" w:rsidRPr="00AA22EE" w:rsidRDefault="007E60E4" w:rsidP="008C190E">
            <w:pPr>
              <w:spacing w:line="240" w:lineRule="auto"/>
              <w:contextualSpacing/>
              <w:jc w:val="left"/>
              <w:rPr>
                <w:rFonts w:cs="Times New Roman"/>
                <w:b/>
                <w:sz w:val="20"/>
                <w:szCs w:val="20"/>
              </w:rPr>
            </w:pPr>
            <w:r w:rsidRPr="00AA22EE">
              <w:rPr>
                <w:rFonts w:cs="Times New Roman"/>
                <w:b/>
                <w:sz w:val="20"/>
                <w:szCs w:val="20"/>
              </w:rPr>
              <w:t xml:space="preserve">Type and Duration </w:t>
            </w:r>
          </w:p>
        </w:tc>
        <w:tc>
          <w:tcPr>
            <w:tcW w:w="1100" w:type="dxa"/>
            <w:tcBorders>
              <w:top w:val="nil"/>
              <w:left w:val="nil"/>
              <w:bottom w:val="single" w:sz="4" w:space="0" w:color="auto"/>
              <w:right w:val="nil"/>
            </w:tcBorders>
          </w:tcPr>
          <w:p w:rsidR="007E60E4" w:rsidRPr="00AA22EE" w:rsidRDefault="007E60E4" w:rsidP="008C190E">
            <w:pPr>
              <w:spacing w:line="240" w:lineRule="auto"/>
              <w:contextualSpacing/>
              <w:jc w:val="left"/>
              <w:rPr>
                <w:rFonts w:cs="Times New Roman"/>
                <w:b/>
                <w:sz w:val="20"/>
                <w:szCs w:val="20"/>
              </w:rPr>
            </w:pPr>
            <w:r w:rsidRPr="00AA22EE">
              <w:rPr>
                <w:rFonts w:cs="Times New Roman"/>
                <w:b/>
                <w:sz w:val="20"/>
                <w:szCs w:val="20"/>
              </w:rPr>
              <w:t>Duration</w:t>
            </w:r>
          </w:p>
          <w:p w:rsidR="007E60E4" w:rsidRPr="00AA22EE" w:rsidRDefault="007E60E4" w:rsidP="008C190E">
            <w:pPr>
              <w:spacing w:line="240" w:lineRule="auto"/>
              <w:contextualSpacing/>
              <w:jc w:val="left"/>
              <w:rPr>
                <w:rFonts w:cs="Times New Roman"/>
                <w:b/>
                <w:sz w:val="20"/>
                <w:szCs w:val="20"/>
              </w:rPr>
            </w:pPr>
            <w:r w:rsidRPr="00AA22EE">
              <w:rPr>
                <w:rFonts w:cs="Times New Roman"/>
                <w:b/>
                <w:sz w:val="20"/>
                <w:szCs w:val="20"/>
              </w:rPr>
              <w:t>(weeks)</w:t>
            </w:r>
          </w:p>
        </w:tc>
        <w:tc>
          <w:tcPr>
            <w:tcW w:w="1701" w:type="dxa"/>
            <w:tcBorders>
              <w:top w:val="nil"/>
              <w:left w:val="nil"/>
              <w:bottom w:val="single" w:sz="4" w:space="0" w:color="auto"/>
              <w:right w:val="nil"/>
            </w:tcBorders>
          </w:tcPr>
          <w:p w:rsidR="007E60E4" w:rsidRPr="00AA22EE" w:rsidRDefault="007E60E4" w:rsidP="008C190E">
            <w:pPr>
              <w:spacing w:line="240" w:lineRule="auto"/>
              <w:contextualSpacing/>
              <w:jc w:val="left"/>
              <w:rPr>
                <w:rFonts w:cs="Times New Roman"/>
                <w:b/>
                <w:sz w:val="20"/>
                <w:szCs w:val="20"/>
              </w:rPr>
            </w:pPr>
            <w:r w:rsidRPr="00AA22EE">
              <w:rPr>
                <w:rFonts w:cs="Times New Roman"/>
                <w:b/>
                <w:sz w:val="20"/>
                <w:szCs w:val="20"/>
              </w:rPr>
              <w:t>Reference</w:t>
            </w:r>
          </w:p>
        </w:tc>
      </w:tr>
      <w:tr w:rsidR="007E60E4" w:rsidRPr="00AA22EE" w:rsidTr="007E60E4">
        <w:trPr>
          <w:trHeight w:val="1488"/>
        </w:trPr>
        <w:tc>
          <w:tcPr>
            <w:tcW w:w="1101" w:type="dxa"/>
            <w:tcBorders>
              <w:top w:val="single" w:sz="4" w:space="0" w:color="auto"/>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Positive</w:t>
            </w:r>
          </w:p>
        </w:tc>
        <w:tc>
          <w:tcPr>
            <w:tcW w:w="1842" w:type="dxa"/>
            <w:tcBorders>
              <w:top w:val="single" w:sz="4" w:space="0" w:color="auto"/>
              <w:left w:val="nil"/>
              <w:bottom w:val="nil"/>
              <w:right w:val="nil"/>
            </w:tcBorders>
          </w:tcPr>
          <w:p w:rsidR="007E60E4" w:rsidRPr="00AA22EE" w:rsidRDefault="007E60E4" w:rsidP="00F67658">
            <w:pPr>
              <w:spacing w:line="240" w:lineRule="auto"/>
              <w:contextualSpacing/>
              <w:jc w:val="left"/>
              <w:rPr>
                <w:rFonts w:cs="Times New Roman"/>
                <w:b/>
                <w:sz w:val="20"/>
                <w:szCs w:val="20"/>
              </w:rPr>
            </w:pPr>
            <w:r w:rsidRPr="00AA22EE">
              <w:rPr>
                <w:rFonts w:cs="Times New Roman"/>
                <w:sz w:val="20"/>
                <w:szCs w:val="20"/>
              </w:rPr>
              <w:t xml:space="preserve">Stem brown canker disease - </w:t>
            </w:r>
            <w:r w:rsidRPr="00AA22EE">
              <w:rPr>
                <w:rFonts w:cs="Times New Roman"/>
                <w:i/>
                <w:sz w:val="20"/>
                <w:szCs w:val="20"/>
              </w:rPr>
              <w:t xml:space="preserve"> </w:t>
            </w:r>
            <w:proofErr w:type="spellStart"/>
            <w:r w:rsidRPr="00AA22EE">
              <w:rPr>
                <w:rFonts w:cs="Times New Roman"/>
                <w:i/>
                <w:sz w:val="20"/>
                <w:szCs w:val="20"/>
              </w:rPr>
              <w:t>Botryosphaeria</w:t>
            </w:r>
            <w:proofErr w:type="spellEnd"/>
            <w:r w:rsidRPr="00AA22EE">
              <w:rPr>
                <w:rFonts w:cs="Times New Roman"/>
                <w:i/>
                <w:sz w:val="20"/>
                <w:szCs w:val="20"/>
              </w:rPr>
              <w:t xml:space="preserve"> </w:t>
            </w:r>
            <w:proofErr w:type="spellStart"/>
            <w:r w:rsidRPr="00AA22EE">
              <w:rPr>
                <w:rFonts w:cs="Times New Roman"/>
                <w:i/>
                <w:sz w:val="20"/>
                <w:szCs w:val="20"/>
              </w:rPr>
              <w:t>ribis</w:t>
            </w:r>
            <w:proofErr w:type="spellEnd"/>
          </w:p>
        </w:tc>
        <w:tc>
          <w:tcPr>
            <w:tcW w:w="1134" w:type="dxa"/>
            <w:tcBorders>
              <w:top w:val="single" w:sz="4" w:space="0" w:color="auto"/>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‘Oregon spur’ and MM106 rootstock</w:t>
            </w:r>
          </w:p>
          <w:p w:rsidR="007E60E4" w:rsidRPr="00AA22EE" w:rsidRDefault="007E60E4" w:rsidP="00F67658">
            <w:pPr>
              <w:spacing w:line="240" w:lineRule="auto"/>
              <w:contextualSpacing/>
              <w:jc w:val="left"/>
              <w:rPr>
                <w:rFonts w:cs="Times New Roman"/>
                <w:b/>
                <w:i/>
                <w:sz w:val="20"/>
                <w:szCs w:val="20"/>
              </w:rPr>
            </w:pPr>
          </w:p>
        </w:tc>
        <w:tc>
          <w:tcPr>
            <w:tcW w:w="2302" w:type="dxa"/>
            <w:tcBorders>
              <w:top w:val="single" w:sz="4" w:space="0" w:color="auto"/>
              <w:left w:val="nil"/>
              <w:bottom w:val="nil"/>
              <w:right w:val="nil"/>
            </w:tcBorders>
          </w:tcPr>
          <w:p w:rsidR="007E60E4" w:rsidRPr="00AA22EE" w:rsidRDefault="007E60E4" w:rsidP="00F67658">
            <w:pPr>
              <w:autoSpaceDE w:val="0"/>
              <w:autoSpaceDN w:val="0"/>
              <w:adjustRightInd w:val="0"/>
              <w:spacing w:line="240" w:lineRule="auto"/>
              <w:contextualSpacing/>
              <w:jc w:val="left"/>
              <w:rPr>
                <w:rFonts w:cs="Times New Roman"/>
                <w:i/>
                <w:sz w:val="20"/>
                <w:szCs w:val="20"/>
              </w:rPr>
            </w:pPr>
            <w:proofErr w:type="spellStart"/>
            <w:r w:rsidRPr="00AA22EE">
              <w:rPr>
                <w:rFonts w:cs="Times New Roman"/>
                <w:i/>
                <w:sz w:val="20"/>
                <w:szCs w:val="20"/>
              </w:rPr>
              <w:t>Sclerocystis</w:t>
            </w:r>
            <w:proofErr w:type="spellEnd"/>
            <w:r w:rsidRPr="00AA22EE">
              <w:rPr>
                <w:rFonts w:cs="Times New Roman"/>
                <w:i/>
                <w:sz w:val="20"/>
                <w:szCs w:val="20"/>
              </w:rPr>
              <w:t xml:space="preserve"> </w:t>
            </w:r>
            <w:proofErr w:type="spellStart"/>
            <w:r w:rsidRPr="00AA22EE">
              <w:rPr>
                <w:rFonts w:cs="Times New Roman"/>
                <w:i/>
                <w:sz w:val="20"/>
                <w:szCs w:val="20"/>
              </w:rPr>
              <w:t>dussi</w:t>
            </w:r>
            <w:proofErr w:type="spellEnd"/>
          </w:p>
          <w:p w:rsidR="007E60E4" w:rsidRPr="00AA22EE" w:rsidRDefault="00CC66C9" w:rsidP="00F67658">
            <w:pPr>
              <w:autoSpaceDE w:val="0"/>
              <w:autoSpaceDN w:val="0"/>
              <w:adjustRightInd w:val="0"/>
              <w:spacing w:line="240" w:lineRule="auto"/>
              <w:contextualSpacing/>
              <w:jc w:val="left"/>
              <w:rPr>
                <w:rFonts w:cs="Times New Roman"/>
                <w:i/>
                <w:sz w:val="20"/>
                <w:szCs w:val="20"/>
              </w:rPr>
            </w:pPr>
            <w:proofErr w:type="spellStart"/>
            <w:r>
              <w:rPr>
                <w:rFonts w:cs="Times New Roman"/>
                <w:i/>
                <w:sz w:val="20"/>
                <w:szCs w:val="20"/>
              </w:rPr>
              <w:t>Rhizophagus</w:t>
            </w:r>
            <w:proofErr w:type="spellEnd"/>
            <w:r>
              <w:rPr>
                <w:rFonts w:cs="Times New Roman"/>
                <w:i/>
                <w:sz w:val="20"/>
                <w:szCs w:val="20"/>
              </w:rPr>
              <w:t xml:space="preserve"> </w:t>
            </w:r>
            <w:proofErr w:type="spellStart"/>
            <w:r>
              <w:rPr>
                <w:rFonts w:cs="Times New Roman"/>
                <w:i/>
                <w:sz w:val="20"/>
                <w:szCs w:val="20"/>
              </w:rPr>
              <w:t>irregularis</w:t>
            </w:r>
            <w:proofErr w:type="spellEnd"/>
          </w:p>
          <w:p w:rsidR="007E60E4" w:rsidRPr="00AA22EE" w:rsidRDefault="007E60E4" w:rsidP="00F67658">
            <w:pPr>
              <w:autoSpaceDE w:val="0"/>
              <w:autoSpaceDN w:val="0"/>
              <w:adjustRightInd w:val="0"/>
              <w:spacing w:line="240" w:lineRule="auto"/>
              <w:contextualSpacing/>
              <w:jc w:val="left"/>
              <w:rPr>
                <w:rFonts w:cs="Times New Roman"/>
                <w:i/>
                <w:sz w:val="20"/>
                <w:szCs w:val="20"/>
              </w:rPr>
            </w:pPr>
            <w:r w:rsidRPr="00AA22EE">
              <w:rPr>
                <w:rFonts w:cs="Times New Roman"/>
                <w:i/>
                <w:sz w:val="20"/>
                <w:szCs w:val="20"/>
              </w:rPr>
              <w:t xml:space="preserve">Glomus  </w:t>
            </w:r>
            <w:proofErr w:type="spellStart"/>
            <w:r w:rsidRPr="00AA22EE">
              <w:rPr>
                <w:rFonts w:cs="Times New Roman"/>
                <w:i/>
                <w:sz w:val="20"/>
                <w:szCs w:val="20"/>
              </w:rPr>
              <w:t>fasciculatum</w:t>
            </w:r>
            <w:proofErr w:type="spellEnd"/>
            <w:r w:rsidRPr="00AA22EE">
              <w:rPr>
                <w:rFonts w:cs="Times New Roman"/>
                <w:i/>
                <w:sz w:val="20"/>
                <w:szCs w:val="20"/>
              </w:rPr>
              <w:t xml:space="preserve">, </w:t>
            </w:r>
          </w:p>
          <w:p w:rsidR="007E60E4" w:rsidRPr="00AA22EE" w:rsidRDefault="007E60E4" w:rsidP="00F67658">
            <w:pPr>
              <w:autoSpaceDE w:val="0"/>
              <w:autoSpaceDN w:val="0"/>
              <w:adjustRightInd w:val="0"/>
              <w:spacing w:line="240" w:lineRule="auto"/>
              <w:contextualSpacing/>
              <w:jc w:val="left"/>
              <w:rPr>
                <w:rFonts w:cs="Times New Roman"/>
                <w:i/>
                <w:sz w:val="20"/>
                <w:szCs w:val="20"/>
              </w:rPr>
            </w:pPr>
            <w:r w:rsidRPr="00AA22EE">
              <w:rPr>
                <w:rFonts w:cs="Times New Roman"/>
                <w:i/>
                <w:sz w:val="20"/>
                <w:szCs w:val="20"/>
              </w:rPr>
              <w:t xml:space="preserve">Glomus </w:t>
            </w:r>
            <w:proofErr w:type="spellStart"/>
            <w:r w:rsidRPr="00AA22EE">
              <w:rPr>
                <w:rFonts w:cs="Times New Roman"/>
                <w:i/>
                <w:sz w:val="20"/>
                <w:szCs w:val="20"/>
              </w:rPr>
              <w:t>bagyaraji</w:t>
            </w:r>
            <w:proofErr w:type="spellEnd"/>
            <w:r w:rsidRPr="00AA22EE">
              <w:rPr>
                <w:rFonts w:cs="Times New Roman"/>
                <w:i/>
                <w:sz w:val="20"/>
                <w:szCs w:val="20"/>
              </w:rPr>
              <w:t xml:space="preserve">, </w:t>
            </w:r>
          </w:p>
          <w:p w:rsidR="007E60E4" w:rsidRPr="00AA22EE" w:rsidRDefault="007E60E4" w:rsidP="00F67658">
            <w:pPr>
              <w:autoSpaceDE w:val="0"/>
              <w:autoSpaceDN w:val="0"/>
              <w:adjustRightInd w:val="0"/>
              <w:spacing w:line="240" w:lineRule="auto"/>
              <w:contextualSpacing/>
              <w:jc w:val="left"/>
              <w:rPr>
                <w:rFonts w:cs="Times New Roman"/>
                <w:i/>
                <w:sz w:val="20"/>
                <w:szCs w:val="20"/>
              </w:rPr>
            </w:pPr>
            <w:r w:rsidRPr="00AA22EE">
              <w:rPr>
                <w:rFonts w:cs="Times New Roman"/>
                <w:i/>
                <w:sz w:val="20"/>
                <w:szCs w:val="20"/>
              </w:rPr>
              <w:t xml:space="preserve">Glomus </w:t>
            </w:r>
            <w:proofErr w:type="spellStart"/>
            <w:r w:rsidRPr="00AA22EE">
              <w:rPr>
                <w:rFonts w:cs="Times New Roman"/>
                <w:i/>
                <w:sz w:val="20"/>
                <w:szCs w:val="20"/>
              </w:rPr>
              <w:t>leptotichum</w:t>
            </w:r>
            <w:proofErr w:type="spellEnd"/>
            <w:r w:rsidRPr="00AA22EE">
              <w:rPr>
                <w:rFonts w:cs="Times New Roman"/>
                <w:i/>
                <w:sz w:val="20"/>
                <w:szCs w:val="20"/>
              </w:rPr>
              <w:t xml:space="preserve">, </w:t>
            </w:r>
          </w:p>
          <w:p w:rsidR="007E60E4" w:rsidRPr="00AA22EE" w:rsidRDefault="007E60E4" w:rsidP="00F67658">
            <w:pPr>
              <w:autoSpaceDE w:val="0"/>
              <w:autoSpaceDN w:val="0"/>
              <w:adjustRightInd w:val="0"/>
              <w:spacing w:line="240" w:lineRule="auto"/>
              <w:contextualSpacing/>
              <w:jc w:val="left"/>
              <w:rPr>
                <w:rFonts w:cs="Times New Roman"/>
                <w:i/>
                <w:sz w:val="20"/>
                <w:szCs w:val="20"/>
              </w:rPr>
            </w:pPr>
            <w:r w:rsidRPr="00AA22EE">
              <w:rPr>
                <w:rFonts w:cs="Times New Roman"/>
                <w:i/>
                <w:sz w:val="20"/>
                <w:szCs w:val="20"/>
              </w:rPr>
              <w:t xml:space="preserve">Glomus </w:t>
            </w:r>
            <w:proofErr w:type="spellStart"/>
            <w:r w:rsidRPr="00AA22EE">
              <w:rPr>
                <w:rFonts w:cs="Times New Roman"/>
                <w:i/>
                <w:sz w:val="20"/>
                <w:szCs w:val="20"/>
              </w:rPr>
              <w:t>monosporum</w:t>
            </w:r>
            <w:proofErr w:type="spellEnd"/>
            <w:r w:rsidRPr="00AA22EE">
              <w:rPr>
                <w:rFonts w:cs="Times New Roman"/>
                <w:i/>
                <w:sz w:val="20"/>
                <w:szCs w:val="20"/>
              </w:rPr>
              <w:t>,</w:t>
            </w:r>
          </w:p>
          <w:p w:rsidR="007E60E4" w:rsidRPr="00AA22EE" w:rsidRDefault="007E60E4" w:rsidP="00F67658">
            <w:pPr>
              <w:spacing w:line="240" w:lineRule="auto"/>
              <w:contextualSpacing/>
              <w:jc w:val="left"/>
              <w:rPr>
                <w:rFonts w:cs="Times New Roman"/>
                <w:i/>
                <w:sz w:val="20"/>
                <w:szCs w:val="20"/>
              </w:rPr>
            </w:pPr>
            <w:proofErr w:type="spellStart"/>
            <w:r w:rsidRPr="00AA22EE">
              <w:rPr>
                <w:rFonts w:cs="Times New Roman"/>
                <w:i/>
                <w:sz w:val="20"/>
                <w:szCs w:val="20"/>
              </w:rPr>
              <w:t>Gigaspora</w:t>
            </w:r>
            <w:proofErr w:type="spellEnd"/>
            <w:r w:rsidRPr="00AA22EE">
              <w:rPr>
                <w:rFonts w:cs="Times New Roman"/>
                <w:i/>
                <w:sz w:val="20"/>
                <w:szCs w:val="20"/>
              </w:rPr>
              <w:t xml:space="preserve"> margarita</w:t>
            </w:r>
          </w:p>
          <w:p w:rsidR="007E60E4" w:rsidRPr="00AA22EE" w:rsidRDefault="00CC66C9" w:rsidP="00F67658">
            <w:pPr>
              <w:spacing w:line="240" w:lineRule="auto"/>
              <w:contextualSpacing/>
              <w:jc w:val="left"/>
              <w:rPr>
                <w:rFonts w:cs="Times New Roman"/>
                <w:i/>
                <w:sz w:val="20"/>
                <w:szCs w:val="20"/>
              </w:rPr>
            </w:pPr>
            <w:proofErr w:type="spellStart"/>
            <w:r>
              <w:rPr>
                <w:rFonts w:cs="Times New Roman"/>
                <w:i/>
                <w:sz w:val="20"/>
                <w:szCs w:val="20"/>
              </w:rPr>
              <w:t>Funneliformis</w:t>
            </w:r>
            <w:proofErr w:type="spellEnd"/>
            <w:r>
              <w:rPr>
                <w:rFonts w:cs="Times New Roman"/>
                <w:i/>
                <w:sz w:val="20"/>
                <w:szCs w:val="20"/>
              </w:rPr>
              <w:t xml:space="preserve"> </w:t>
            </w:r>
            <w:proofErr w:type="spellStart"/>
            <w:r>
              <w:rPr>
                <w:rFonts w:cs="Times New Roman"/>
                <w:i/>
                <w:sz w:val="20"/>
                <w:szCs w:val="20"/>
              </w:rPr>
              <w:t>mosseae</w:t>
            </w:r>
            <w:proofErr w:type="spellEnd"/>
            <w:r w:rsidR="00745745">
              <w:rPr>
                <w:rFonts w:cs="Times New Roman"/>
                <w:i/>
                <w:sz w:val="20"/>
                <w:szCs w:val="20"/>
              </w:rPr>
              <w:t xml:space="preserve">, </w:t>
            </w:r>
            <w:proofErr w:type="spellStart"/>
            <w:r w:rsidR="00745745">
              <w:rPr>
                <w:rFonts w:cs="Times New Roman"/>
                <w:i/>
                <w:sz w:val="20"/>
                <w:szCs w:val="20"/>
              </w:rPr>
              <w:t>Gigaspora</w:t>
            </w:r>
            <w:proofErr w:type="spellEnd"/>
            <w:r w:rsidR="00745745">
              <w:rPr>
                <w:rFonts w:cs="Times New Roman"/>
                <w:i/>
                <w:sz w:val="20"/>
                <w:szCs w:val="20"/>
              </w:rPr>
              <w:t xml:space="preserve"> gigantean</w:t>
            </w:r>
            <w:r w:rsidR="007E60E4" w:rsidRPr="00AA22EE">
              <w:rPr>
                <w:rFonts w:cs="Times New Roman"/>
                <w:i/>
                <w:sz w:val="20"/>
                <w:szCs w:val="20"/>
              </w:rPr>
              <w:t xml:space="preserve"> Glomus </w:t>
            </w:r>
            <w:proofErr w:type="spellStart"/>
            <w:r w:rsidR="007E60E4" w:rsidRPr="00AA22EE">
              <w:rPr>
                <w:rFonts w:cs="Times New Roman"/>
                <w:i/>
                <w:sz w:val="20"/>
                <w:szCs w:val="20"/>
              </w:rPr>
              <w:t>manihotis</w:t>
            </w:r>
            <w:proofErr w:type="spellEnd"/>
          </w:p>
        </w:tc>
        <w:tc>
          <w:tcPr>
            <w:tcW w:w="2234" w:type="dxa"/>
            <w:tcBorders>
              <w:top w:val="single" w:sz="4" w:space="0" w:color="auto"/>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AM trees with had significantly lower incidence of canker disease, improved survival and growth</w:t>
            </w:r>
          </w:p>
          <w:p w:rsidR="007E60E4" w:rsidRPr="00AA22EE" w:rsidRDefault="007E60E4" w:rsidP="00F67658">
            <w:pPr>
              <w:spacing w:line="240" w:lineRule="auto"/>
              <w:contextualSpacing/>
              <w:jc w:val="left"/>
              <w:rPr>
                <w:rFonts w:cs="Times New Roman"/>
                <w:sz w:val="20"/>
                <w:szCs w:val="20"/>
              </w:rPr>
            </w:pPr>
          </w:p>
        </w:tc>
        <w:tc>
          <w:tcPr>
            <w:tcW w:w="1877" w:type="dxa"/>
            <w:gridSpan w:val="2"/>
            <w:tcBorders>
              <w:top w:val="single" w:sz="4" w:space="0" w:color="auto"/>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Improved tree health due to improved nutrition</w:t>
            </w:r>
          </w:p>
        </w:tc>
        <w:tc>
          <w:tcPr>
            <w:tcW w:w="1134" w:type="dxa"/>
            <w:tcBorders>
              <w:top w:val="single" w:sz="4" w:space="0" w:color="auto"/>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2 year old trees</w:t>
            </w:r>
          </w:p>
        </w:tc>
        <w:tc>
          <w:tcPr>
            <w:tcW w:w="1276" w:type="dxa"/>
            <w:tcBorders>
              <w:top w:val="single" w:sz="4" w:space="0" w:color="auto"/>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Greenhouse</w:t>
            </w:r>
          </w:p>
          <w:p w:rsidR="007E60E4" w:rsidRPr="00AA22EE" w:rsidRDefault="007E60E4" w:rsidP="00F67658">
            <w:pPr>
              <w:spacing w:line="240" w:lineRule="auto"/>
              <w:contextualSpacing/>
              <w:jc w:val="left"/>
              <w:rPr>
                <w:rFonts w:cs="Times New Roman"/>
                <w:sz w:val="20"/>
                <w:szCs w:val="20"/>
              </w:rPr>
            </w:pPr>
          </w:p>
        </w:tc>
        <w:tc>
          <w:tcPr>
            <w:tcW w:w="1100" w:type="dxa"/>
            <w:tcBorders>
              <w:top w:val="single" w:sz="4" w:space="0" w:color="auto"/>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11 months</w:t>
            </w:r>
          </w:p>
        </w:tc>
        <w:tc>
          <w:tcPr>
            <w:tcW w:w="1701" w:type="dxa"/>
            <w:tcBorders>
              <w:top w:val="single" w:sz="4" w:space="0" w:color="auto"/>
              <w:left w:val="nil"/>
              <w:bottom w:val="nil"/>
              <w:right w:val="nil"/>
            </w:tcBorders>
          </w:tcPr>
          <w:p w:rsidR="007E60E4" w:rsidRPr="00AA22EE" w:rsidRDefault="00690D05" w:rsidP="00954B3D">
            <w:pPr>
              <w:spacing w:line="240" w:lineRule="auto"/>
              <w:contextualSpacing/>
              <w:jc w:val="left"/>
              <w:rPr>
                <w:rFonts w:cs="Times New Roman"/>
                <w:sz w:val="20"/>
                <w:szCs w:val="20"/>
              </w:rPr>
            </w:pPr>
            <w:r>
              <w:rPr>
                <w:rFonts w:cs="Times New Roman"/>
                <w:sz w:val="20"/>
                <w:szCs w:val="20"/>
              </w:rPr>
              <w:fldChar w:fldCharType="begin"/>
            </w:r>
            <w:r w:rsidR="00954B3D">
              <w:rPr>
                <w:rFonts w:cs="Times New Roman"/>
                <w:sz w:val="20"/>
                <w:szCs w:val="20"/>
              </w:rPr>
              <w:instrText xml:space="preserve"> ADDIN ZOTERO_ITEM CSL_CITATION {"citationID":"632c4ra69","properties":{"formattedCitation":"{\\rtf (Krishna {\\i{}et al.}, 2010)}","plainCitation":"(Krishna et al., 2010)"},"citationItems":[{"id":18,"uris":["http://zotero.org/users/local/d1gJDEOw/items/F68EWQ2G"],"uri":["http://zotero.org/users/local/d1gJDEOw/items/F68EWQ2G"],"itemData":{"id":18,"type":"article-journal","title":"Suppression of Botryosphaeria canker of apple by arbuscular mycorrhizal fungi","container-title":"Crop Protection","page":"1049-1054","volume":"29","issue":"9","source":"ScienceDirect","abstract":"Stem brown canker or Botryosphaeria canker disease impairs the growth and kills the shoots, limbs and even trunks of infected apple trees. Apple roots are usually colonized by arbuscular mycorrhizal fungi, which may have a positive influence on plant growth and suppression of diseases. In order to assess the efficacy of AM to suppress the disease severity and plant growth enhancement, nine AMF inoculation treatments (Sclerocystis dussi, Glomus intraradices, G. fasciculatum, G. bagyaraji, G. leptotichum, G. monosporum, Gigaspora margarita, a mixed AM culture and a non-mycorrhizal control treatment) were used in this present study. Two-year-old potted apple plants, maintained under glasshouse conditions, were either pre-inoculated with AMF followed by stem inoculation with Botryosphaeria ribis or simultaneously inoculated with Botryosphaeria ribis and AM. The results indicated that the incidence of canker was less severe in plants inoculated with AMF in comparison to non-mycorrhizal control. Timing of inoculation also had a significant effect on disease development and plant survival. Plants pre-inoculated with mycorrhiza performed better over those inoculated simultaneously with Botryosphaeria ribis and AM fungi. Furthermore, AM inoculation resulted in improved survival and growth of AMF-colonized plants; though, it varied by species of AM fungi utilized.","DOI":"10.1016/j.cropro.2010.05.005","ISSN":"0261-2194","journalAbbreviation":"Crop Protection","author":[{"family":"Krishna","given":"Hare"},{"family":"Das","given":"Biswajit"},{"family":"Attri","given":"Brij Lal"},{"family":"Grover","given":"Minakshi"},{"family":"Ahmed","given":"Nazeer"}],"issued":{"date-parts":[["2010",9]]}}}],"schema":"https://github.com/citation-style-language/schema/raw/master/csl-citation.json"} </w:instrText>
            </w:r>
            <w:r>
              <w:rPr>
                <w:rFonts w:cs="Times New Roman"/>
                <w:sz w:val="20"/>
                <w:szCs w:val="20"/>
              </w:rPr>
              <w:fldChar w:fldCharType="separate"/>
            </w:r>
            <w:r w:rsidR="00954B3D" w:rsidRPr="00954B3D">
              <w:rPr>
                <w:rFonts w:cs="Times New Roman"/>
                <w:sz w:val="20"/>
                <w:szCs w:val="24"/>
              </w:rPr>
              <w:t xml:space="preserve">(Krishna </w:t>
            </w:r>
            <w:r w:rsidR="00954B3D" w:rsidRPr="00954B3D">
              <w:rPr>
                <w:rFonts w:cs="Times New Roman"/>
                <w:i/>
                <w:iCs/>
                <w:sz w:val="20"/>
                <w:szCs w:val="24"/>
              </w:rPr>
              <w:t>et al.</w:t>
            </w:r>
            <w:r w:rsidR="00954B3D" w:rsidRPr="00954B3D">
              <w:rPr>
                <w:rFonts w:cs="Times New Roman"/>
                <w:sz w:val="20"/>
                <w:szCs w:val="24"/>
              </w:rPr>
              <w:t>, 2010)</w:t>
            </w:r>
            <w:r>
              <w:rPr>
                <w:rFonts w:cs="Times New Roman"/>
                <w:sz w:val="20"/>
                <w:szCs w:val="20"/>
              </w:rPr>
              <w:fldChar w:fldCharType="end"/>
            </w:r>
          </w:p>
        </w:tc>
      </w:tr>
      <w:tr w:rsidR="007E60E4" w:rsidRPr="00AA22EE" w:rsidTr="007E60E4">
        <w:tc>
          <w:tcPr>
            <w:tcW w:w="1101"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Positive</w:t>
            </w:r>
          </w:p>
          <w:p w:rsidR="007E60E4" w:rsidRPr="00AA22EE" w:rsidRDefault="007E60E4" w:rsidP="00F67658">
            <w:pPr>
              <w:spacing w:line="240" w:lineRule="auto"/>
              <w:contextualSpacing/>
              <w:jc w:val="left"/>
              <w:rPr>
                <w:rFonts w:cs="Times New Roman"/>
                <w:sz w:val="20"/>
                <w:szCs w:val="20"/>
              </w:rPr>
            </w:pPr>
          </w:p>
        </w:tc>
        <w:tc>
          <w:tcPr>
            <w:tcW w:w="1842"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 xml:space="preserve">White root rot - </w:t>
            </w:r>
            <w:proofErr w:type="spellStart"/>
            <w:r w:rsidRPr="00AA22EE">
              <w:rPr>
                <w:rFonts w:cs="Times New Roman"/>
                <w:i/>
                <w:sz w:val="20"/>
                <w:szCs w:val="20"/>
              </w:rPr>
              <w:t>Dematophora</w:t>
            </w:r>
            <w:proofErr w:type="spellEnd"/>
            <w:r w:rsidRPr="00AA22EE">
              <w:rPr>
                <w:rFonts w:cs="Times New Roman"/>
                <w:i/>
                <w:sz w:val="20"/>
                <w:szCs w:val="20"/>
              </w:rPr>
              <w:t xml:space="preserve"> </w:t>
            </w:r>
            <w:proofErr w:type="spellStart"/>
            <w:r w:rsidRPr="00AA22EE">
              <w:rPr>
                <w:rFonts w:cs="Times New Roman"/>
                <w:i/>
                <w:sz w:val="20"/>
                <w:szCs w:val="20"/>
              </w:rPr>
              <w:t>necatrix</w:t>
            </w:r>
            <w:proofErr w:type="spellEnd"/>
            <w:r w:rsidRPr="00AA22EE">
              <w:rPr>
                <w:rFonts w:cs="Times New Roman"/>
                <w:i/>
                <w:sz w:val="20"/>
                <w:szCs w:val="20"/>
              </w:rPr>
              <w:t xml:space="preserve"> , </w:t>
            </w:r>
            <w:proofErr w:type="spellStart"/>
            <w:r w:rsidRPr="00AA22EE">
              <w:rPr>
                <w:rFonts w:cs="Times New Roman"/>
                <w:i/>
                <w:sz w:val="20"/>
                <w:szCs w:val="20"/>
              </w:rPr>
              <w:t>Rosellinia</w:t>
            </w:r>
            <w:proofErr w:type="spellEnd"/>
            <w:r w:rsidRPr="00AA22EE">
              <w:rPr>
                <w:rFonts w:cs="Times New Roman"/>
                <w:i/>
                <w:sz w:val="20"/>
                <w:szCs w:val="20"/>
              </w:rPr>
              <w:t xml:space="preserve"> </w:t>
            </w:r>
            <w:proofErr w:type="spellStart"/>
            <w:r w:rsidRPr="00AA22EE">
              <w:rPr>
                <w:rFonts w:cs="Times New Roman"/>
                <w:i/>
                <w:sz w:val="20"/>
                <w:szCs w:val="20"/>
              </w:rPr>
              <w:t>necatrix</w:t>
            </w:r>
            <w:proofErr w:type="spellEnd"/>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‘Golden Delicious’ and ‘</w:t>
            </w:r>
            <w:proofErr w:type="spellStart"/>
            <w:r w:rsidRPr="00AA22EE">
              <w:rPr>
                <w:rFonts w:cs="Times New Roman"/>
                <w:sz w:val="20"/>
                <w:szCs w:val="20"/>
              </w:rPr>
              <w:t>Starking</w:t>
            </w:r>
            <w:proofErr w:type="spellEnd"/>
            <w:r w:rsidRPr="00AA22EE">
              <w:rPr>
                <w:rFonts w:cs="Times New Roman"/>
                <w:sz w:val="20"/>
                <w:szCs w:val="20"/>
              </w:rPr>
              <w:t xml:space="preserve"> Delicious’ rootstock</w:t>
            </w:r>
          </w:p>
        </w:tc>
        <w:tc>
          <w:tcPr>
            <w:tcW w:w="2302" w:type="dxa"/>
            <w:tcBorders>
              <w:top w:val="nil"/>
              <w:left w:val="nil"/>
              <w:bottom w:val="nil"/>
              <w:right w:val="nil"/>
            </w:tcBorders>
          </w:tcPr>
          <w:p w:rsidR="007E60E4" w:rsidRPr="00AA22EE" w:rsidRDefault="007E60E4" w:rsidP="00F67658">
            <w:pPr>
              <w:spacing w:line="240" w:lineRule="auto"/>
              <w:contextualSpacing/>
              <w:jc w:val="left"/>
              <w:rPr>
                <w:rFonts w:cs="Times New Roman"/>
                <w:i/>
                <w:sz w:val="20"/>
                <w:szCs w:val="20"/>
                <w:lang w:val="pt-PT"/>
              </w:rPr>
            </w:pPr>
            <w:r w:rsidRPr="00AA22EE">
              <w:rPr>
                <w:rFonts w:cs="Times New Roman"/>
                <w:i/>
                <w:sz w:val="20"/>
                <w:szCs w:val="20"/>
                <w:lang w:val="pt-PT"/>
              </w:rPr>
              <w:t>Glomus fesiculatum</w:t>
            </w:r>
          </w:p>
          <w:p w:rsidR="007E60E4" w:rsidRPr="00AA22EE" w:rsidRDefault="007E60E4" w:rsidP="00F67658">
            <w:pPr>
              <w:spacing w:line="240" w:lineRule="auto"/>
              <w:contextualSpacing/>
              <w:jc w:val="left"/>
              <w:rPr>
                <w:rFonts w:cs="Times New Roman"/>
                <w:i/>
                <w:sz w:val="20"/>
                <w:szCs w:val="20"/>
                <w:lang w:val="pt-PT"/>
              </w:rPr>
            </w:pPr>
            <w:r w:rsidRPr="00AA22EE">
              <w:rPr>
                <w:rFonts w:cs="Times New Roman"/>
                <w:i/>
                <w:sz w:val="20"/>
                <w:szCs w:val="20"/>
                <w:lang w:val="pt-PT"/>
              </w:rPr>
              <w:t>Glomus macrocarpum</w:t>
            </w:r>
          </w:p>
          <w:p w:rsidR="007E60E4" w:rsidRPr="00AA22EE" w:rsidRDefault="00CC66C9" w:rsidP="00F67658">
            <w:pPr>
              <w:spacing w:line="240" w:lineRule="auto"/>
              <w:contextualSpacing/>
              <w:jc w:val="left"/>
              <w:rPr>
                <w:rFonts w:cs="Times New Roman"/>
                <w:i/>
                <w:sz w:val="20"/>
                <w:szCs w:val="20"/>
                <w:lang w:val="pt-PT"/>
              </w:rPr>
            </w:pPr>
            <w:r>
              <w:rPr>
                <w:rFonts w:cs="Times New Roman"/>
                <w:i/>
                <w:sz w:val="20"/>
                <w:szCs w:val="20"/>
                <w:lang w:val="pt-PT"/>
              </w:rPr>
              <w:t>Funneliformis mosseae</w:t>
            </w:r>
          </w:p>
          <w:p w:rsidR="007E60E4" w:rsidRPr="00AA22EE" w:rsidRDefault="007E60E4" w:rsidP="00F67658">
            <w:pPr>
              <w:spacing w:line="240" w:lineRule="auto"/>
              <w:contextualSpacing/>
              <w:jc w:val="left"/>
              <w:rPr>
                <w:rFonts w:cs="Times New Roman"/>
                <w:sz w:val="20"/>
                <w:szCs w:val="20"/>
              </w:rPr>
            </w:pPr>
            <w:proofErr w:type="spellStart"/>
            <w:r w:rsidRPr="00AA22EE">
              <w:rPr>
                <w:rFonts w:cs="Times New Roman"/>
                <w:i/>
                <w:sz w:val="20"/>
                <w:szCs w:val="20"/>
              </w:rPr>
              <w:t>Gigaspora</w:t>
            </w:r>
            <w:proofErr w:type="spellEnd"/>
            <w:r w:rsidRPr="00AA22EE">
              <w:rPr>
                <w:rFonts w:cs="Times New Roman"/>
                <w:i/>
                <w:sz w:val="20"/>
                <w:szCs w:val="20"/>
              </w:rPr>
              <w:t xml:space="preserve"> </w:t>
            </w:r>
            <w:proofErr w:type="spellStart"/>
            <w:r w:rsidRPr="00AA22EE">
              <w:rPr>
                <w:rFonts w:cs="Times New Roman"/>
                <w:i/>
                <w:sz w:val="20"/>
                <w:szCs w:val="20"/>
              </w:rPr>
              <w:t>sp</w:t>
            </w:r>
            <w:proofErr w:type="spellEnd"/>
          </w:p>
        </w:tc>
        <w:tc>
          <w:tcPr>
            <w:tcW w:w="2234" w:type="dxa"/>
            <w:tcBorders>
              <w:top w:val="nil"/>
              <w:left w:val="nil"/>
              <w:bottom w:val="nil"/>
              <w:right w:val="nil"/>
            </w:tcBorders>
          </w:tcPr>
          <w:p w:rsidR="007E60E4" w:rsidRPr="00AA22EE" w:rsidRDefault="00E44545" w:rsidP="00F67658">
            <w:pPr>
              <w:spacing w:line="240" w:lineRule="auto"/>
              <w:contextualSpacing/>
              <w:jc w:val="left"/>
              <w:rPr>
                <w:rFonts w:cs="Times New Roman"/>
                <w:sz w:val="20"/>
                <w:szCs w:val="20"/>
              </w:rPr>
            </w:pPr>
            <w:r>
              <w:rPr>
                <w:rFonts w:cs="Times New Roman"/>
                <w:sz w:val="20"/>
                <w:szCs w:val="20"/>
              </w:rPr>
              <w:t>Inoculation with AMF</w:t>
            </w:r>
            <w:r w:rsidR="007E60E4" w:rsidRPr="00AA22EE">
              <w:rPr>
                <w:rFonts w:cs="Times New Roman"/>
                <w:sz w:val="20"/>
                <w:szCs w:val="20"/>
              </w:rPr>
              <w:t xml:space="preserve"> reduced disease incidence</w:t>
            </w:r>
          </w:p>
        </w:tc>
        <w:tc>
          <w:tcPr>
            <w:tcW w:w="1877" w:type="dxa"/>
            <w:gridSpan w:val="2"/>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Improved tree health</w:t>
            </w:r>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Seedlings</w:t>
            </w:r>
          </w:p>
        </w:tc>
        <w:tc>
          <w:tcPr>
            <w:tcW w:w="1276"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Field</w:t>
            </w:r>
          </w:p>
          <w:p w:rsidR="007E60E4" w:rsidRPr="00AA22EE" w:rsidRDefault="007E60E4" w:rsidP="00F67658">
            <w:pPr>
              <w:spacing w:line="240" w:lineRule="auto"/>
              <w:contextualSpacing/>
              <w:jc w:val="left"/>
              <w:rPr>
                <w:rFonts w:cs="Times New Roman"/>
                <w:sz w:val="20"/>
                <w:szCs w:val="20"/>
              </w:rPr>
            </w:pPr>
          </w:p>
        </w:tc>
        <w:tc>
          <w:tcPr>
            <w:tcW w:w="1100"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3 years</w:t>
            </w:r>
          </w:p>
        </w:tc>
        <w:tc>
          <w:tcPr>
            <w:tcW w:w="1701" w:type="dxa"/>
            <w:tcBorders>
              <w:top w:val="nil"/>
              <w:left w:val="nil"/>
              <w:bottom w:val="nil"/>
              <w:right w:val="nil"/>
            </w:tcBorders>
          </w:tcPr>
          <w:p w:rsidR="007E60E4" w:rsidRPr="00AA22EE" w:rsidRDefault="00690D05" w:rsidP="00F67658">
            <w:pPr>
              <w:spacing w:line="240" w:lineRule="auto"/>
              <w:contextualSpacing/>
              <w:jc w:val="left"/>
              <w:rPr>
                <w:rFonts w:cs="Times New Roman"/>
                <w:sz w:val="20"/>
                <w:szCs w:val="20"/>
              </w:rPr>
            </w:pPr>
            <w:r>
              <w:rPr>
                <w:rFonts w:cs="Times New Roman"/>
                <w:sz w:val="20"/>
                <w:szCs w:val="20"/>
              </w:rPr>
              <w:fldChar w:fldCharType="begin"/>
            </w:r>
            <w:r w:rsidR="00954B3D">
              <w:rPr>
                <w:rFonts w:cs="Times New Roman"/>
                <w:sz w:val="20"/>
                <w:szCs w:val="20"/>
              </w:rPr>
              <w:instrText xml:space="preserve"> ADDIN ZOTERO_ITEM CSL_CITATION {"citationID":"iktqjq0uv","properties":{"formattedCitation":"(Raj &amp; Sharma, 2009)","plainCitation":"(Raj &amp; Sharma, 2009)"},"citationItems":[{"id":69,"uris":["http://zotero.org/users/local/d1gJDEOw/items/Q6K4PJT3"],"uri":["http://zotero.org/users/local/d1gJDEOw/items/Q6K4PJT3"],"itemData":{"id":69,"type":"article-journal","title":"Integration of soil solarization and chemical sterilization with beneficial microorganisms for the control of white root rot and growth of nursery apple","container-title":"Scientia Horticulturae","page":"126-131","volume":"119","issue":"2","abstract":"White root rot (Dematophora necatrix (Mart.)) is a serious disease of apple (Malus domestica Borkh) in nurseries and orchards in India. In 2002 and 2003, field experiments were conducted to integrate soil solarization with native isolates of Azotobacter chrococcum and vesicular–arbuscular mycorrhizal fungi and observe its effect on the incidence of white root rot and growth of the saplings. Apple seeds coated with two native isolates of A. chrococcum (AZUHF1 and AZUHF2) were sown in plots inoculated with 4 native isolates of va-mycorrhiza, i.e. AMUHF1 (Glomus fesiculatum), AMUHF2 (Glomus macrocarpum), AMUHF3 (Glomus mosseae) and AMUHF4 (Gigaspora sp.) in 14 different combinations and these plots were solarized with transparent polyethylene mulch (25 μm thick) for 40 days in summer months. Soil solarization resulted around 9 °C higher temperature with average maximum temperature of 38–39 °C. Inoculation of saplings with AMUHF1 isolate of va-mycorrhiza and AZUHF1 isolate of A. chrococcum and then their planting in solarized soil was found most effective with no incidence of white root rot in comparison to 33.6–35.4% in control accompanied with 78–113% increase in shoot length and 81.6–84.3% increase in root length. Shoot and root length of the saplings was 9.6–10.6 and 9.2–16.0% higher, respectively, in solarized plots in comparison to sterilized plots.","DOI":"10.1016/j.scienta.2008.07.025","ISSN":"0304-4238","journalAbbreviation":"Scientia Horticulturae","author":[{"family":"Raj","given":"Harender"},{"family":"Sharma","given":"S.D."}],"issued":{"date-parts":[["2009",1,6]]}}}],"schema":"https://github.com/citation-style-language/schema/raw/master/csl-citation.json"} </w:instrText>
            </w:r>
            <w:r>
              <w:rPr>
                <w:rFonts w:cs="Times New Roman"/>
                <w:sz w:val="20"/>
                <w:szCs w:val="20"/>
              </w:rPr>
              <w:fldChar w:fldCharType="separate"/>
            </w:r>
            <w:r w:rsidR="00954B3D" w:rsidRPr="00954B3D">
              <w:rPr>
                <w:rFonts w:cs="Times New Roman"/>
                <w:sz w:val="20"/>
              </w:rPr>
              <w:t>(Raj &amp; Sharma, 2009)</w:t>
            </w:r>
            <w:r>
              <w:rPr>
                <w:rFonts w:cs="Times New Roman"/>
                <w:sz w:val="20"/>
                <w:szCs w:val="20"/>
              </w:rPr>
              <w:fldChar w:fldCharType="end"/>
            </w:r>
          </w:p>
        </w:tc>
      </w:tr>
      <w:tr w:rsidR="007E60E4" w:rsidRPr="00AA22EE" w:rsidTr="007E60E4">
        <w:tc>
          <w:tcPr>
            <w:tcW w:w="1101"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Positive</w:t>
            </w:r>
          </w:p>
        </w:tc>
        <w:tc>
          <w:tcPr>
            <w:tcW w:w="1842" w:type="dxa"/>
            <w:tcBorders>
              <w:top w:val="nil"/>
              <w:left w:val="nil"/>
              <w:bottom w:val="nil"/>
              <w:right w:val="nil"/>
            </w:tcBorders>
          </w:tcPr>
          <w:p w:rsidR="007E60E4" w:rsidRPr="00AA22EE" w:rsidRDefault="00E44545" w:rsidP="00F67658">
            <w:pPr>
              <w:spacing w:line="240" w:lineRule="auto"/>
              <w:contextualSpacing/>
              <w:jc w:val="left"/>
              <w:rPr>
                <w:rFonts w:cs="Times New Roman"/>
                <w:sz w:val="20"/>
                <w:szCs w:val="20"/>
              </w:rPr>
            </w:pPr>
            <w:r>
              <w:rPr>
                <w:rFonts w:cs="Times New Roman"/>
                <w:sz w:val="20"/>
                <w:szCs w:val="20"/>
              </w:rPr>
              <w:t xml:space="preserve">Root rot: </w:t>
            </w:r>
            <w:proofErr w:type="spellStart"/>
            <w:r w:rsidR="007E60E4" w:rsidRPr="00AA22EE">
              <w:rPr>
                <w:rFonts w:cs="Times New Roman"/>
                <w:i/>
                <w:sz w:val="20"/>
                <w:szCs w:val="20"/>
              </w:rPr>
              <w:t>Phytophthora</w:t>
            </w:r>
            <w:proofErr w:type="spellEnd"/>
            <w:r w:rsidR="007E60E4" w:rsidRPr="00AA22EE">
              <w:rPr>
                <w:rFonts w:cs="Times New Roman"/>
                <w:i/>
                <w:sz w:val="20"/>
                <w:szCs w:val="20"/>
              </w:rPr>
              <w:t xml:space="preserve"> </w:t>
            </w:r>
            <w:proofErr w:type="spellStart"/>
            <w:r w:rsidR="007E60E4" w:rsidRPr="00AA22EE">
              <w:rPr>
                <w:rFonts w:cs="Times New Roman"/>
                <w:i/>
                <w:sz w:val="20"/>
                <w:szCs w:val="20"/>
              </w:rPr>
              <w:t>cactorum</w:t>
            </w:r>
            <w:proofErr w:type="spellEnd"/>
            <w:r w:rsidR="007E60E4" w:rsidRPr="00AA22EE">
              <w:rPr>
                <w:rFonts w:cs="Times New Roman"/>
                <w:sz w:val="20"/>
                <w:szCs w:val="20"/>
              </w:rPr>
              <w:t xml:space="preserve">, </w:t>
            </w:r>
            <w:r w:rsidR="007E60E4" w:rsidRPr="00AA22EE">
              <w:rPr>
                <w:rFonts w:cs="Times New Roman"/>
                <w:i/>
                <w:sz w:val="20"/>
                <w:szCs w:val="20"/>
              </w:rPr>
              <w:t xml:space="preserve">Pythium </w:t>
            </w:r>
            <w:proofErr w:type="spellStart"/>
            <w:r w:rsidR="007E60E4" w:rsidRPr="00AA22EE">
              <w:rPr>
                <w:rFonts w:cs="Times New Roman"/>
                <w:i/>
                <w:sz w:val="20"/>
                <w:szCs w:val="20"/>
              </w:rPr>
              <w:t>ultimum</w:t>
            </w:r>
            <w:proofErr w:type="spellEnd"/>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‘Gala’ and M9 rootstock</w:t>
            </w:r>
          </w:p>
        </w:tc>
        <w:tc>
          <w:tcPr>
            <w:tcW w:w="2302" w:type="dxa"/>
            <w:tcBorders>
              <w:top w:val="nil"/>
              <w:left w:val="nil"/>
              <w:bottom w:val="nil"/>
              <w:right w:val="nil"/>
            </w:tcBorders>
          </w:tcPr>
          <w:p w:rsidR="007E60E4" w:rsidRPr="00AA22EE" w:rsidRDefault="00CC66C9" w:rsidP="00F67658">
            <w:pPr>
              <w:spacing w:line="240" w:lineRule="auto"/>
              <w:contextualSpacing/>
              <w:jc w:val="left"/>
              <w:rPr>
                <w:rFonts w:cs="Times New Roman"/>
                <w:i/>
                <w:sz w:val="20"/>
                <w:szCs w:val="20"/>
              </w:rPr>
            </w:pPr>
            <w:proofErr w:type="spellStart"/>
            <w:r>
              <w:rPr>
                <w:rFonts w:cs="Times New Roman"/>
                <w:i/>
                <w:sz w:val="20"/>
                <w:szCs w:val="20"/>
              </w:rPr>
              <w:t>Rhizophagus</w:t>
            </w:r>
            <w:proofErr w:type="spellEnd"/>
            <w:r>
              <w:rPr>
                <w:rFonts w:cs="Times New Roman"/>
                <w:i/>
                <w:sz w:val="20"/>
                <w:szCs w:val="20"/>
              </w:rPr>
              <w:t xml:space="preserve"> </w:t>
            </w:r>
            <w:proofErr w:type="spellStart"/>
            <w:r>
              <w:rPr>
                <w:rFonts w:cs="Times New Roman"/>
                <w:i/>
                <w:sz w:val="20"/>
                <w:szCs w:val="20"/>
              </w:rPr>
              <w:t>irregularis</w:t>
            </w:r>
            <w:proofErr w:type="spellEnd"/>
          </w:p>
        </w:tc>
        <w:tc>
          <w:tcPr>
            <w:tcW w:w="22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Significantly improved fruit yield in years 3 and 4, improved tree growth, reduced root infection</w:t>
            </w:r>
          </w:p>
        </w:tc>
        <w:tc>
          <w:tcPr>
            <w:tcW w:w="1877" w:type="dxa"/>
            <w:gridSpan w:val="2"/>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Improved tree health</w:t>
            </w:r>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2 year old trees</w:t>
            </w:r>
          </w:p>
          <w:p w:rsidR="007E60E4" w:rsidRPr="00AA22EE" w:rsidRDefault="007E60E4" w:rsidP="00F67658">
            <w:pPr>
              <w:spacing w:line="240" w:lineRule="auto"/>
              <w:contextualSpacing/>
              <w:jc w:val="left"/>
              <w:rPr>
                <w:rFonts w:cs="Times New Roman"/>
                <w:sz w:val="20"/>
                <w:szCs w:val="20"/>
              </w:rPr>
            </w:pPr>
          </w:p>
        </w:tc>
        <w:tc>
          <w:tcPr>
            <w:tcW w:w="1276"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Field</w:t>
            </w:r>
          </w:p>
        </w:tc>
        <w:tc>
          <w:tcPr>
            <w:tcW w:w="1100"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6 years</w:t>
            </w:r>
          </w:p>
          <w:p w:rsidR="007E60E4" w:rsidRPr="00AA22EE" w:rsidRDefault="007E60E4" w:rsidP="00F67658">
            <w:pPr>
              <w:spacing w:line="240" w:lineRule="auto"/>
              <w:contextualSpacing/>
              <w:jc w:val="left"/>
              <w:rPr>
                <w:rFonts w:cs="Times New Roman"/>
                <w:sz w:val="20"/>
                <w:szCs w:val="20"/>
              </w:rPr>
            </w:pPr>
          </w:p>
        </w:tc>
        <w:tc>
          <w:tcPr>
            <w:tcW w:w="1701" w:type="dxa"/>
            <w:tcBorders>
              <w:top w:val="nil"/>
              <w:left w:val="nil"/>
              <w:bottom w:val="nil"/>
              <w:right w:val="nil"/>
            </w:tcBorders>
          </w:tcPr>
          <w:p w:rsidR="007E60E4" w:rsidRPr="00AA22EE" w:rsidRDefault="00690D05" w:rsidP="00690D05">
            <w:pPr>
              <w:spacing w:line="240" w:lineRule="auto"/>
              <w:contextualSpacing/>
              <w:jc w:val="left"/>
              <w:rPr>
                <w:rFonts w:cs="Times New Roman"/>
                <w:sz w:val="20"/>
                <w:szCs w:val="20"/>
              </w:rPr>
            </w:pPr>
            <w:r>
              <w:rPr>
                <w:rFonts w:cs="Times New Roman"/>
                <w:sz w:val="20"/>
                <w:szCs w:val="20"/>
              </w:rPr>
              <w:fldChar w:fldCharType="begin"/>
            </w:r>
            <w:r w:rsidR="00954B3D">
              <w:rPr>
                <w:rFonts w:cs="Times New Roman"/>
                <w:sz w:val="20"/>
                <w:szCs w:val="20"/>
              </w:rPr>
              <w:instrText xml:space="preserve"> ADDIN ZOTERO_ITEM CSL_CITATION {"citationID":"2pgg7avnam","properties":{"formattedCitation":"(Utkhede &amp; Smith, 2000)","plainCitation":"(Utkhede &amp; Smith, 2000)"},"citationItems":[{"id":70,"uris":["http://zotero.org/users/local/d1gJDEOw/items/H6WQIJ46"],"uri":["http://zotero.org/users/local/d1gJDEOw/items/H6WQIJ46"],"itemData":{"id":70,"type":"article-journal","title":"Impact of chemical, biological and cultural treatments on the growth and yield of apple in replant-disease soil","container-title":"Australasian Plant Pathology","page":"129-136","volume":"29","issue":"2","abstract":"An orchard experiment was established to determine the long-term (six year) effects of chemical (sodium methyldithiocarbonate — metam sodium), fertiliser (monoammonium phosphate) and biological agents [strain B8 of Enterobacter agglomerans, strain EBW-4 of Bacillus subtilis and Glomus intraradices (GI)] alone and in selected combinations on tree growth, fruit production and root rot incidence of apple trees in apple-replant-disease soil that was conducive to replant disease over six years. The response was measured by increases in trunk cross-sectional area, fruit yield and percent root rot of Gala apple trees on M.9 rootstock. The application of E. agglomerans (B8), B. subtilis (EBW-4), G. intraradices (GI), metam sodium (MS), MS + B8, MS + GI and B8 + EBW-4 significantly increased fruit yield, tree trunk growth and reduced infection by Phytophthora cactorum and Pythium ultimum. These results suggest the potential use of E. aerogenes (B8), B. subtilis (EBW-4) and G. intraradices to increase growth and fruit production of apple trees planted in soil conducive to replant disease.","DOI":"10.1071/AP00021","ISSN":"1448-6032","journalAbbreviation":"Australasian Plant Pathology","author":[{"family":"Utkhede","given":"R. S."},{"family":"Smith","given":"E. M."}],"issued":{"date-parts":[["2000"]]}}}],"schema":"https://github.com/citation-style-language/schema/raw/master/csl-citation.json"} </w:instrText>
            </w:r>
            <w:r>
              <w:rPr>
                <w:rFonts w:cs="Times New Roman"/>
                <w:sz w:val="20"/>
                <w:szCs w:val="20"/>
              </w:rPr>
              <w:fldChar w:fldCharType="separate"/>
            </w:r>
            <w:r w:rsidR="00954B3D" w:rsidRPr="00954B3D">
              <w:rPr>
                <w:rFonts w:cs="Times New Roman"/>
                <w:sz w:val="20"/>
              </w:rPr>
              <w:t>(</w:t>
            </w:r>
            <w:proofErr w:type="spellStart"/>
            <w:r w:rsidR="00954B3D" w:rsidRPr="00954B3D">
              <w:rPr>
                <w:rFonts w:cs="Times New Roman"/>
                <w:sz w:val="20"/>
              </w:rPr>
              <w:t>Utkhede</w:t>
            </w:r>
            <w:proofErr w:type="spellEnd"/>
            <w:r w:rsidR="00954B3D" w:rsidRPr="00954B3D">
              <w:rPr>
                <w:rFonts w:cs="Times New Roman"/>
                <w:sz w:val="20"/>
              </w:rPr>
              <w:t xml:space="preserve"> &amp; Smith, 2000)</w:t>
            </w:r>
            <w:r>
              <w:rPr>
                <w:rFonts w:cs="Times New Roman"/>
                <w:sz w:val="20"/>
                <w:szCs w:val="20"/>
              </w:rPr>
              <w:fldChar w:fldCharType="end"/>
            </w:r>
            <w:r w:rsidR="007E60E4" w:rsidRPr="00AA22EE">
              <w:rPr>
                <w:rFonts w:cs="Times New Roman"/>
                <w:sz w:val="20"/>
                <w:szCs w:val="20"/>
              </w:rPr>
              <w:fldChar w:fldCharType="begin"/>
            </w:r>
            <w:r w:rsidR="007E60E4" w:rsidRPr="00AA22EE">
              <w:rPr>
                <w:rFonts w:cs="Times New Roman"/>
                <w:sz w:val="20"/>
                <w:szCs w:val="20"/>
              </w:rPr>
              <w:instrText xml:space="preserve"> ADDIN EN.CITE &lt;EndNote&gt;&lt;Cite&gt;&lt;Author&gt;Utkhede&lt;/Author&gt;&lt;Year&gt;2000&lt;/Year&gt;&lt;IDText&gt;Impact of chemical, biological and cultural treatments on the growth and yield of apple in replant-disease soil&lt;/IDText&gt;&lt;DisplayText&gt;(Utkhede and Smith 2000)&lt;/DisplayText&gt;&lt;record&gt;&lt;urls&gt;&lt;related-urls&gt;&lt;url&gt;&amp;lt;Go to ISI&amp;gt;://WOS:000088040900008&lt;/url&gt;&lt;/related-urls&gt;&lt;/urls&gt;&lt;isbn&gt;0815-3191&lt;/isbn&gt;&lt;titles&gt;&lt;title&gt;Impact of chemical, biological and cultural treatments on the growth and yield of apple in replant-disease soil&lt;/title&gt;&lt;secondary-title&gt;Australasian Plant Pathology&lt;/secondary-title&gt;&lt;/titles&gt;&lt;pages&gt;129-136&lt;/pages&gt;&lt;number&gt;2&lt;/number&gt;&lt;contributors&gt;&lt;authors&gt;&lt;author&gt;Utkhede, R. S.&lt;/author&gt;&lt;author&gt;Smith, E. M.&lt;/author&gt;&lt;/authors&gt;&lt;/contributors&gt;&lt;added-date format="utc"&gt;1353682796&lt;/added-date&gt;&lt;ref-type name="Journal Article"&gt;17&lt;/ref-type&gt;&lt;dates&gt;&lt;year&gt;2000&lt;/year&gt;&lt;/dates&gt;&lt;rec-number&gt;91&lt;/rec-number&gt;&lt;last-updated-date format="utc"&gt;1353855139&lt;/last-updated-date&gt;&lt;accession-num&gt;WOS:000088040900008&lt;/accession-num&gt;&lt;electronic-resource-num&gt;10.1071/ap00021&lt;/electronic-resource-num&gt;&lt;volume&gt;29&lt;/volume&gt;&lt;/record&gt;&lt;/Cite&gt;&lt;/EndNote&gt;</w:instrText>
            </w:r>
            <w:r w:rsidR="007E60E4" w:rsidRPr="00AA22EE">
              <w:rPr>
                <w:rFonts w:cs="Times New Roman"/>
                <w:sz w:val="20"/>
                <w:szCs w:val="20"/>
              </w:rPr>
              <w:fldChar w:fldCharType="end"/>
            </w:r>
            <w:r w:rsidRPr="00AA22EE">
              <w:rPr>
                <w:rFonts w:cs="Times New Roman"/>
                <w:sz w:val="20"/>
                <w:szCs w:val="20"/>
              </w:rPr>
              <w:t xml:space="preserve"> </w:t>
            </w:r>
          </w:p>
        </w:tc>
      </w:tr>
      <w:tr w:rsidR="007E60E4" w:rsidRPr="00AA22EE" w:rsidTr="007E60E4">
        <w:tc>
          <w:tcPr>
            <w:tcW w:w="1101"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Positive</w:t>
            </w:r>
          </w:p>
        </w:tc>
        <w:tc>
          <w:tcPr>
            <w:tcW w:w="1842" w:type="dxa"/>
            <w:tcBorders>
              <w:top w:val="nil"/>
              <w:left w:val="nil"/>
              <w:bottom w:val="nil"/>
              <w:right w:val="nil"/>
            </w:tcBorders>
          </w:tcPr>
          <w:p w:rsidR="007E60E4" w:rsidRPr="00AA22EE" w:rsidRDefault="007E60E4" w:rsidP="009E2159">
            <w:pPr>
              <w:spacing w:line="240" w:lineRule="auto"/>
              <w:contextualSpacing/>
              <w:jc w:val="left"/>
              <w:rPr>
                <w:rFonts w:cs="Times New Roman"/>
                <w:sz w:val="20"/>
                <w:szCs w:val="20"/>
              </w:rPr>
            </w:pPr>
            <w:r w:rsidRPr="00AA22EE">
              <w:rPr>
                <w:rFonts w:cs="Times New Roman"/>
                <w:sz w:val="20"/>
                <w:szCs w:val="20"/>
              </w:rPr>
              <w:t>Specific Apple Replant Disease</w:t>
            </w:r>
            <w:r w:rsidR="009E2159">
              <w:rPr>
                <w:rFonts w:cs="Times New Roman"/>
                <w:sz w:val="20"/>
                <w:szCs w:val="20"/>
              </w:rPr>
              <w:t xml:space="preserve"> </w:t>
            </w:r>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M26 rootstock</w:t>
            </w:r>
          </w:p>
        </w:tc>
        <w:tc>
          <w:tcPr>
            <w:tcW w:w="2302"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proofErr w:type="spellStart"/>
            <w:r w:rsidRPr="00AA22EE">
              <w:rPr>
                <w:rFonts w:cs="Times New Roman"/>
                <w:i/>
                <w:iCs/>
                <w:sz w:val="20"/>
                <w:szCs w:val="20"/>
              </w:rPr>
              <w:t>Scutellospora</w:t>
            </w:r>
            <w:proofErr w:type="spellEnd"/>
            <w:r w:rsidRPr="00AA22EE">
              <w:rPr>
                <w:rFonts w:cs="Times New Roman"/>
                <w:i/>
                <w:iCs/>
                <w:sz w:val="20"/>
                <w:szCs w:val="20"/>
              </w:rPr>
              <w:t xml:space="preserve"> </w:t>
            </w:r>
            <w:proofErr w:type="spellStart"/>
            <w:r w:rsidRPr="00AA22EE">
              <w:rPr>
                <w:rFonts w:cs="Times New Roman"/>
                <w:i/>
                <w:iCs/>
                <w:sz w:val="20"/>
                <w:szCs w:val="20"/>
              </w:rPr>
              <w:t>calospora</w:t>
            </w:r>
            <w:proofErr w:type="spellEnd"/>
            <w:r w:rsidRPr="00AA22EE">
              <w:rPr>
                <w:rFonts w:cs="Times New Roman"/>
                <w:i/>
                <w:iCs/>
                <w:sz w:val="20"/>
                <w:szCs w:val="20"/>
              </w:rPr>
              <w:t>,</w:t>
            </w:r>
          </w:p>
        </w:tc>
        <w:tc>
          <w:tcPr>
            <w:tcW w:w="2234" w:type="dxa"/>
            <w:tcBorders>
              <w:top w:val="nil"/>
              <w:left w:val="nil"/>
              <w:bottom w:val="nil"/>
              <w:right w:val="nil"/>
            </w:tcBorders>
          </w:tcPr>
          <w:p w:rsidR="007E60E4" w:rsidRPr="00AA22EE" w:rsidRDefault="007E60E4" w:rsidP="009E2159">
            <w:pPr>
              <w:spacing w:line="240" w:lineRule="auto"/>
              <w:contextualSpacing/>
              <w:jc w:val="left"/>
              <w:rPr>
                <w:rFonts w:cs="Times New Roman"/>
                <w:sz w:val="20"/>
                <w:szCs w:val="20"/>
              </w:rPr>
            </w:pPr>
            <w:r w:rsidRPr="00AA22EE">
              <w:rPr>
                <w:rFonts w:cs="Times New Roman"/>
                <w:sz w:val="20"/>
                <w:szCs w:val="20"/>
              </w:rPr>
              <w:t>Increased shoot and root</w:t>
            </w:r>
            <w:r w:rsidR="009E2159">
              <w:rPr>
                <w:rFonts w:cs="Times New Roman"/>
                <w:sz w:val="20"/>
                <w:szCs w:val="20"/>
              </w:rPr>
              <w:t xml:space="preserve"> dry weight and shoot length</w:t>
            </w:r>
            <w:r w:rsidRPr="00AA22EE">
              <w:rPr>
                <w:rFonts w:cs="Times New Roman"/>
                <w:sz w:val="20"/>
                <w:szCs w:val="20"/>
              </w:rPr>
              <w:t>.</w:t>
            </w:r>
          </w:p>
        </w:tc>
        <w:tc>
          <w:tcPr>
            <w:tcW w:w="1877" w:type="dxa"/>
            <w:gridSpan w:val="2"/>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Beneficial effects on tree growth, development and health</w:t>
            </w:r>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Seedlings</w:t>
            </w:r>
          </w:p>
        </w:tc>
        <w:tc>
          <w:tcPr>
            <w:tcW w:w="1276"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Greenhouse</w:t>
            </w:r>
          </w:p>
          <w:p w:rsidR="007E60E4" w:rsidRPr="00AA22EE" w:rsidRDefault="007E60E4" w:rsidP="00F67658">
            <w:pPr>
              <w:spacing w:line="240" w:lineRule="auto"/>
              <w:contextualSpacing/>
              <w:jc w:val="left"/>
              <w:rPr>
                <w:rFonts w:cs="Times New Roman"/>
                <w:sz w:val="20"/>
                <w:szCs w:val="20"/>
              </w:rPr>
            </w:pPr>
          </w:p>
        </w:tc>
        <w:tc>
          <w:tcPr>
            <w:tcW w:w="1100" w:type="dxa"/>
            <w:tcBorders>
              <w:top w:val="nil"/>
              <w:left w:val="nil"/>
              <w:bottom w:val="nil"/>
              <w:right w:val="nil"/>
            </w:tcBorders>
          </w:tcPr>
          <w:p w:rsidR="007E60E4" w:rsidRPr="00AA22EE" w:rsidRDefault="007E60E4" w:rsidP="00F67658">
            <w:pPr>
              <w:spacing w:line="240" w:lineRule="auto"/>
              <w:contextualSpacing/>
              <w:jc w:val="left"/>
              <w:rPr>
                <w:rFonts w:cs="Times New Roman"/>
                <w:noProof/>
                <w:sz w:val="20"/>
                <w:szCs w:val="20"/>
              </w:rPr>
            </w:pPr>
            <w:r w:rsidRPr="00AA22EE">
              <w:rPr>
                <w:rFonts w:cs="Times New Roman"/>
                <w:noProof/>
                <w:sz w:val="20"/>
                <w:szCs w:val="20"/>
              </w:rPr>
              <w:t>8 months</w:t>
            </w:r>
          </w:p>
        </w:tc>
        <w:tc>
          <w:tcPr>
            <w:tcW w:w="1701" w:type="dxa"/>
            <w:tcBorders>
              <w:top w:val="nil"/>
              <w:left w:val="nil"/>
              <w:bottom w:val="nil"/>
              <w:right w:val="nil"/>
            </w:tcBorders>
          </w:tcPr>
          <w:p w:rsidR="007E60E4" w:rsidRPr="00AA22EE" w:rsidRDefault="00745745" w:rsidP="00954B3D">
            <w:pPr>
              <w:spacing w:line="240" w:lineRule="auto"/>
              <w:contextualSpacing/>
              <w:jc w:val="left"/>
              <w:rPr>
                <w:rFonts w:cs="Times New Roman"/>
                <w:sz w:val="20"/>
                <w:szCs w:val="20"/>
              </w:rPr>
            </w:pPr>
            <w:r>
              <w:rPr>
                <w:rFonts w:cs="Times New Roman"/>
                <w:sz w:val="20"/>
                <w:szCs w:val="20"/>
              </w:rPr>
              <w:fldChar w:fldCharType="begin"/>
            </w:r>
            <w:r w:rsidR="00954B3D">
              <w:rPr>
                <w:rFonts w:cs="Times New Roman"/>
                <w:sz w:val="20"/>
                <w:szCs w:val="20"/>
              </w:rPr>
              <w:instrText xml:space="preserve"> ADDIN ZOTERO_ITEM CSL_CITATION {"citationID":"21b0tf5mej","properties":{"formattedCitation":"{\\rtf (Ridgway {\\i{}et al.}, 2008)}","plainCitation":"(Ridgway et al., 2008)"},"citationItems":[{"id":211,"uris":["http://zotero.org/users/local/d1gJDEOw/items/A98CAPXD"],"uri":["http://zotero.org/users/local/d1gJDEOw/items/A98CAPXD"],"itemData":{"id":211,"type":"article-journal","title":"Arbuscular Mycorrhiza Improve Apple Rootstock Growth in Soil Conducive","container-title":"New Zealand Plant Protection","page":"48-53","volume":"61","source":"Web of Science","abstract":"Specific apple replant disease (SARD) impairs the growth and establishment of trees in replanted apple orchards. Apple roots are normally colonised by arbuscular mycorrhizal fungi (AMF), which may have beneficial effects on plant growth. Four AMF inoculation treatments (three species of AMF, Glomus mosseae. Acaulospora laevis and Scutellospora calospora, and all uninoculated control) were applied to M26 apple rootstock seedlings in SARD and non-SARD soil. Of the fungi inoculated, S. calospora had the greatest beneficial effect in improving shoot and root dry weight and shoot length in SARD soil. More disease symptoms occurred on main and feeder roots in SARD soil and none of the inoculated AMF fungi reduced these. Both A. laevis and S. calosporo significantly increased shoot length and gave a higher percentage of AMF-colonised roots in non-SARD soil. These results showed that AMF improve tolerance of apple to SARD and indicate that the beneficial effect is species specific. Characterisation of endogenous mycorrhizae in the soil identified S. pellucida. This is a new species record for New Zealand and provides the opportunity to determine whether the beneficial effect is specific to the genus Scutellospora.","language":"English","author":[{"family":"Ridgway","given":"H. J."},{"family":"Kandula","given":"J."},{"family":"Stewart","given":"A."}],"issued":{"date-parts":[["2008"]]}}}],"schema":"https://github.com/citation-style-language/schema/raw/master/csl-citation.json"} </w:instrText>
            </w:r>
            <w:r>
              <w:rPr>
                <w:rFonts w:cs="Times New Roman"/>
                <w:sz w:val="20"/>
                <w:szCs w:val="20"/>
              </w:rPr>
              <w:fldChar w:fldCharType="separate"/>
            </w:r>
            <w:r w:rsidR="00954B3D" w:rsidRPr="00954B3D">
              <w:rPr>
                <w:rFonts w:cs="Times New Roman"/>
                <w:sz w:val="20"/>
                <w:szCs w:val="24"/>
              </w:rPr>
              <w:t xml:space="preserve">(Ridgway </w:t>
            </w:r>
            <w:r w:rsidR="00954B3D" w:rsidRPr="00954B3D">
              <w:rPr>
                <w:rFonts w:cs="Times New Roman"/>
                <w:i/>
                <w:iCs/>
                <w:sz w:val="20"/>
                <w:szCs w:val="24"/>
              </w:rPr>
              <w:t>et al.</w:t>
            </w:r>
            <w:r w:rsidR="00954B3D" w:rsidRPr="00954B3D">
              <w:rPr>
                <w:rFonts w:cs="Times New Roman"/>
                <w:sz w:val="20"/>
                <w:szCs w:val="24"/>
              </w:rPr>
              <w:t>, 2008)</w:t>
            </w:r>
            <w:r>
              <w:rPr>
                <w:rFonts w:cs="Times New Roman"/>
                <w:sz w:val="20"/>
                <w:szCs w:val="20"/>
              </w:rPr>
              <w:fldChar w:fldCharType="end"/>
            </w:r>
          </w:p>
        </w:tc>
      </w:tr>
      <w:tr w:rsidR="007E60E4" w:rsidRPr="00AA22EE" w:rsidTr="007E60E4">
        <w:tc>
          <w:tcPr>
            <w:tcW w:w="1101"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Positive</w:t>
            </w:r>
          </w:p>
        </w:tc>
        <w:tc>
          <w:tcPr>
            <w:tcW w:w="1842"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Specific Apple Replant Disease</w:t>
            </w:r>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‘Katy’ and M111 rootstock</w:t>
            </w:r>
          </w:p>
        </w:tc>
        <w:tc>
          <w:tcPr>
            <w:tcW w:w="2302"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Commercial inoculum ‘</w:t>
            </w:r>
            <w:proofErr w:type="spellStart"/>
            <w:r w:rsidRPr="00AA22EE">
              <w:rPr>
                <w:rFonts w:cs="Times New Roman"/>
                <w:sz w:val="20"/>
                <w:szCs w:val="20"/>
              </w:rPr>
              <w:t>Vaminoc</w:t>
            </w:r>
            <w:r w:rsidRPr="00AA22EE">
              <w:rPr>
                <w:rFonts w:cs="Times New Roman"/>
                <w:sz w:val="20"/>
                <w:szCs w:val="20"/>
                <w:vertAlign w:val="superscript"/>
              </w:rPr>
              <w:t>TM</w:t>
            </w:r>
            <w:proofErr w:type="spellEnd"/>
            <w:r w:rsidRPr="00AA22EE">
              <w:rPr>
                <w:rFonts w:cs="Times New Roman"/>
                <w:sz w:val="20"/>
                <w:szCs w:val="20"/>
              </w:rPr>
              <w:t>’ species unspecified</w:t>
            </w:r>
          </w:p>
        </w:tc>
        <w:tc>
          <w:tcPr>
            <w:tcW w:w="22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 xml:space="preserve">Small improvement in growth and fruit production, improved survival during drought in year 1 </w:t>
            </w:r>
          </w:p>
        </w:tc>
        <w:tc>
          <w:tcPr>
            <w:tcW w:w="1877" w:type="dxa"/>
            <w:gridSpan w:val="2"/>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Improved tree health</w:t>
            </w:r>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1 year old trees</w:t>
            </w:r>
          </w:p>
        </w:tc>
        <w:tc>
          <w:tcPr>
            <w:tcW w:w="1276"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Field</w:t>
            </w:r>
          </w:p>
          <w:p w:rsidR="007E60E4" w:rsidRPr="00AA22EE" w:rsidRDefault="007E60E4" w:rsidP="00F67658">
            <w:pPr>
              <w:spacing w:line="240" w:lineRule="auto"/>
              <w:contextualSpacing/>
              <w:jc w:val="left"/>
              <w:rPr>
                <w:rFonts w:cs="Times New Roman"/>
                <w:sz w:val="20"/>
                <w:szCs w:val="20"/>
              </w:rPr>
            </w:pPr>
          </w:p>
        </w:tc>
        <w:tc>
          <w:tcPr>
            <w:tcW w:w="1100" w:type="dxa"/>
            <w:tcBorders>
              <w:top w:val="nil"/>
              <w:left w:val="nil"/>
              <w:bottom w:val="nil"/>
              <w:right w:val="nil"/>
            </w:tcBorders>
          </w:tcPr>
          <w:p w:rsidR="007E60E4" w:rsidRPr="00AA22EE" w:rsidRDefault="007E60E4" w:rsidP="00F67658">
            <w:pPr>
              <w:spacing w:line="240" w:lineRule="auto"/>
              <w:contextualSpacing/>
              <w:jc w:val="left"/>
              <w:rPr>
                <w:rFonts w:cs="Times New Roman"/>
                <w:noProof/>
                <w:sz w:val="20"/>
                <w:szCs w:val="20"/>
              </w:rPr>
            </w:pPr>
            <w:r w:rsidRPr="00AA22EE">
              <w:rPr>
                <w:rFonts w:cs="Times New Roman"/>
                <w:noProof/>
                <w:sz w:val="20"/>
                <w:szCs w:val="20"/>
              </w:rPr>
              <w:t>3 years</w:t>
            </w:r>
          </w:p>
        </w:tc>
        <w:tc>
          <w:tcPr>
            <w:tcW w:w="1701" w:type="dxa"/>
            <w:tcBorders>
              <w:top w:val="nil"/>
              <w:left w:val="nil"/>
              <w:bottom w:val="nil"/>
              <w:right w:val="nil"/>
            </w:tcBorders>
          </w:tcPr>
          <w:p w:rsidR="007E60E4" w:rsidRPr="00AA22EE" w:rsidRDefault="00745745" w:rsidP="00F67658">
            <w:pPr>
              <w:spacing w:line="240" w:lineRule="auto"/>
              <w:contextualSpacing/>
              <w:jc w:val="left"/>
              <w:rPr>
                <w:rFonts w:cs="Times New Roman"/>
                <w:noProof/>
                <w:sz w:val="20"/>
                <w:szCs w:val="20"/>
              </w:rPr>
            </w:pPr>
            <w:r>
              <w:rPr>
                <w:rFonts w:cs="Times New Roman"/>
                <w:noProof/>
                <w:sz w:val="20"/>
                <w:szCs w:val="20"/>
              </w:rPr>
              <w:fldChar w:fldCharType="begin"/>
            </w:r>
            <w:r w:rsidR="00954B3D">
              <w:rPr>
                <w:rFonts w:cs="Times New Roman"/>
                <w:noProof/>
                <w:sz w:val="20"/>
                <w:szCs w:val="20"/>
              </w:rPr>
              <w:instrText xml:space="preserve"> ADDIN ZOTERO_ITEM CSL_CITATION {"citationID":"1rjap1gb4l","properties":{"formattedCitation":"(Copas, 2002)","plainCitation":"(Copas, 2002)"},"citationItems":[{"id":804,"uris":["http://zotero.org/users/local/d1gJDEOw/items/HNZB8MZQ"],"uri":["http://zotero.org/users/local/d1gJDEOw/items/HNZB8MZQ"],"itemData":{"id":804,"type":"article","title":"Pre planting treatments to aid tree establishment Vaminoc mycorrhiza and Rindomil plus dips. NACM short report 2.8","publisher":"NACM","author":[{"family":"Copas","given":"L"}],"issued":{"date-parts":[["2002"]]}}}],"schema":"https://github.com/citation-style-language/schema/raw/master/csl-citation.json"} </w:instrText>
            </w:r>
            <w:r>
              <w:rPr>
                <w:rFonts w:cs="Times New Roman"/>
                <w:noProof/>
                <w:sz w:val="20"/>
                <w:szCs w:val="20"/>
              </w:rPr>
              <w:fldChar w:fldCharType="separate"/>
            </w:r>
            <w:r w:rsidR="00954B3D" w:rsidRPr="00954B3D">
              <w:rPr>
                <w:rFonts w:cs="Times New Roman"/>
                <w:sz w:val="20"/>
              </w:rPr>
              <w:t>(</w:t>
            </w:r>
            <w:proofErr w:type="spellStart"/>
            <w:r w:rsidR="00954B3D" w:rsidRPr="00954B3D">
              <w:rPr>
                <w:rFonts w:cs="Times New Roman"/>
                <w:sz w:val="20"/>
              </w:rPr>
              <w:t>Copas</w:t>
            </w:r>
            <w:proofErr w:type="spellEnd"/>
            <w:r w:rsidR="00954B3D" w:rsidRPr="00954B3D">
              <w:rPr>
                <w:rFonts w:cs="Times New Roman"/>
                <w:sz w:val="20"/>
              </w:rPr>
              <w:t>, 2002)</w:t>
            </w:r>
            <w:r>
              <w:rPr>
                <w:rFonts w:cs="Times New Roman"/>
                <w:noProof/>
                <w:sz w:val="20"/>
                <w:szCs w:val="20"/>
              </w:rPr>
              <w:fldChar w:fldCharType="end"/>
            </w:r>
          </w:p>
        </w:tc>
      </w:tr>
      <w:tr w:rsidR="007E60E4" w:rsidRPr="00AA22EE" w:rsidTr="007E60E4">
        <w:tc>
          <w:tcPr>
            <w:tcW w:w="1101"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lastRenderedPageBreak/>
              <w:t>Positive</w:t>
            </w:r>
          </w:p>
        </w:tc>
        <w:tc>
          <w:tcPr>
            <w:tcW w:w="1842"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Specific Apple Replant Disease</w:t>
            </w:r>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‘Kid’s Orange Red’</w:t>
            </w:r>
          </w:p>
        </w:tc>
        <w:tc>
          <w:tcPr>
            <w:tcW w:w="2302"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i/>
                <w:sz w:val="20"/>
                <w:szCs w:val="20"/>
              </w:rPr>
              <w:t xml:space="preserve">Glomus </w:t>
            </w:r>
            <w:proofErr w:type="spellStart"/>
            <w:r w:rsidRPr="00AA22EE">
              <w:rPr>
                <w:rFonts w:cs="Times New Roman"/>
                <w:i/>
                <w:sz w:val="20"/>
                <w:szCs w:val="20"/>
              </w:rPr>
              <w:t>fasciculatum</w:t>
            </w:r>
            <w:proofErr w:type="spellEnd"/>
            <w:r w:rsidR="009E2159">
              <w:rPr>
                <w:rFonts w:cs="Times New Roman"/>
                <w:sz w:val="20"/>
                <w:szCs w:val="20"/>
              </w:rPr>
              <w:t xml:space="preserve"> </w:t>
            </w:r>
            <w:r w:rsidRPr="00AA22EE">
              <w:rPr>
                <w:rFonts w:cs="Times New Roman"/>
                <w:i/>
                <w:sz w:val="20"/>
                <w:szCs w:val="20"/>
              </w:rPr>
              <w:t xml:space="preserve">Glomus </w:t>
            </w:r>
            <w:proofErr w:type="spellStart"/>
            <w:r w:rsidRPr="00AA22EE">
              <w:rPr>
                <w:rFonts w:cs="Times New Roman"/>
                <w:i/>
                <w:sz w:val="20"/>
                <w:szCs w:val="20"/>
              </w:rPr>
              <w:t>macrocarpum</w:t>
            </w:r>
            <w:proofErr w:type="spellEnd"/>
          </w:p>
        </w:tc>
        <w:tc>
          <w:tcPr>
            <w:tcW w:w="22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 xml:space="preserve">Increased plant height, shoot and root fresh mass, root dry matter </w:t>
            </w:r>
          </w:p>
          <w:p w:rsidR="007E60E4" w:rsidRPr="00AA22EE" w:rsidRDefault="007E60E4" w:rsidP="00F67658">
            <w:pPr>
              <w:spacing w:line="240" w:lineRule="auto"/>
              <w:contextualSpacing/>
              <w:jc w:val="left"/>
              <w:rPr>
                <w:rFonts w:cs="Times New Roman"/>
                <w:sz w:val="20"/>
                <w:szCs w:val="20"/>
              </w:rPr>
            </w:pPr>
          </w:p>
        </w:tc>
        <w:tc>
          <w:tcPr>
            <w:tcW w:w="1877" w:type="dxa"/>
            <w:gridSpan w:val="2"/>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Improved plant health, positive interactions between AM</w:t>
            </w:r>
            <w:r w:rsidR="00E44545">
              <w:rPr>
                <w:rFonts w:cs="Times New Roman"/>
                <w:sz w:val="20"/>
                <w:szCs w:val="20"/>
              </w:rPr>
              <w:t>F</w:t>
            </w:r>
            <w:r w:rsidRPr="00AA22EE">
              <w:rPr>
                <w:rFonts w:cs="Times New Roman"/>
                <w:sz w:val="20"/>
                <w:szCs w:val="20"/>
              </w:rPr>
              <w:t xml:space="preserve"> and  soil </w:t>
            </w:r>
            <w:proofErr w:type="spellStart"/>
            <w:r w:rsidRPr="00AA22EE">
              <w:rPr>
                <w:rFonts w:cs="Times New Roman"/>
                <w:sz w:val="20"/>
                <w:szCs w:val="20"/>
              </w:rPr>
              <w:t>microfauna</w:t>
            </w:r>
            <w:proofErr w:type="spellEnd"/>
            <w:r w:rsidRPr="00AA22EE">
              <w:rPr>
                <w:rFonts w:cs="Times New Roman"/>
                <w:sz w:val="20"/>
                <w:szCs w:val="20"/>
              </w:rPr>
              <w:t xml:space="preserve"> </w:t>
            </w:r>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Seedlings</w:t>
            </w:r>
          </w:p>
        </w:tc>
        <w:tc>
          <w:tcPr>
            <w:tcW w:w="1276"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Greenhouse</w:t>
            </w:r>
          </w:p>
          <w:p w:rsidR="007E60E4" w:rsidRPr="00AA22EE" w:rsidRDefault="007E60E4" w:rsidP="00F67658">
            <w:pPr>
              <w:spacing w:line="240" w:lineRule="auto"/>
              <w:contextualSpacing/>
              <w:jc w:val="left"/>
              <w:rPr>
                <w:rFonts w:cs="Times New Roman"/>
                <w:sz w:val="20"/>
                <w:szCs w:val="20"/>
              </w:rPr>
            </w:pPr>
          </w:p>
        </w:tc>
        <w:tc>
          <w:tcPr>
            <w:tcW w:w="1100" w:type="dxa"/>
            <w:tcBorders>
              <w:top w:val="nil"/>
              <w:left w:val="nil"/>
              <w:bottom w:val="nil"/>
              <w:right w:val="nil"/>
            </w:tcBorders>
          </w:tcPr>
          <w:p w:rsidR="007E60E4" w:rsidRPr="00AA22EE" w:rsidRDefault="007E60E4" w:rsidP="00F67658">
            <w:pPr>
              <w:spacing w:line="240" w:lineRule="auto"/>
              <w:contextualSpacing/>
              <w:jc w:val="left"/>
              <w:rPr>
                <w:rFonts w:cs="Times New Roman"/>
                <w:noProof/>
                <w:sz w:val="20"/>
                <w:szCs w:val="20"/>
              </w:rPr>
            </w:pPr>
            <w:r w:rsidRPr="00AA22EE">
              <w:rPr>
                <w:rFonts w:cs="Times New Roman"/>
                <w:noProof/>
                <w:sz w:val="20"/>
                <w:szCs w:val="20"/>
              </w:rPr>
              <w:t>1 year</w:t>
            </w:r>
          </w:p>
        </w:tc>
        <w:tc>
          <w:tcPr>
            <w:tcW w:w="1701" w:type="dxa"/>
            <w:tcBorders>
              <w:top w:val="nil"/>
              <w:left w:val="nil"/>
              <w:bottom w:val="nil"/>
              <w:right w:val="nil"/>
            </w:tcBorders>
          </w:tcPr>
          <w:p w:rsidR="007E60E4" w:rsidRPr="00AA22EE" w:rsidRDefault="009E2159" w:rsidP="00954B3D">
            <w:pPr>
              <w:spacing w:line="240" w:lineRule="auto"/>
              <w:contextualSpacing/>
              <w:jc w:val="left"/>
              <w:rPr>
                <w:rFonts w:cs="Times New Roman"/>
                <w:noProof/>
                <w:sz w:val="20"/>
                <w:szCs w:val="20"/>
              </w:rPr>
            </w:pPr>
            <w:r>
              <w:rPr>
                <w:rFonts w:cs="Times New Roman"/>
                <w:noProof/>
                <w:sz w:val="20"/>
                <w:szCs w:val="20"/>
              </w:rPr>
              <w:fldChar w:fldCharType="begin"/>
            </w:r>
            <w:r w:rsidR="00954B3D">
              <w:rPr>
                <w:rFonts w:cs="Times New Roman"/>
                <w:noProof/>
                <w:sz w:val="20"/>
                <w:szCs w:val="20"/>
              </w:rPr>
              <w:instrText xml:space="preserve"> ADDIN ZOTERO_ITEM CSL_CITATION {"citationID":"gqj7ch813","properties":{"formattedCitation":"{\\rtf (\\uc0\\u268{}atsk\\uc0\\u225{}, 1994)}","plainCitation":"(Čatská, 1994)"},"citationItems":[{"id":805,"uris":["http://zotero.org/users/local/d1gJDEOw/items/NC3ZQ94E"],"uri":["http://zotero.org/users/local/d1gJDEOw/items/NC3ZQ94E"],"itemData":{"id":805,"type":"article-journal","title":"Interrelationships between vesicular-arbuscular mycorrhiza and rhizosphere microflora in apple replant disease","container-title":"Biologia Plantarum","page":"99-104","volume":"36","issue":"1","source":"link.springer.com","abstract":"Phytotoxic micromycetes appear to be responsible for the apple replant disease (ARD). This was suppressed by the inoculation of apple-tree seedlings with some species of vesicular-arbuscular mycorrhizal (VAM) fungi—Glomus fasciculatum andG. macrocarpum. After the inoculation, growth of apple-tree seedlings improved in dependence on the type of soil, on VAM fungus species and on the ARD appearance. After 12-month cultivation, plant biomass (height, shoot and root dry masses) was markedly increased by inoculation withG. fasciculatum. Similarly, the numbers of colony forming units per unit soil (CFU) of phytotoxic micromycetes and of diazotroph bacteria (associative dinitrogen-fixing bacteria) in the rhizosphere was affected; CFU of phytotoxic micromycetes decreased, whereas CFU of the genusAzospirillum was higher. These bacteria could also serve as antagonists against phytotoxic micromycetes. It is also suggested that the ratio of CFU of diazotroph bacteria to CFU of phytotoxic micromycetes can be used as an indicator of the degree of ARD. It may be assumed that the use of some VAM fungi can replace the chemcial treatment of the soil with ARD.","DOI":"10.1007/BF02921276","ISSN":"0006-3134, 1573-8264","journalAbbreviation":"Biol Plant","language":"en","author":[{"family":"Čatská","given":"V."}],"issued":{"date-parts":[["1994",1,1]]}}}],"schema":"https://github.com/citation-style-language/schema/raw/master/csl-citation.json"} </w:instrText>
            </w:r>
            <w:r>
              <w:rPr>
                <w:rFonts w:cs="Times New Roman"/>
                <w:noProof/>
                <w:sz w:val="20"/>
                <w:szCs w:val="20"/>
              </w:rPr>
              <w:fldChar w:fldCharType="separate"/>
            </w:r>
            <w:r w:rsidR="00954B3D" w:rsidRPr="00954B3D">
              <w:rPr>
                <w:rFonts w:cs="Times New Roman"/>
                <w:sz w:val="20"/>
                <w:szCs w:val="24"/>
              </w:rPr>
              <w:t>(</w:t>
            </w:r>
            <w:proofErr w:type="spellStart"/>
            <w:r w:rsidR="00954B3D" w:rsidRPr="00954B3D">
              <w:rPr>
                <w:rFonts w:cs="Times New Roman"/>
                <w:sz w:val="20"/>
                <w:szCs w:val="24"/>
              </w:rPr>
              <w:t>Čatská</w:t>
            </w:r>
            <w:proofErr w:type="spellEnd"/>
            <w:r w:rsidR="00954B3D" w:rsidRPr="00954B3D">
              <w:rPr>
                <w:rFonts w:cs="Times New Roman"/>
                <w:sz w:val="20"/>
                <w:szCs w:val="24"/>
              </w:rPr>
              <w:t>, 1994)</w:t>
            </w:r>
            <w:r>
              <w:rPr>
                <w:rFonts w:cs="Times New Roman"/>
                <w:noProof/>
                <w:sz w:val="20"/>
                <w:szCs w:val="20"/>
              </w:rPr>
              <w:fldChar w:fldCharType="end"/>
            </w:r>
          </w:p>
        </w:tc>
      </w:tr>
      <w:tr w:rsidR="007E60E4" w:rsidRPr="00AA22EE" w:rsidTr="007E60E4">
        <w:tc>
          <w:tcPr>
            <w:tcW w:w="1101"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Positive</w:t>
            </w:r>
          </w:p>
        </w:tc>
        <w:tc>
          <w:tcPr>
            <w:tcW w:w="1842"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Specific Apple Replant Disease</w:t>
            </w:r>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‘McIntosh’</w:t>
            </w:r>
          </w:p>
        </w:tc>
        <w:tc>
          <w:tcPr>
            <w:tcW w:w="2302" w:type="dxa"/>
            <w:tcBorders>
              <w:top w:val="nil"/>
              <w:left w:val="nil"/>
              <w:bottom w:val="nil"/>
              <w:right w:val="nil"/>
            </w:tcBorders>
          </w:tcPr>
          <w:p w:rsidR="007E60E4" w:rsidRPr="00AA22EE" w:rsidRDefault="00CC66C9" w:rsidP="00F67658">
            <w:pPr>
              <w:spacing w:line="240" w:lineRule="auto"/>
              <w:contextualSpacing/>
              <w:jc w:val="left"/>
              <w:rPr>
                <w:rFonts w:cs="Times New Roman"/>
                <w:i/>
                <w:sz w:val="20"/>
                <w:szCs w:val="20"/>
              </w:rPr>
            </w:pPr>
            <w:proofErr w:type="spellStart"/>
            <w:r>
              <w:rPr>
                <w:rFonts w:cs="Times New Roman"/>
                <w:i/>
                <w:sz w:val="20"/>
                <w:szCs w:val="20"/>
              </w:rPr>
              <w:t>Funneliformis</w:t>
            </w:r>
            <w:proofErr w:type="spellEnd"/>
            <w:r>
              <w:rPr>
                <w:rFonts w:cs="Times New Roman"/>
                <w:i/>
                <w:sz w:val="20"/>
                <w:szCs w:val="20"/>
              </w:rPr>
              <w:t xml:space="preserve"> </w:t>
            </w:r>
            <w:proofErr w:type="spellStart"/>
            <w:r>
              <w:rPr>
                <w:rFonts w:cs="Times New Roman"/>
                <w:i/>
                <w:sz w:val="20"/>
                <w:szCs w:val="20"/>
              </w:rPr>
              <w:t>mosseae</w:t>
            </w:r>
            <w:proofErr w:type="spellEnd"/>
          </w:p>
        </w:tc>
        <w:tc>
          <w:tcPr>
            <w:tcW w:w="22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Increased tree height</w:t>
            </w:r>
          </w:p>
        </w:tc>
        <w:tc>
          <w:tcPr>
            <w:tcW w:w="1877" w:type="dxa"/>
            <w:gridSpan w:val="2"/>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Improved plant nutrition</w:t>
            </w:r>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Seedlings</w:t>
            </w:r>
          </w:p>
        </w:tc>
        <w:tc>
          <w:tcPr>
            <w:tcW w:w="1276"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Greenhouse</w:t>
            </w:r>
          </w:p>
          <w:p w:rsidR="007E60E4" w:rsidRPr="00AA22EE" w:rsidRDefault="007E60E4" w:rsidP="00F67658">
            <w:pPr>
              <w:spacing w:line="240" w:lineRule="auto"/>
              <w:contextualSpacing/>
              <w:jc w:val="left"/>
              <w:rPr>
                <w:rFonts w:cs="Times New Roman"/>
                <w:sz w:val="20"/>
                <w:szCs w:val="20"/>
              </w:rPr>
            </w:pPr>
          </w:p>
        </w:tc>
        <w:tc>
          <w:tcPr>
            <w:tcW w:w="1100"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3 months</w:t>
            </w:r>
          </w:p>
        </w:tc>
        <w:tc>
          <w:tcPr>
            <w:tcW w:w="1701" w:type="dxa"/>
            <w:tcBorders>
              <w:top w:val="nil"/>
              <w:left w:val="nil"/>
              <w:bottom w:val="nil"/>
              <w:right w:val="nil"/>
            </w:tcBorders>
          </w:tcPr>
          <w:p w:rsidR="007E60E4" w:rsidRPr="00AA22EE" w:rsidRDefault="009E2159" w:rsidP="00F67658">
            <w:pPr>
              <w:spacing w:line="240" w:lineRule="auto"/>
              <w:contextualSpacing/>
              <w:jc w:val="left"/>
              <w:rPr>
                <w:rFonts w:cs="Times New Roman"/>
                <w:noProof/>
                <w:sz w:val="20"/>
                <w:szCs w:val="20"/>
              </w:rPr>
            </w:pPr>
            <w:r>
              <w:rPr>
                <w:rFonts w:cs="Times New Roman"/>
                <w:noProof/>
                <w:sz w:val="20"/>
                <w:szCs w:val="20"/>
              </w:rPr>
              <w:fldChar w:fldCharType="begin"/>
            </w:r>
            <w:r w:rsidR="00954B3D">
              <w:rPr>
                <w:rFonts w:cs="Times New Roman"/>
                <w:noProof/>
                <w:sz w:val="20"/>
                <w:szCs w:val="20"/>
              </w:rPr>
              <w:instrText xml:space="preserve"> ADDIN ZOTERO_ITEM CSL_CITATION {"citationID":"1ncaj2oi1h","properties":{"formattedCitation":"(Utkhede &amp; Smith, 2000)","plainCitation":"(Utkhede &amp; Smith, 2000)"},"citationItems":[{"id":70,"uris":["http://zotero.org/users/local/d1gJDEOw/items/H6WQIJ46"],"uri":["http://zotero.org/users/local/d1gJDEOw/items/H6WQIJ46"],"itemData":{"id":70,"type":"article-journal","title":"Impact of chemical, biological and cultural treatments on the growth and yield of apple in replant-disease soil","container-title":"Australasian Plant Pathology","page":"129-136","volume":"29","issue":"2","abstract":"An orchard experiment was established to determine the long-term (six year) effects of chemical (sodium methyldithiocarbonate — metam sodium), fertiliser (monoammonium phosphate) and biological agents [strain B8 of Enterobacter agglomerans, strain EBW-4 of Bacillus subtilis and Glomus intraradices (GI)] alone and in selected combinations on tree growth, fruit production and root rot incidence of apple trees in apple-replant-disease soil that was conducive to replant disease over six years. The response was measured by increases in trunk cross-sectional area, fruit yield and percent root rot of Gala apple trees on M.9 rootstock. The application of E. agglomerans (B8), B. subtilis (EBW-4), G. intraradices (GI), metam sodium (MS), MS + B8, MS + GI and B8 + EBW-4 significantly increased fruit yield, tree trunk growth and reduced infection by Phytophthora cactorum and Pythium ultimum. These results suggest the potential use of E. aerogenes (B8), B. subtilis (EBW-4) and G. intraradices to increase growth and fruit production of apple trees planted in soil conducive to replant disease.","DOI":"10.1071/AP00021","ISSN":"1448-6032","journalAbbreviation":"Australasian Plant Pathology","author":[{"family":"Utkhede","given":"R. S."},{"family":"Smith","given":"E. M."}],"issued":{"date-parts":[["2000"]]}}}],"schema":"https://github.com/citation-style-language/schema/raw/master/csl-citation.json"} </w:instrText>
            </w:r>
            <w:r>
              <w:rPr>
                <w:rFonts w:cs="Times New Roman"/>
                <w:noProof/>
                <w:sz w:val="20"/>
                <w:szCs w:val="20"/>
              </w:rPr>
              <w:fldChar w:fldCharType="separate"/>
            </w:r>
            <w:r w:rsidR="00954B3D" w:rsidRPr="00954B3D">
              <w:rPr>
                <w:rFonts w:cs="Times New Roman"/>
                <w:sz w:val="20"/>
              </w:rPr>
              <w:t>(</w:t>
            </w:r>
            <w:proofErr w:type="spellStart"/>
            <w:r w:rsidR="00954B3D" w:rsidRPr="00954B3D">
              <w:rPr>
                <w:rFonts w:cs="Times New Roman"/>
                <w:sz w:val="20"/>
              </w:rPr>
              <w:t>Utkhede</w:t>
            </w:r>
            <w:proofErr w:type="spellEnd"/>
            <w:r w:rsidR="00954B3D" w:rsidRPr="00954B3D">
              <w:rPr>
                <w:rFonts w:cs="Times New Roman"/>
                <w:sz w:val="20"/>
              </w:rPr>
              <w:t xml:space="preserve"> &amp; Smith, 2000)</w:t>
            </w:r>
            <w:r>
              <w:rPr>
                <w:rFonts w:cs="Times New Roman"/>
                <w:noProof/>
                <w:sz w:val="20"/>
                <w:szCs w:val="20"/>
              </w:rPr>
              <w:fldChar w:fldCharType="end"/>
            </w:r>
          </w:p>
        </w:tc>
      </w:tr>
      <w:tr w:rsidR="007E60E4" w:rsidRPr="00AA22EE" w:rsidTr="007E60E4">
        <w:trPr>
          <w:trHeight w:val="548"/>
        </w:trPr>
        <w:tc>
          <w:tcPr>
            <w:tcW w:w="1101"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Positive</w:t>
            </w:r>
          </w:p>
        </w:tc>
        <w:tc>
          <w:tcPr>
            <w:tcW w:w="1842"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 xml:space="preserve">Root lesion nematode </w:t>
            </w:r>
            <w:proofErr w:type="spellStart"/>
            <w:r w:rsidRPr="00AA22EE">
              <w:rPr>
                <w:rFonts w:cs="Times New Roman"/>
                <w:i/>
                <w:sz w:val="20"/>
                <w:szCs w:val="20"/>
              </w:rPr>
              <w:t>Pratylenchus</w:t>
            </w:r>
            <w:proofErr w:type="spellEnd"/>
            <w:r w:rsidRPr="00AA22EE">
              <w:rPr>
                <w:rFonts w:cs="Times New Roman"/>
                <w:i/>
                <w:sz w:val="20"/>
                <w:szCs w:val="20"/>
              </w:rPr>
              <w:t xml:space="preserve"> </w:t>
            </w:r>
            <w:proofErr w:type="spellStart"/>
            <w:r w:rsidRPr="00AA22EE">
              <w:rPr>
                <w:rFonts w:cs="Times New Roman"/>
                <w:i/>
                <w:sz w:val="20"/>
                <w:szCs w:val="20"/>
              </w:rPr>
              <w:t>penetrans</w:t>
            </w:r>
            <w:proofErr w:type="spellEnd"/>
          </w:p>
        </w:tc>
        <w:tc>
          <w:tcPr>
            <w:tcW w:w="1134" w:type="dxa"/>
            <w:tcBorders>
              <w:top w:val="nil"/>
              <w:left w:val="nil"/>
              <w:bottom w:val="nil"/>
              <w:right w:val="nil"/>
            </w:tcBorders>
          </w:tcPr>
          <w:p w:rsidR="007E60E4" w:rsidRPr="00AA22EE" w:rsidRDefault="00E44545" w:rsidP="00F67658">
            <w:pPr>
              <w:spacing w:line="240" w:lineRule="auto"/>
              <w:contextualSpacing/>
              <w:jc w:val="left"/>
              <w:rPr>
                <w:rFonts w:cs="Times New Roman"/>
                <w:sz w:val="20"/>
                <w:szCs w:val="20"/>
              </w:rPr>
            </w:pPr>
            <w:r>
              <w:rPr>
                <w:rFonts w:cs="Times New Roman"/>
                <w:sz w:val="20"/>
                <w:szCs w:val="20"/>
              </w:rPr>
              <w:t xml:space="preserve">Ottawa 3 rootstock </w:t>
            </w:r>
            <w:r w:rsidR="007E60E4" w:rsidRPr="00AA22EE">
              <w:rPr>
                <w:rFonts w:cs="Times New Roman"/>
                <w:sz w:val="20"/>
                <w:szCs w:val="20"/>
              </w:rPr>
              <w:t>McIntosh</w:t>
            </w:r>
          </w:p>
        </w:tc>
        <w:tc>
          <w:tcPr>
            <w:tcW w:w="2302" w:type="dxa"/>
            <w:tcBorders>
              <w:top w:val="nil"/>
              <w:left w:val="nil"/>
              <w:bottom w:val="nil"/>
              <w:right w:val="nil"/>
            </w:tcBorders>
          </w:tcPr>
          <w:p w:rsidR="007E60E4" w:rsidRPr="00AA22EE" w:rsidRDefault="00CC66C9" w:rsidP="00F67658">
            <w:pPr>
              <w:spacing w:line="240" w:lineRule="auto"/>
              <w:contextualSpacing/>
              <w:jc w:val="left"/>
              <w:rPr>
                <w:rFonts w:cs="Times New Roman"/>
                <w:sz w:val="20"/>
                <w:szCs w:val="20"/>
              </w:rPr>
            </w:pPr>
            <w:proofErr w:type="spellStart"/>
            <w:r>
              <w:rPr>
                <w:rFonts w:cs="Times New Roman"/>
                <w:i/>
                <w:sz w:val="20"/>
                <w:szCs w:val="20"/>
              </w:rPr>
              <w:t>Funneliformis</w:t>
            </w:r>
            <w:proofErr w:type="spellEnd"/>
            <w:r>
              <w:rPr>
                <w:rFonts w:cs="Times New Roman"/>
                <w:i/>
                <w:sz w:val="20"/>
                <w:szCs w:val="20"/>
              </w:rPr>
              <w:t xml:space="preserve"> </w:t>
            </w:r>
            <w:proofErr w:type="spellStart"/>
            <w:r>
              <w:rPr>
                <w:rFonts w:cs="Times New Roman"/>
                <w:i/>
                <w:sz w:val="20"/>
                <w:szCs w:val="20"/>
              </w:rPr>
              <w:t>mosseae</w:t>
            </w:r>
            <w:proofErr w:type="spellEnd"/>
          </w:p>
          <w:p w:rsidR="007E60E4" w:rsidRPr="00AA22EE" w:rsidRDefault="00CC66C9" w:rsidP="00F67658">
            <w:pPr>
              <w:spacing w:line="240" w:lineRule="auto"/>
              <w:contextualSpacing/>
              <w:jc w:val="left"/>
              <w:rPr>
                <w:rFonts w:cs="Times New Roman"/>
                <w:sz w:val="20"/>
                <w:szCs w:val="20"/>
              </w:rPr>
            </w:pPr>
            <w:proofErr w:type="spellStart"/>
            <w:r>
              <w:rPr>
                <w:rFonts w:cs="Times New Roman"/>
                <w:i/>
                <w:sz w:val="20"/>
                <w:szCs w:val="20"/>
              </w:rPr>
              <w:t>Rhizophagus</w:t>
            </w:r>
            <w:proofErr w:type="spellEnd"/>
            <w:r>
              <w:rPr>
                <w:rFonts w:cs="Times New Roman"/>
                <w:i/>
                <w:sz w:val="20"/>
                <w:szCs w:val="20"/>
              </w:rPr>
              <w:t xml:space="preserve"> </w:t>
            </w:r>
            <w:proofErr w:type="spellStart"/>
            <w:r>
              <w:rPr>
                <w:rFonts w:cs="Times New Roman"/>
                <w:i/>
                <w:sz w:val="20"/>
                <w:szCs w:val="20"/>
              </w:rPr>
              <w:t>irregularis</w:t>
            </w:r>
            <w:proofErr w:type="spellEnd"/>
          </w:p>
        </w:tc>
        <w:tc>
          <w:tcPr>
            <w:tcW w:w="22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Increased  tree dry weight</w:t>
            </w:r>
          </w:p>
        </w:tc>
        <w:tc>
          <w:tcPr>
            <w:tcW w:w="1877" w:type="dxa"/>
            <w:gridSpan w:val="2"/>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Improved tree nutrition</w:t>
            </w:r>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Seedlings</w:t>
            </w:r>
          </w:p>
        </w:tc>
        <w:tc>
          <w:tcPr>
            <w:tcW w:w="1276"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 xml:space="preserve">Greenhouse </w:t>
            </w:r>
          </w:p>
          <w:p w:rsidR="007E60E4" w:rsidRPr="00AA22EE" w:rsidRDefault="007E60E4" w:rsidP="00F67658">
            <w:pPr>
              <w:spacing w:line="240" w:lineRule="auto"/>
              <w:contextualSpacing/>
              <w:jc w:val="left"/>
              <w:rPr>
                <w:rFonts w:cs="Times New Roman"/>
                <w:sz w:val="20"/>
                <w:szCs w:val="20"/>
              </w:rPr>
            </w:pPr>
          </w:p>
        </w:tc>
        <w:tc>
          <w:tcPr>
            <w:tcW w:w="1100" w:type="dxa"/>
            <w:tcBorders>
              <w:top w:val="nil"/>
              <w:left w:val="nil"/>
              <w:bottom w:val="nil"/>
              <w:right w:val="nil"/>
            </w:tcBorders>
          </w:tcPr>
          <w:p w:rsidR="007E60E4" w:rsidRPr="00AA22EE" w:rsidRDefault="007E60E4" w:rsidP="00F67658">
            <w:pPr>
              <w:spacing w:line="240" w:lineRule="auto"/>
              <w:contextualSpacing/>
              <w:jc w:val="left"/>
              <w:rPr>
                <w:rFonts w:cs="Times New Roman"/>
                <w:noProof/>
                <w:sz w:val="20"/>
                <w:szCs w:val="20"/>
              </w:rPr>
            </w:pPr>
            <w:r w:rsidRPr="00AA22EE">
              <w:rPr>
                <w:rFonts w:cs="Times New Roman"/>
                <w:noProof/>
                <w:sz w:val="20"/>
                <w:szCs w:val="20"/>
              </w:rPr>
              <w:t>5 months</w:t>
            </w:r>
          </w:p>
        </w:tc>
        <w:tc>
          <w:tcPr>
            <w:tcW w:w="1701" w:type="dxa"/>
            <w:tcBorders>
              <w:top w:val="nil"/>
              <w:left w:val="nil"/>
              <w:bottom w:val="nil"/>
              <w:right w:val="nil"/>
            </w:tcBorders>
          </w:tcPr>
          <w:p w:rsidR="007E60E4" w:rsidRPr="00AA22EE" w:rsidRDefault="009E2159" w:rsidP="00954B3D">
            <w:pPr>
              <w:spacing w:line="240" w:lineRule="auto"/>
              <w:contextualSpacing/>
              <w:jc w:val="left"/>
              <w:rPr>
                <w:rFonts w:cs="Times New Roman"/>
                <w:noProof/>
                <w:sz w:val="20"/>
                <w:szCs w:val="20"/>
              </w:rPr>
            </w:pPr>
            <w:r>
              <w:rPr>
                <w:rFonts w:cs="Times New Roman"/>
                <w:noProof/>
                <w:sz w:val="20"/>
                <w:szCs w:val="20"/>
              </w:rPr>
              <w:fldChar w:fldCharType="begin"/>
            </w:r>
            <w:r w:rsidR="00954B3D">
              <w:rPr>
                <w:rFonts w:cs="Times New Roman"/>
                <w:noProof/>
                <w:sz w:val="20"/>
                <w:szCs w:val="20"/>
              </w:rPr>
              <w:instrText xml:space="preserve"> ADDIN ZOTERO_ITEM CSL_CITATION {"citationID":"98d4c9c2h","properties":{"formattedCitation":"{\\rtf (Forge {\\i{}et al.}, 2001)}","plainCitation":"(Forge et al., 2001)"},"citationItems":[{"id":68,"uris":["http://zotero.org/users/local/d1gJDEOw/items/4XHBZECG"],"uri":["http://zotero.org/users/local/d1gJDEOw/items/4XHBZECG"],"itemData":{"id":68,"type":"article-journal","title":"Effects of preplant inoculation of apple (Malus domestica Borkh.) with arbuscular mycorrhizal fungi on population growth of the root-lesion nematode, Pratylenchus penetrans","container-title":"Plant and Soil","page":"185-196","volume":"236","issue":"2","abstract":"Six species of arbuscular mycorrhizal (AM) fungi (Glomus aggregatum, G. clarum, G. etunicatum, G. intraradices, G. mosseae and G. versiforme) were evaluated, in three greenhouse experiments, for their effects on reproduction of the root-lesion nematode, Pratylenchus penetrans, and growth of Ottawa 3 apple rootstock. Glomus mosseae increased total dry weights of nematode-inoculated and non-inoculated rootstock in all three greenhouse experiments, and G. intraradices increased dry weights in two of three greenhouse experiments. Plants inoculated with G. mosseae generally supported fewer P. penetrans per gram of root than plants inoculated with other AM fungi, but did not differ significantly from the controls in any greenhouse experiment. Colonization of roots by AM fungi was reduced by P. penetrans at initial inoculum densities greater than 250 nematodes/L soil. In field trials, preplant inoculation with either G. intraradices or G. mosseae increased rootstock growth and leaf concentrations of P, Mg, Zn and Cu in fumigated plots but not in non-fumigated plots, indicating that colonization by native AM fungi in non-fumigated plots may have been sufficient for adequate nutrient acquisition. The abundance of vesicles and arbuscules was greater in roots of plants inoculated with AM fungi before planting than in roots of non-inoculated plants, in both fumigated and non-fumigated plots. P. penetrans per gram of root and per 50 ml soil were significantly lower for G. mosseae- inoculated plants than for non-inoculated plants in fumigated soil but not in non-fumigated soil.","DOI":"10.1023/A:1012743028974","ISSN":"1573-5036","journalAbbreviation":"Plant and Soil","author":[{"family":"Forge","given":"Thomas"},{"family":"Muehlchen","given":"Andrea"},{"family":"Hackenberg","given":"Clemens"},{"family":"Neilsen","given":"Gerry"},{"family":"Vrain","given":"Thierry"}],"issued":{"date-parts":[["2001"]]}}}],"schema":"https://github.com/citation-style-language/schema/raw/master/csl-citation.json"} </w:instrText>
            </w:r>
            <w:r>
              <w:rPr>
                <w:rFonts w:cs="Times New Roman"/>
                <w:noProof/>
                <w:sz w:val="20"/>
                <w:szCs w:val="20"/>
              </w:rPr>
              <w:fldChar w:fldCharType="separate"/>
            </w:r>
            <w:r w:rsidR="00954B3D" w:rsidRPr="00954B3D">
              <w:rPr>
                <w:rFonts w:cs="Times New Roman"/>
                <w:sz w:val="20"/>
                <w:szCs w:val="24"/>
              </w:rPr>
              <w:t xml:space="preserve">(Forge </w:t>
            </w:r>
            <w:r w:rsidR="00954B3D" w:rsidRPr="00954B3D">
              <w:rPr>
                <w:rFonts w:cs="Times New Roman"/>
                <w:i/>
                <w:iCs/>
                <w:sz w:val="20"/>
                <w:szCs w:val="24"/>
              </w:rPr>
              <w:t>et al.</w:t>
            </w:r>
            <w:r w:rsidR="00954B3D" w:rsidRPr="00954B3D">
              <w:rPr>
                <w:rFonts w:cs="Times New Roman"/>
                <w:sz w:val="20"/>
                <w:szCs w:val="24"/>
              </w:rPr>
              <w:t>, 2001)</w:t>
            </w:r>
            <w:r>
              <w:rPr>
                <w:rFonts w:cs="Times New Roman"/>
                <w:noProof/>
                <w:sz w:val="20"/>
                <w:szCs w:val="20"/>
              </w:rPr>
              <w:fldChar w:fldCharType="end"/>
            </w:r>
          </w:p>
        </w:tc>
      </w:tr>
      <w:tr w:rsidR="007E60E4" w:rsidRPr="00AA22EE" w:rsidTr="007E60E4">
        <w:tc>
          <w:tcPr>
            <w:tcW w:w="1101"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Positive</w:t>
            </w:r>
          </w:p>
        </w:tc>
        <w:tc>
          <w:tcPr>
            <w:tcW w:w="1842"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 xml:space="preserve">Root lesion nematode </w:t>
            </w:r>
            <w:proofErr w:type="spellStart"/>
            <w:r w:rsidRPr="00AA22EE">
              <w:rPr>
                <w:rFonts w:cs="Times New Roman"/>
                <w:i/>
                <w:sz w:val="20"/>
                <w:szCs w:val="20"/>
              </w:rPr>
              <w:t>Pratylenchus</w:t>
            </w:r>
            <w:proofErr w:type="spellEnd"/>
            <w:r w:rsidRPr="00AA22EE">
              <w:rPr>
                <w:rFonts w:cs="Times New Roman"/>
                <w:i/>
                <w:sz w:val="20"/>
                <w:szCs w:val="20"/>
              </w:rPr>
              <w:t xml:space="preserve"> </w:t>
            </w:r>
            <w:proofErr w:type="spellStart"/>
            <w:r w:rsidRPr="00AA22EE">
              <w:rPr>
                <w:rFonts w:cs="Times New Roman"/>
                <w:i/>
                <w:sz w:val="20"/>
                <w:szCs w:val="20"/>
              </w:rPr>
              <w:t>penetrans</w:t>
            </w:r>
            <w:proofErr w:type="spellEnd"/>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Ottawa 3 rootstock</w:t>
            </w:r>
          </w:p>
        </w:tc>
        <w:tc>
          <w:tcPr>
            <w:tcW w:w="2302" w:type="dxa"/>
            <w:tcBorders>
              <w:top w:val="nil"/>
              <w:left w:val="nil"/>
              <w:bottom w:val="nil"/>
              <w:right w:val="nil"/>
            </w:tcBorders>
          </w:tcPr>
          <w:p w:rsidR="007E60E4" w:rsidRPr="00AA22EE" w:rsidRDefault="00CC66C9" w:rsidP="00F67658">
            <w:pPr>
              <w:spacing w:line="240" w:lineRule="auto"/>
              <w:contextualSpacing/>
              <w:jc w:val="left"/>
              <w:rPr>
                <w:rFonts w:cs="Times New Roman"/>
                <w:sz w:val="20"/>
                <w:szCs w:val="20"/>
              </w:rPr>
            </w:pPr>
            <w:proofErr w:type="spellStart"/>
            <w:r>
              <w:rPr>
                <w:rFonts w:cs="Times New Roman"/>
                <w:i/>
                <w:sz w:val="20"/>
                <w:szCs w:val="20"/>
              </w:rPr>
              <w:t>Funneliformis</w:t>
            </w:r>
            <w:proofErr w:type="spellEnd"/>
            <w:r>
              <w:rPr>
                <w:rFonts w:cs="Times New Roman"/>
                <w:i/>
                <w:sz w:val="20"/>
                <w:szCs w:val="20"/>
              </w:rPr>
              <w:t xml:space="preserve"> </w:t>
            </w:r>
            <w:proofErr w:type="spellStart"/>
            <w:r>
              <w:rPr>
                <w:rFonts w:cs="Times New Roman"/>
                <w:i/>
                <w:sz w:val="20"/>
                <w:szCs w:val="20"/>
              </w:rPr>
              <w:t>mosseae</w:t>
            </w:r>
            <w:proofErr w:type="spellEnd"/>
          </w:p>
          <w:p w:rsidR="007E60E4" w:rsidRPr="00AA22EE" w:rsidRDefault="00CC66C9" w:rsidP="00F67658">
            <w:pPr>
              <w:spacing w:line="240" w:lineRule="auto"/>
              <w:contextualSpacing/>
              <w:jc w:val="left"/>
              <w:rPr>
                <w:rFonts w:cs="Times New Roman"/>
                <w:sz w:val="20"/>
                <w:szCs w:val="20"/>
              </w:rPr>
            </w:pPr>
            <w:proofErr w:type="spellStart"/>
            <w:r>
              <w:rPr>
                <w:rFonts w:cs="Times New Roman"/>
                <w:i/>
                <w:sz w:val="20"/>
                <w:szCs w:val="20"/>
              </w:rPr>
              <w:t>Rhizophagus</w:t>
            </w:r>
            <w:proofErr w:type="spellEnd"/>
            <w:r>
              <w:rPr>
                <w:rFonts w:cs="Times New Roman"/>
                <w:i/>
                <w:sz w:val="20"/>
                <w:szCs w:val="20"/>
              </w:rPr>
              <w:t xml:space="preserve"> </w:t>
            </w:r>
            <w:proofErr w:type="spellStart"/>
            <w:r>
              <w:rPr>
                <w:rFonts w:cs="Times New Roman"/>
                <w:i/>
                <w:sz w:val="20"/>
                <w:szCs w:val="20"/>
              </w:rPr>
              <w:t>irregularis</w:t>
            </w:r>
            <w:proofErr w:type="spellEnd"/>
          </w:p>
        </w:tc>
        <w:tc>
          <w:tcPr>
            <w:tcW w:w="22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Increased  tree dry weight,</w:t>
            </w:r>
          </w:p>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 xml:space="preserve">Significantly reduced nematode numbers with </w:t>
            </w:r>
            <w:proofErr w:type="spellStart"/>
            <w:r w:rsidRPr="00AA22EE">
              <w:rPr>
                <w:rFonts w:cs="Times New Roman"/>
                <w:i/>
                <w:sz w:val="20"/>
                <w:szCs w:val="20"/>
              </w:rPr>
              <w:t>G.mosseae</w:t>
            </w:r>
            <w:proofErr w:type="spellEnd"/>
          </w:p>
        </w:tc>
        <w:tc>
          <w:tcPr>
            <w:tcW w:w="1877" w:type="dxa"/>
            <w:gridSpan w:val="2"/>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Improved tree nutrition, reduced nematode reproduction and invasion</w:t>
            </w:r>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Seedlings</w:t>
            </w:r>
          </w:p>
        </w:tc>
        <w:tc>
          <w:tcPr>
            <w:tcW w:w="1276"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Field</w:t>
            </w:r>
          </w:p>
          <w:p w:rsidR="007E60E4" w:rsidRPr="00AA22EE" w:rsidRDefault="007E60E4" w:rsidP="00F67658">
            <w:pPr>
              <w:spacing w:line="240" w:lineRule="auto"/>
              <w:contextualSpacing/>
              <w:jc w:val="left"/>
              <w:rPr>
                <w:rFonts w:cs="Times New Roman"/>
                <w:sz w:val="20"/>
                <w:szCs w:val="20"/>
              </w:rPr>
            </w:pPr>
          </w:p>
        </w:tc>
        <w:tc>
          <w:tcPr>
            <w:tcW w:w="1100" w:type="dxa"/>
            <w:tcBorders>
              <w:top w:val="nil"/>
              <w:left w:val="nil"/>
              <w:bottom w:val="nil"/>
              <w:right w:val="nil"/>
            </w:tcBorders>
          </w:tcPr>
          <w:p w:rsidR="007E60E4" w:rsidRPr="00AA22EE" w:rsidRDefault="007E60E4" w:rsidP="00F67658">
            <w:pPr>
              <w:spacing w:line="240" w:lineRule="auto"/>
              <w:contextualSpacing/>
              <w:jc w:val="left"/>
              <w:rPr>
                <w:rFonts w:cs="Times New Roman"/>
                <w:noProof/>
                <w:sz w:val="20"/>
                <w:szCs w:val="20"/>
              </w:rPr>
            </w:pPr>
            <w:r w:rsidRPr="00AA22EE">
              <w:rPr>
                <w:rFonts w:cs="Times New Roman"/>
                <w:noProof/>
                <w:sz w:val="20"/>
                <w:szCs w:val="20"/>
              </w:rPr>
              <w:t>2 years</w:t>
            </w:r>
          </w:p>
        </w:tc>
        <w:tc>
          <w:tcPr>
            <w:tcW w:w="1701" w:type="dxa"/>
            <w:tcBorders>
              <w:top w:val="nil"/>
              <w:left w:val="nil"/>
              <w:bottom w:val="nil"/>
              <w:right w:val="nil"/>
            </w:tcBorders>
          </w:tcPr>
          <w:p w:rsidR="007E60E4" w:rsidRPr="00AA22EE" w:rsidRDefault="009E2159" w:rsidP="00954B3D">
            <w:pPr>
              <w:spacing w:line="240" w:lineRule="auto"/>
              <w:contextualSpacing/>
              <w:jc w:val="left"/>
              <w:rPr>
                <w:rFonts w:cs="Times New Roman"/>
                <w:noProof/>
                <w:sz w:val="20"/>
                <w:szCs w:val="20"/>
              </w:rPr>
            </w:pPr>
            <w:r>
              <w:rPr>
                <w:rFonts w:cs="Times New Roman"/>
                <w:noProof/>
                <w:sz w:val="20"/>
                <w:szCs w:val="20"/>
              </w:rPr>
              <w:fldChar w:fldCharType="begin"/>
            </w:r>
            <w:r w:rsidR="00954B3D">
              <w:rPr>
                <w:rFonts w:cs="Times New Roman"/>
                <w:noProof/>
                <w:sz w:val="20"/>
                <w:szCs w:val="20"/>
              </w:rPr>
              <w:instrText xml:space="preserve"> ADDIN ZOTERO_ITEM CSL_CITATION {"citationID":"2kmjp1fepa","properties":{"formattedCitation":"{\\rtf (Forge {\\i{}et al.}, 2001)}","plainCitation":"(Forge et al., 2001)"},"citationItems":[{"id":68,"uris":["http://zotero.org/users/local/d1gJDEOw/items/4XHBZECG"],"uri":["http://zotero.org/users/local/d1gJDEOw/items/4XHBZECG"],"itemData":{"id":68,"type":"article-journal","title":"Effects of preplant inoculation of apple (Malus domestica Borkh.) with arbuscular mycorrhizal fungi on population growth of the root-lesion nematode, Pratylenchus penetrans","container-title":"Plant and Soil","page":"185-196","volume":"236","issue":"2","abstract":"Six species of arbuscular mycorrhizal (AM) fungi (Glomus aggregatum, G. clarum, G. etunicatum, G. intraradices, G. mosseae and G. versiforme) were evaluated, in three greenhouse experiments, for their effects on reproduction of the root-lesion nematode, Pratylenchus penetrans, and growth of Ottawa 3 apple rootstock. Glomus mosseae increased total dry weights of nematode-inoculated and non-inoculated rootstock in all three greenhouse experiments, and G. intraradices increased dry weights in two of three greenhouse experiments. Plants inoculated with G. mosseae generally supported fewer P. penetrans per gram of root than plants inoculated with other AM fungi, but did not differ significantly from the controls in any greenhouse experiment. Colonization of roots by AM fungi was reduced by P. penetrans at initial inoculum densities greater than 250 nematodes/L soil. In field trials, preplant inoculation with either G. intraradices or G. mosseae increased rootstock growth and leaf concentrations of P, Mg, Zn and Cu in fumigated plots but not in non-fumigated plots, indicating that colonization by native AM fungi in non-fumigated plots may have been sufficient for adequate nutrient acquisition. The abundance of vesicles and arbuscules was greater in roots of plants inoculated with AM fungi before planting than in roots of non-inoculated plants, in both fumigated and non-fumigated plots. P. penetrans per gram of root and per 50 ml soil were significantly lower for G. mosseae- inoculated plants than for non-inoculated plants in fumigated soil but not in non-fumigated soil.","DOI":"10.1023/A:1012743028974","ISSN":"1573-5036","journalAbbreviation":"Plant and Soil","author":[{"family":"Forge","given":"Thomas"},{"family":"Muehlchen","given":"Andrea"},{"family":"Hackenberg","given":"Clemens"},{"family":"Neilsen","given":"Gerry"},{"family":"Vrain","given":"Thierry"}],"issued":{"date-parts":[["2001"]]}}}],"schema":"https://github.com/citation-style-language/schema/raw/master/csl-citation.json"} </w:instrText>
            </w:r>
            <w:r>
              <w:rPr>
                <w:rFonts w:cs="Times New Roman"/>
                <w:noProof/>
                <w:sz w:val="20"/>
                <w:szCs w:val="20"/>
              </w:rPr>
              <w:fldChar w:fldCharType="separate"/>
            </w:r>
            <w:r w:rsidR="00954B3D" w:rsidRPr="00954B3D">
              <w:rPr>
                <w:rFonts w:cs="Times New Roman"/>
                <w:sz w:val="20"/>
                <w:szCs w:val="24"/>
              </w:rPr>
              <w:t xml:space="preserve">(Forge </w:t>
            </w:r>
            <w:r w:rsidR="00954B3D" w:rsidRPr="00954B3D">
              <w:rPr>
                <w:rFonts w:cs="Times New Roman"/>
                <w:i/>
                <w:iCs/>
                <w:sz w:val="20"/>
                <w:szCs w:val="24"/>
              </w:rPr>
              <w:t>et al.</w:t>
            </w:r>
            <w:r w:rsidR="00954B3D" w:rsidRPr="00954B3D">
              <w:rPr>
                <w:rFonts w:cs="Times New Roman"/>
                <w:sz w:val="20"/>
                <w:szCs w:val="24"/>
              </w:rPr>
              <w:t>, 2001)</w:t>
            </w:r>
            <w:r>
              <w:rPr>
                <w:rFonts w:cs="Times New Roman"/>
                <w:noProof/>
                <w:sz w:val="20"/>
                <w:szCs w:val="20"/>
              </w:rPr>
              <w:fldChar w:fldCharType="end"/>
            </w:r>
          </w:p>
        </w:tc>
      </w:tr>
      <w:tr w:rsidR="007E60E4" w:rsidRPr="00AA22EE" w:rsidTr="007E60E4">
        <w:tc>
          <w:tcPr>
            <w:tcW w:w="1101"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Positive</w:t>
            </w:r>
          </w:p>
        </w:tc>
        <w:tc>
          <w:tcPr>
            <w:tcW w:w="1842"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 xml:space="preserve">Root lesion nematode </w:t>
            </w:r>
            <w:proofErr w:type="spellStart"/>
            <w:r w:rsidRPr="00AA22EE">
              <w:rPr>
                <w:rFonts w:cs="Times New Roman"/>
                <w:i/>
                <w:sz w:val="20"/>
                <w:szCs w:val="20"/>
              </w:rPr>
              <w:t>Pratylenchus</w:t>
            </w:r>
            <w:proofErr w:type="spellEnd"/>
            <w:r w:rsidRPr="00AA22EE">
              <w:rPr>
                <w:rFonts w:cs="Times New Roman"/>
                <w:i/>
                <w:sz w:val="20"/>
                <w:szCs w:val="20"/>
              </w:rPr>
              <w:t xml:space="preserve"> </w:t>
            </w:r>
            <w:proofErr w:type="spellStart"/>
            <w:r w:rsidRPr="00AA22EE">
              <w:rPr>
                <w:rFonts w:cs="Times New Roman"/>
                <w:i/>
                <w:sz w:val="20"/>
                <w:szCs w:val="20"/>
              </w:rPr>
              <w:t>penetrans</w:t>
            </w:r>
            <w:proofErr w:type="spellEnd"/>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EMLA – 26 rootstock</w:t>
            </w:r>
          </w:p>
        </w:tc>
        <w:tc>
          <w:tcPr>
            <w:tcW w:w="2302" w:type="dxa"/>
            <w:tcBorders>
              <w:top w:val="nil"/>
              <w:left w:val="nil"/>
              <w:bottom w:val="nil"/>
              <w:right w:val="nil"/>
            </w:tcBorders>
          </w:tcPr>
          <w:p w:rsidR="007E60E4" w:rsidRPr="00AA22EE" w:rsidRDefault="00CC66C9" w:rsidP="00F67658">
            <w:pPr>
              <w:spacing w:line="240" w:lineRule="auto"/>
              <w:contextualSpacing/>
              <w:jc w:val="left"/>
              <w:rPr>
                <w:rFonts w:cs="Times New Roman"/>
                <w:sz w:val="20"/>
                <w:szCs w:val="20"/>
              </w:rPr>
            </w:pPr>
            <w:proofErr w:type="spellStart"/>
            <w:r>
              <w:rPr>
                <w:rFonts w:cs="Times New Roman"/>
                <w:i/>
                <w:sz w:val="20"/>
                <w:szCs w:val="20"/>
              </w:rPr>
              <w:t>Funneliformis</w:t>
            </w:r>
            <w:proofErr w:type="spellEnd"/>
            <w:r>
              <w:rPr>
                <w:rFonts w:cs="Times New Roman"/>
                <w:i/>
                <w:sz w:val="20"/>
                <w:szCs w:val="20"/>
              </w:rPr>
              <w:t xml:space="preserve"> </w:t>
            </w:r>
            <w:proofErr w:type="spellStart"/>
            <w:r>
              <w:rPr>
                <w:rFonts w:cs="Times New Roman"/>
                <w:i/>
                <w:sz w:val="20"/>
                <w:szCs w:val="20"/>
              </w:rPr>
              <w:t>mosseae</w:t>
            </w:r>
            <w:proofErr w:type="spellEnd"/>
          </w:p>
        </w:tc>
        <w:tc>
          <w:tcPr>
            <w:tcW w:w="22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Increased fresh shoot and root weight and shoot length, significantly reduced nematode numbers</w:t>
            </w:r>
          </w:p>
        </w:tc>
        <w:tc>
          <w:tcPr>
            <w:tcW w:w="1877" w:type="dxa"/>
            <w:gridSpan w:val="2"/>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Improved tree health, suggested negative effect of AM</w:t>
            </w:r>
            <w:r w:rsidR="00E44545">
              <w:rPr>
                <w:rFonts w:cs="Times New Roman"/>
                <w:sz w:val="20"/>
                <w:szCs w:val="20"/>
              </w:rPr>
              <w:t>F</w:t>
            </w:r>
            <w:r w:rsidRPr="00AA22EE">
              <w:rPr>
                <w:rFonts w:cs="Times New Roman"/>
                <w:sz w:val="20"/>
                <w:szCs w:val="20"/>
              </w:rPr>
              <w:t xml:space="preserve"> on nematode development</w:t>
            </w:r>
          </w:p>
        </w:tc>
        <w:tc>
          <w:tcPr>
            <w:tcW w:w="1134"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Seedlings</w:t>
            </w:r>
          </w:p>
        </w:tc>
        <w:tc>
          <w:tcPr>
            <w:tcW w:w="1276" w:type="dxa"/>
            <w:tcBorders>
              <w:top w:val="nil"/>
              <w:left w:val="nil"/>
              <w:bottom w:val="nil"/>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Field</w:t>
            </w:r>
          </w:p>
          <w:p w:rsidR="007E60E4" w:rsidRPr="00AA22EE" w:rsidRDefault="007E60E4" w:rsidP="00F67658">
            <w:pPr>
              <w:spacing w:line="240" w:lineRule="auto"/>
              <w:contextualSpacing/>
              <w:jc w:val="left"/>
              <w:rPr>
                <w:rFonts w:cs="Times New Roman"/>
                <w:sz w:val="20"/>
                <w:szCs w:val="20"/>
              </w:rPr>
            </w:pPr>
          </w:p>
        </w:tc>
        <w:tc>
          <w:tcPr>
            <w:tcW w:w="1100" w:type="dxa"/>
            <w:tcBorders>
              <w:top w:val="nil"/>
              <w:left w:val="nil"/>
              <w:bottom w:val="nil"/>
              <w:right w:val="nil"/>
            </w:tcBorders>
          </w:tcPr>
          <w:p w:rsidR="007E60E4" w:rsidRPr="00AA22EE" w:rsidRDefault="007E60E4" w:rsidP="00F67658">
            <w:pPr>
              <w:spacing w:line="240" w:lineRule="auto"/>
              <w:contextualSpacing/>
              <w:jc w:val="left"/>
              <w:rPr>
                <w:rFonts w:cs="Times New Roman"/>
                <w:noProof/>
                <w:sz w:val="20"/>
                <w:szCs w:val="20"/>
              </w:rPr>
            </w:pPr>
            <w:r w:rsidRPr="00AA22EE">
              <w:rPr>
                <w:rFonts w:cs="Times New Roman"/>
                <w:noProof/>
                <w:sz w:val="20"/>
                <w:szCs w:val="20"/>
              </w:rPr>
              <w:t>6 months</w:t>
            </w:r>
          </w:p>
        </w:tc>
        <w:tc>
          <w:tcPr>
            <w:tcW w:w="1701" w:type="dxa"/>
            <w:tcBorders>
              <w:top w:val="nil"/>
              <w:left w:val="nil"/>
              <w:bottom w:val="nil"/>
              <w:right w:val="nil"/>
            </w:tcBorders>
          </w:tcPr>
          <w:p w:rsidR="007E60E4" w:rsidRPr="00AA22EE" w:rsidRDefault="009E2159" w:rsidP="00954B3D">
            <w:pPr>
              <w:spacing w:line="240" w:lineRule="auto"/>
              <w:contextualSpacing/>
              <w:jc w:val="left"/>
              <w:rPr>
                <w:rFonts w:cs="Times New Roman"/>
                <w:noProof/>
                <w:sz w:val="20"/>
                <w:szCs w:val="20"/>
              </w:rPr>
            </w:pPr>
            <w:r>
              <w:rPr>
                <w:rFonts w:cs="Times New Roman"/>
                <w:noProof/>
                <w:sz w:val="20"/>
                <w:szCs w:val="20"/>
              </w:rPr>
              <w:fldChar w:fldCharType="begin"/>
            </w:r>
            <w:r w:rsidR="00954B3D">
              <w:rPr>
                <w:rFonts w:cs="Times New Roman"/>
                <w:noProof/>
                <w:sz w:val="20"/>
                <w:szCs w:val="20"/>
              </w:rPr>
              <w:instrText xml:space="preserve"> ADDIN ZOTERO_ITEM CSL_CITATION {"citationID":"1lvrat7ncg","properties":{"formattedCitation":"{\\rtf (Pinochet {\\i{}et al.}, 1993)}","plainCitation":"(Pinochet et al., 1993)"},"citationItems":[{"id":210,"uris":["http://zotero.org/users/local/d1gJDEOw/items/54MHBQEV"],"uri":["http://zotero.org/users/local/d1gJDEOw/items/54MHBQEV"],"itemData":{"id":210,"type":"article-journal","title":"Effects of the Root-Lesion Nematode Pratylenchus-Vulnus and the Mycorrhizal Fungus Glomus-Mosseae on the Growth of Emla-26 Apple Rootstock","container-title":"Mycorrhiza","page":"79-83","volume":"4","issue":"2","source":"Web of Science","abstract":"The interaction between Pratylenchus vulnus and the endomycorrhizal fungus Glomus mosseae on the growth of EMLA 26 apple rootstock was studied under shadehouse conditions in the field during the first 6 months of growth. Fresh top weights, fresh root weights, and shoot lengths of mycorrhizal plants with and without P. vulnus were significantly higher than those of nonmycorrhizal plants. Addition of P to non-mycorrhizal controls had little overall effect. Mycorrhizal treatments with the nematode showed a significantly lower amount of nematodes per gram of root than nonmycorrhizal treatments with P. vulnus. Root colonization by G. mosseae was not affected by the presence of the nematode. No nutrient deficiencies were detected in foliar analyses, although low levels of K, A1, and Fe were detected in nematode treatments. The highest levels of S, Mg, Mn and Zn were detected in P. vulnus inoculated plants. Mycorrhizal plants had the highest levels of N, Na, P, K, and Fe. The importance of early mycorrhizal infection of EMLA 26 apple root-stock in the presence of the nematode is discussed.","DOI":"10.1007/BF00204062","ISSN":"0940-6360","note":"WOS:A1993MP53800005","journalAbbreviation":"Mycorrhiza","language":"English","author":[{"family":"Pinochet","given":"J."},{"family":"Camprubi","given":"A."},{"family":"Calvet","given":"C."}],"issued":{"date-parts":[["1993",12]]}}}],"schema":"https://github.com/citation-style-language/schema/raw/master/csl-citation.json"} </w:instrText>
            </w:r>
            <w:r>
              <w:rPr>
                <w:rFonts w:cs="Times New Roman"/>
                <w:noProof/>
                <w:sz w:val="20"/>
                <w:szCs w:val="20"/>
              </w:rPr>
              <w:fldChar w:fldCharType="separate"/>
            </w:r>
            <w:r w:rsidR="00954B3D" w:rsidRPr="00954B3D">
              <w:rPr>
                <w:rFonts w:cs="Times New Roman"/>
                <w:sz w:val="20"/>
                <w:szCs w:val="24"/>
              </w:rPr>
              <w:t xml:space="preserve">(Pinochet </w:t>
            </w:r>
            <w:r w:rsidR="00954B3D" w:rsidRPr="00954B3D">
              <w:rPr>
                <w:rFonts w:cs="Times New Roman"/>
                <w:i/>
                <w:iCs/>
                <w:sz w:val="20"/>
                <w:szCs w:val="24"/>
              </w:rPr>
              <w:t>et al.</w:t>
            </w:r>
            <w:r w:rsidR="00954B3D" w:rsidRPr="00954B3D">
              <w:rPr>
                <w:rFonts w:cs="Times New Roman"/>
                <w:sz w:val="20"/>
                <w:szCs w:val="24"/>
              </w:rPr>
              <w:t>, 1993)</w:t>
            </w:r>
            <w:r>
              <w:rPr>
                <w:rFonts w:cs="Times New Roman"/>
                <w:noProof/>
                <w:sz w:val="20"/>
                <w:szCs w:val="20"/>
              </w:rPr>
              <w:fldChar w:fldCharType="end"/>
            </w:r>
          </w:p>
        </w:tc>
      </w:tr>
      <w:tr w:rsidR="007E60E4" w:rsidRPr="00AA22EE" w:rsidTr="007E60E4">
        <w:tc>
          <w:tcPr>
            <w:tcW w:w="1101" w:type="dxa"/>
            <w:tcBorders>
              <w:top w:val="nil"/>
              <w:left w:val="nil"/>
              <w:bottom w:val="single" w:sz="4" w:space="0" w:color="auto"/>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No effect</w:t>
            </w:r>
          </w:p>
        </w:tc>
        <w:tc>
          <w:tcPr>
            <w:tcW w:w="1842" w:type="dxa"/>
            <w:tcBorders>
              <w:top w:val="nil"/>
              <w:left w:val="nil"/>
              <w:bottom w:val="single" w:sz="4" w:space="0" w:color="auto"/>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Specific Apple Replant Disease</w:t>
            </w:r>
          </w:p>
        </w:tc>
        <w:tc>
          <w:tcPr>
            <w:tcW w:w="1134" w:type="dxa"/>
            <w:tcBorders>
              <w:top w:val="nil"/>
              <w:left w:val="nil"/>
              <w:bottom w:val="single" w:sz="4" w:space="0" w:color="auto"/>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M26 rootstock</w:t>
            </w:r>
          </w:p>
        </w:tc>
        <w:tc>
          <w:tcPr>
            <w:tcW w:w="2302" w:type="dxa"/>
            <w:tcBorders>
              <w:top w:val="nil"/>
              <w:left w:val="nil"/>
              <w:bottom w:val="single" w:sz="4" w:space="0" w:color="auto"/>
              <w:right w:val="nil"/>
            </w:tcBorders>
          </w:tcPr>
          <w:p w:rsidR="007E60E4" w:rsidRPr="00AA22EE" w:rsidRDefault="00CC66C9" w:rsidP="00F67658">
            <w:pPr>
              <w:spacing w:line="240" w:lineRule="auto"/>
              <w:contextualSpacing/>
              <w:jc w:val="left"/>
              <w:rPr>
                <w:rFonts w:cs="Times New Roman"/>
                <w:sz w:val="20"/>
                <w:szCs w:val="20"/>
              </w:rPr>
            </w:pPr>
            <w:proofErr w:type="spellStart"/>
            <w:r>
              <w:rPr>
                <w:rFonts w:cs="Times New Roman"/>
                <w:i/>
                <w:iCs/>
                <w:sz w:val="20"/>
                <w:szCs w:val="20"/>
              </w:rPr>
              <w:t>Funneliformis</w:t>
            </w:r>
            <w:proofErr w:type="spellEnd"/>
            <w:r>
              <w:rPr>
                <w:rFonts w:cs="Times New Roman"/>
                <w:i/>
                <w:iCs/>
                <w:sz w:val="20"/>
                <w:szCs w:val="20"/>
              </w:rPr>
              <w:t xml:space="preserve"> </w:t>
            </w:r>
            <w:proofErr w:type="spellStart"/>
            <w:r>
              <w:rPr>
                <w:rFonts w:cs="Times New Roman"/>
                <w:i/>
                <w:iCs/>
                <w:sz w:val="20"/>
                <w:szCs w:val="20"/>
              </w:rPr>
              <w:t>mosseae</w:t>
            </w:r>
            <w:proofErr w:type="spellEnd"/>
            <w:r w:rsidR="009E2159">
              <w:rPr>
                <w:rFonts w:cs="Times New Roman"/>
                <w:sz w:val="20"/>
                <w:szCs w:val="20"/>
              </w:rPr>
              <w:t xml:space="preserve">, </w:t>
            </w:r>
            <w:proofErr w:type="spellStart"/>
            <w:r w:rsidR="007E60E4" w:rsidRPr="00AA22EE">
              <w:rPr>
                <w:rFonts w:cs="Times New Roman"/>
                <w:i/>
                <w:iCs/>
                <w:sz w:val="20"/>
                <w:szCs w:val="20"/>
              </w:rPr>
              <w:t>Acaulospora</w:t>
            </w:r>
            <w:proofErr w:type="spellEnd"/>
            <w:r w:rsidR="007E60E4" w:rsidRPr="00AA22EE">
              <w:rPr>
                <w:rFonts w:cs="Times New Roman"/>
                <w:i/>
                <w:iCs/>
                <w:sz w:val="20"/>
                <w:szCs w:val="20"/>
              </w:rPr>
              <w:t xml:space="preserve"> </w:t>
            </w:r>
            <w:proofErr w:type="spellStart"/>
            <w:r w:rsidR="007E60E4" w:rsidRPr="00AA22EE">
              <w:rPr>
                <w:rFonts w:cs="Times New Roman"/>
                <w:i/>
                <w:iCs/>
                <w:sz w:val="20"/>
                <w:szCs w:val="20"/>
              </w:rPr>
              <w:t>laevis</w:t>
            </w:r>
            <w:proofErr w:type="spellEnd"/>
          </w:p>
        </w:tc>
        <w:tc>
          <w:tcPr>
            <w:tcW w:w="2234" w:type="dxa"/>
            <w:tcBorders>
              <w:top w:val="nil"/>
              <w:left w:val="nil"/>
              <w:bottom w:val="single" w:sz="4" w:space="0" w:color="auto"/>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No beneficial effect on growth or disease resistance in comparison to control</w:t>
            </w:r>
          </w:p>
        </w:tc>
        <w:tc>
          <w:tcPr>
            <w:tcW w:w="1877" w:type="dxa"/>
            <w:gridSpan w:val="2"/>
            <w:tcBorders>
              <w:top w:val="nil"/>
              <w:left w:val="nil"/>
              <w:bottom w:val="single" w:sz="4" w:space="0" w:color="auto"/>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AM</w:t>
            </w:r>
            <w:r w:rsidR="00E44545">
              <w:rPr>
                <w:rFonts w:cs="Times New Roman"/>
                <w:sz w:val="20"/>
                <w:szCs w:val="20"/>
              </w:rPr>
              <w:t>F</w:t>
            </w:r>
            <w:r w:rsidRPr="00AA22EE">
              <w:rPr>
                <w:rFonts w:cs="Times New Roman"/>
                <w:sz w:val="20"/>
                <w:szCs w:val="20"/>
              </w:rPr>
              <w:t xml:space="preserve"> colonisation reduced in SARD soil</w:t>
            </w:r>
          </w:p>
        </w:tc>
        <w:tc>
          <w:tcPr>
            <w:tcW w:w="1134" w:type="dxa"/>
            <w:tcBorders>
              <w:top w:val="nil"/>
              <w:left w:val="nil"/>
              <w:bottom w:val="single" w:sz="4" w:space="0" w:color="auto"/>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Seedlings</w:t>
            </w:r>
          </w:p>
        </w:tc>
        <w:tc>
          <w:tcPr>
            <w:tcW w:w="1276" w:type="dxa"/>
            <w:tcBorders>
              <w:top w:val="nil"/>
              <w:left w:val="nil"/>
              <w:bottom w:val="single" w:sz="4" w:space="0" w:color="auto"/>
              <w:right w:val="nil"/>
            </w:tcBorders>
          </w:tcPr>
          <w:p w:rsidR="007E60E4" w:rsidRPr="00AA22EE" w:rsidRDefault="007E60E4" w:rsidP="00F67658">
            <w:pPr>
              <w:spacing w:line="240" w:lineRule="auto"/>
              <w:contextualSpacing/>
              <w:jc w:val="left"/>
              <w:rPr>
                <w:rFonts w:cs="Times New Roman"/>
                <w:sz w:val="20"/>
                <w:szCs w:val="20"/>
              </w:rPr>
            </w:pPr>
            <w:r w:rsidRPr="00AA22EE">
              <w:rPr>
                <w:rFonts w:cs="Times New Roman"/>
                <w:sz w:val="20"/>
                <w:szCs w:val="20"/>
              </w:rPr>
              <w:t>Greenhouse</w:t>
            </w:r>
          </w:p>
          <w:p w:rsidR="007E60E4" w:rsidRPr="00AA22EE" w:rsidRDefault="007E60E4" w:rsidP="00F67658">
            <w:pPr>
              <w:spacing w:line="240" w:lineRule="auto"/>
              <w:contextualSpacing/>
              <w:jc w:val="left"/>
              <w:rPr>
                <w:rFonts w:cs="Times New Roman"/>
                <w:sz w:val="20"/>
                <w:szCs w:val="20"/>
              </w:rPr>
            </w:pPr>
          </w:p>
        </w:tc>
        <w:tc>
          <w:tcPr>
            <w:tcW w:w="1100" w:type="dxa"/>
            <w:tcBorders>
              <w:top w:val="nil"/>
              <w:left w:val="nil"/>
              <w:bottom w:val="single" w:sz="4" w:space="0" w:color="auto"/>
              <w:right w:val="nil"/>
            </w:tcBorders>
          </w:tcPr>
          <w:p w:rsidR="007E60E4" w:rsidRPr="00AA22EE" w:rsidRDefault="007E60E4" w:rsidP="00F67658">
            <w:pPr>
              <w:spacing w:line="240" w:lineRule="auto"/>
              <w:contextualSpacing/>
              <w:jc w:val="left"/>
              <w:rPr>
                <w:rFonts w:cs="Times New Roman"/>
                <w:noProof/>
                <w:sz w:val="20"/>
                <w:szCs w:val="20"/>
              </w:rPr>
            </w:pPr>
            <w:r w:rsidRPr="00AA22EE">
              <w:rPr>
                <w:rFonts w:cs="Times New Roman"/>
                <w:noProof/>
                <w:sz w:val="20"/>
                <w:szCs w:val="20"/>
              </w:rPr>
              <w:t>8 months</w:t>
            </w:r>
          </w:p>
        </w:tc>
        <w:tc>
          <w:tcPr>
            <w:tcW w:w="1701" w:type="dxa"/>
            <w:tcBorders>
              <w:top w:val="nil"/>
              <w:left w:val="nil"/>
              <w:bottom w:val="single" w:sz="4" w:space="0" w:color="auto"/>
              <w:right w:val="nil"/>
            </w:tcBorders>
          </w:tcPr>
          <w:p w:rsidR="007E60E4" w:rsidRPr="00AA22EE" w:rsidRDefault="009E2159" w:rsidP="00954B3D">
            <w:pPr>
              <w:spacing w:line="240" w:lineRule="auto"/>
              <w:contextualSpacing/>
              <w:jc w:val="left"/>
              <w:rPr>
                <w:rFonts w:cs="Times New Roman"/>
                <w:sz w:val="20"/>
                <w:szCs w:val="20"/>
              </w:rPr>
            </w:pPr>
            <w:r>
              <w:rPr>
                <w:rFonts w:cs="Times New Roman"/>
                <w:sz w:val="20"/>
                <w:szCs w:val="20"/>
              </w:rPr>
              <w:fldChar w:fldCharType="begin"/>
            </w:r>
            <w:r w:rsidR="00954B3D">
              <w:rPr>
                <w:rFonts w:cs="Times New Roman"/>
                <w:sz w:val="20"/>
                <w:szCs w:val="20"/>
              </w:rPr>
              <w:instrText xml:space="preserve"> ADDIN ZOTERO_ITEM CSL_CITATION {"citationID":"227ld5n83q","properties":{"formattedCitation":"{\\rtf (Ridgway {\\i{}et al.}, 2008)}","plainCitation":"(Ridgway et al., 2008)"},"citationItems":[{"id":211,"uris":["http://zotero.org/users/local/d1gJDEOw/items/A98CAPXD"],"uri":["http://zotero.org/users/local/d1gJDEOw/items/A98CAPXD"],"itemData":{"id":211,"type":"article-journal","title":"Arbuscular Mycorrhiza Improve Apple Rootstock Growth in Soil Conducive","container-title":"New Zealand Plant Protection","page":"48-53","volume":"61","source":"Web of Science","abstract":"Specific apple replant disease (SARD) impairs the growth and establishment of trees in replanted apple orchards. Apple roots are normally colonised by arbuscular mycorrhizal fungi (AMF), which may have beneficial effects on plant growth. Four AMF inoculation treatments (three species of AMF, Glomus mosseae. Acaulospora laevis and Scutellospora calospora, and all uninoculated control) were applied to M26 apple rootstock seedlings in SARD and non-SARD soil. Of the fungi inoculated, S. calospora had the greatest beneficial effect in improving shoot and root dry weight and shoot length in SARD soil. More disease symptoms occurred on main and feeder roots in SARD soil and none of the inoculated AMF fungi reduced these. Both A. laevis and S. calosporo significantly increased shoot length and gave a higher percentage of AMF-colonised roots in non-SARD soil. These results showed that AMF improve tolerance of apple to SARD and indicate that the beneficial effect is species specific. Characterisation of endogenous mycorrhizae in the soil identified S. pellucida. This is a new species record for New Zealand and provides the opportunity to determine whether the beneficial effect is specific to the genus Scutellospora.","language":"English","author":[{"family":"Ridgway","given":"H. J."},{"family":"Kandula","given":"J."},{"family":"Stewart","given":"A."}],"issued":{"date-parts":[["2008"]]}}}],"schema":"https://github.com/citation-style-language/schema/raw/master/csl-citation.json"} </w:instrText>
            </w:r>
            <w:r>
              <w:rPr>
                <w:rFonts w:cs="Times New Roman"/>
                <w:sz w:val="20"/>
                <w:szCs w:val="20"/>
              </w:rPr>
              <w:fldChar w:fldCharType="separate"/>
            </w:r>
            <w:r w:rsidR="00954B3D" w:rsidRPr="00954B3D">
              <w:rPr>
                <w:rFonts w:cs="Times New Roman"/>
                <w:sz w:val="20"/>
                <w:szCs w:val="24"/>
              </w:rPr>
              <w:t xml:space="preserve">(Ridgway </w:t>
            </w:r>
            <w:r w:rsidR="00954B3D" w:rsidRPr="00954B3D">
              <w:rPr>
                <w:rFonts w:cs="Times New Roman"/>
                <w:i/>
                <w:iCs/>
                <w:sz w:val="20"/>
                <w:szCs w:val="24"/>
              </w:rPr>
              <w:t>et al.</w:t>
            </w:r>
            <w:r w:rsidR="00954B3D" w:rsidRPr="00954B3D">
              <w:rPr>
                <w:rFonts w:cs="Times New Roman"/>
                <w:sz w:val="20"/>
                <w:szCs w:val="24"/>
              </w:rPr>
              <w:t>, 2008)</w:t>
            </w:r>
            <w:r>
              <w:rPr>
                <w:rFonts w:cs="Times New Roman"/>
                <w:sz w:val="20"/>
                <w:szCs w:val="20"/>
              </w:rPr>
              <w:fldChar w:fldCharType="end"/>
            </w:r>
          </w:p>
        </w:tc>
      </w:tr>
    </w:tbl>
    <w:p w:rsidR="007E60E4" w:rsidRPr="00AA22EE" w:rsidRDefault="007E60E4" w:rsidP="00F67658">
      <w:pPr>
        <w:spacing w:line="240" w:lineRule="auto"/>
        <w:contextualSpacing/>
        <w:jc w:val="left"/>
        <w:rPr>
          <w:rFonts w:cs="Times New Roman"/>
          <w:sz w:val="20"/>
          <w:szCs w:val="20"/>
        </w:rPr>
      </w:pPr>
    </w:p>
    <w:p w:rsidR="00385300" w:rsidRDefault="007E60E4" w:rsidP="00385300">
      <w:pPr>
        <w:spacing w:line="240" w:lineRule="auto"/>
        <w:contextualSpacing/>
        <w:rPr>
          <w:rFonts w:cs="Times New Roman"/>
        </w:rPr>
        <w:sectPr w:rsidR="00385300" w:rsidSect="00B74CFC">
          <w:type w:val="evenPage"/>
          <w:pgSz w:w="16838" w:h="11906" w:orient="landscape"/>
          <w:pgMar w:top="2268" w:right="1134" w:bottom="1134" w:left="1134" w:header="709" w:footer="709" w:gutter="0"/>
          <w:cols w:space="708"/>
          <w:docGrid w:linePitch="360"/>
        </w:sectPr>
      </w:pPr>
      <w:r w:rsidRPr="00AA22EE">
        <w:rPr>
          <w:rFonts w:cs="Times New Roman"/>
          <w:sz w:val="20"/>
          <w:szCs w:val="20"/>
        </w:rPr>
        <w:t>*tree age at the</w:t>
      </w:r>
      <w:r w:rsidR="00385300">
        <w:rPr>
          <w:rFonts w:cs="Times New Roman"/>
          <w:sz w:val="20"/>
          <w:szCs w:val="20"/>
        </w:rPr>
        <w:t xml:space="preserve"> beginning of the study duration</w:t>
      </w:r>
      <w:bookmarkStart w:id="113" w:name="_Toc463208990"/>
      <w:bookmarkStart w:id="114" w:name="_Toc469855015"/>
      <w:bookmarkStart w:id="115" w:name="_Toc469856015"/>
    </w:p>
    <w:p w:rsidR="007E60E4" w:rsidRPr="00AA22EE" w:rsidRDefault="007E60E4" w:rsidP="007E60E4">
      <w:pPr>
        <w:pStyle w:val="Heading2"/>
        <w:rPr>
          <w:rFonts w:cs="Times New Roman"/>
        </w:rPr>
      </w:pPr>
      <w:bookmarkStart w:id="116" w:name="_Toc469931924"/>
      <w:bookmarkStart w:id="117" w:name="_Toc469982245"/>
      <w:r w:rsidRPr="00AA22EE">
        <w:rPr>
          <w:rFonts w:cs="Times New Roman"/>
        </w:rPr>
        <w:lastRenderedPageBreak/>
        <w:t>Aims of thesis and structure</w:t>
      </w:r>
      <w:bookmarkEnd w:id="113"/>
      <w:bookmarkEnd w:id="114"/>
      <w:bookmarkEnd w:id="115"/>
      <w:bookmarkEnd w:id="116"/>
      <w:bookmarkEnd w:id="117"/>
    </w:p>
    <w:p w:rsidR="007E60E4" w:rsidRPr="00AA22EE" w:rsidRDefault="007E60E4" w:rsidP="007E60E4">
      <w:pPr>
        <w:rPr>
          <w:rFonts w:cs="Times New Roman"/>
        </w:rPr>
      </w:pPr>
      <w:r w:rsidRPr="00AA22EE">
        <w:rPr>
          <w:rFonts w:cs="Times New Roman"/>
        </w:rPr>
        <w:t>The overarching aim of this thesis is to assess the potential of arbuscular mycorrhizal fungi for improving sustainability of apple orchards.</w:t>
      </w:r>
    </w:p>
    <w:p w:rsidR="007E60E4" w:rsidRPr="00AA22EE" w:rsidRDefault="007E60E4" w:rsidP="007E60E4">
      <w:pPr>
        <w:rPr>
          <w:rFonts w:cs="Times New Roman"/>
        </w:rPr>
      </w:pPr>
      <w:r w:rsidRPr="00AA22EE">
        <w:rPr>
          <w:rFonts w:cs="Times New Roman"/>
        </w:rPr>
        <w:t xml:space="preserve">More </w:t>
      </w:r>
      <w:r>
        <w:rPr>
          <w:rFonts w:cs="Times New Roman"/>
        </w:rPr>
        <w:t>specifically, this research has</w:t>
      </w:r>
      <w:r w:rsidRPr="00AA22EE">
        <w:rPr>
          <w:rFonts w:cs="Times New Roman"/>
        </w:rPr>
        <w:t xml:space="preserve"> address</w:t>
      </w:r>
      <w:r>
        <w:rPr>
          <w:rFonts w:cs="Times New Roman"/>
        </w:rPr>
        <w:t>ed</w:t>
      </w:r>
      <w:r w:rsidRPr="00AA22EE">
        <w:rPr>
          <w:rFonts w:cs="Times New Roman"/>
        </w:rPr>
        <w:t xml:space="preserve"> the following questions:</w:t>
      </w:r>
    </w:p>
    <w:p w:rsidR="007E60E4" w:rsidRPr="00AA22EE" w:rsidRDefault="007E60E4" w:rsidP="005D6985">
      <w:pPr>
        <w:pStyle w:val="ListParagraph"/>
        <w:numPr>
          <w:ilvl w:val="0"/>
          <w:numId w:val="2"/>
        </w:numPr>
        <w:spacing w:after="0"/>
        <w:rPr>
          <w:rFonts w:cs="Times New Roman"/>
        </w:rPr>
      </w:pPr>
      <w:r w:rsidRPr="00AA22EE">
        <w:rPr>
          <w:rFonts w:cs="Times New Roman"/>
        </w:rPr>
        <w:t>To what extent can symbiosis with AMF improve the health, growth and productivity of cider apple trees?</w:t>
      </w:r>
    </w:p>
    <w:p w:rsidR="007E60E4" w:rsidRPr="00AA22EE" w:rsidRDefault="007E60E4" w:rsidP="005D6985">
      <w:pPr>
        <w:pStyle w:val="ListParagraph"/>
        <w:numPr>
          <w:ilvl w:val="0"/>
          <w:numId w:val="2"/>
        </w:numPr>
        <w:spacing w:after="0"/>
        <w:rPr>
          <w:rFonts w:cs="Times New Roman"/>
        </w:rPr>
      </w:pPr>
      <w:r w:rsidRPr="00AA22EE">
        <w:rPr>
          <w:rFonts w:cs="Times New Roman"/>
        </w:rPr>
        <w:t>What are the AMF communities naturally found within cider apple orchards and how are they impacted by orchard management?</w:t>
      </w:r>
    </w:p>
    <w:p w:rsidR="007E60E4" w:rsidRPr="00AA22EE" w:rsidRDefault="007E60E4" w:rsidP="007E60E4">
      <w:pPr>
        <w:rPr>
          <w:rFonts w:cs="Times New Roman"/>
        </w:rPr>
      </w:pPr>
      <w:r w:rsidRPr="00AA22EE">
        <w:rPr>
          <w:rFonts w:cs="Times New Roman"/>
        </w:rPr>
        <w:t>To address these research questions</w:t>
      </w:r>
      <w:r>
        <w:rPr>
          <w:rFonts w:cs="Times New Roman"/>
        </w:rPr>
        <w:t>,</w:t>
      </w:r>
      <w:r w:rsidRPr="00AA22EE">
        <w:rPr>
          <w:rFonts w:cs="Times New Roman"/>
        </w:rPr>
        <w:t xml:space="preserve"> </w:t>
      </w:r>
      <w:r>
        <w:rPr>
          <w:rFonts w:cs="Times New Roman"/>
        </w:rPr>
        <w:t>a</w:t>
      </w:r>
      <w:r w:rsidRPr="00AA22EE">
        <w:rPr>
          <w:rFonts w:cs="Times New Roman"/>
        </w:rPr>
        <w:t xml:space="preserve"> combination of landscape scale sampling and controlled growth e</w:t>
      </w:r>
      <w:r>
        <w:rPr>
          <w:rFonts w:cs="Times New Roman"/>
        </w:rPr>
        <w:t>xperiments were used, as detailed for the following chapters</w:t>
      </w:r>
      <w:r w:rsidR="00DE54FD">
        <w:rPr>
          <w:rFonts w:cs="Times New Roman"/>
        </w:rPr>
        <w:t>:</w:t>
      </w:r>
    </w:p>
    <w:p w:rsidR="007E60E4" w:rsidRPr="00370276" w:rsidRDefault="007E60E4" w:rsidP="00DE54FD">
      <w:pPr>
        <w:rPr>
          <w:b/>
        </w:rPr>
      </w:pPr>
      <w:r w:rsidRPr="00AA22EE">
        <w:rPr>
          <w:b/>
        </w:rPr>
        <w:t xml:space="preserve">Chapter 2: </w:t>
      </w:r>
      <w:r w:rsidRPr="00AA22EE">
        <w:t xml:space="preserve">In this chapter the effect of AMF symbiosis upon </w:t>
      </w:r>
      <w:r>
        <w:t xml:space="preserve">cider apple </w:t>
      </w:r>
      <w:r w:rsidRPr="00AA22EE">
        <w:t>tree he</w:t>
      </w:r>
      <w:r>
        <w:t>alth, growth and productivity was experimentally tested over three years using a semi-controlled growth experiment. Cider apple trees of tw</w:t>
      </w:r>
      <w:r w:rsidRPr="00CD3FEC">
        <w:t>o widely commercially planted scions (Dabinett and Michelin) and rootstock combinations (MM111 and MM106)</w:t>
      </w:r>
      <w:r>
        <w:t xml:space="preserve"> were grown with and without mycorrhizal inoculation </w:t>
      </w:r>
      <w:r w:rsidRPr="00CD3FEC">
        <w:t>under two fertiliser application l</w:t>
      </w:r>
      <w:r>
        <w:t xml:space="preserve">evels. </w:t>
      </w:r>
    </w:p>
    <w:p w:rsidR="007E60E4" w:rsidRPr="00370276" w:rsidRDefault="007E60E4" w:rsidP="007E60E4">
      <w:pPr>
        <w:rPr>
          <w:rFonts w:cs="Times New Roman"/>
          <w:b/>
        </w:rPr>
      </w:pPr>
      <w:r w:rsidRPr="00AA22EE">
        <w:rPr>
          <w:rFonts w:cs="Times New Roman"/>
          <w:b/>
        </w:rPr>
        <w:t xml:space="preserve">Chapter 3: </w:t>
      </w:r>
      <w:r>
        <w:rPr>
          <w:rFonts w:cs="Times New Roman"/>
        </w:rPr>
        <w:t xml:space="preserve">Using a landscape sampling approach of cider apple orchards across Herefordshire, UK, this study aimed to characterise the AMF communities within the soils of three cider apple orchard management types which differ in their management intensity. AMF communities of apple orchards where characterised using two molecular fingerprinting methods: TRFLP and Illumina sequencing, and compared with those of nearby arable and woodland reference habitats to examine effects of land management. </w:t>
      </w:r>
    </w:p>
    <w:p w:rsidR="007E60E4" w:rsidRPr="00782D1C" w:rsidRDefault="007E60E4" w:rsidP="007E60E4">
      <w:pPr>
        <w:rPr>
          <w:rFonts w:cs="Times New Roman"/>
          <w:b/>
        </w:rPr>
      </w:pPr>
      <w:r w:rsidRPr="00AA22EE">
        <w:rPr>
          <w:rFonts w:cs="Times New Roman"/>
          <w:b/>
        </w:rPr>
        <w:t xml:space="preserve">Chapter 4: </w:t>
      </w:r>
      <w:r>
        <w:rPr>
          <w:rFonts w:cs="Times New Roman"/>
        </w:rPr>
        <w:t>Building on the results of chapter 3 this study u</w:t>
      </w:r>
      <w:r w:rsidRPr="00782D1C">
        <w:rPr>
          <w:rFonts w:cs="Times New Roman"/>
        </w:rPr>
        <w:t>sing a land</w:t>
      </w:r>
      <w:r>
        <w:rPr>
          <w:rFonts w:cs="Times New Roman"/>
        </w:rPr>
        <w:t>s</w:t>
      </w:r>
      <w:r w:rsidRPr="00782D1C">
        <w:rPr>
          <w:rFonts w:cs="Times New Roman"/>
        </w:rPr>
        <w:t xml:space="preserve">cape scale sampling </w:t>
      </w:r>
      <w:r>
        <w:rPr>
          <w:rFonts w:cs="Times New Roman"/>
        </w:rPr>
        <w:t>of the apple roots across the types of cider apple orchard with the aim of characterising AMF communities colonising apple trees and understanding how these AMF communities</w:t>
      </w:r>
      <w:r w:rsidRPr="00782D1C">
        <w:rPr>
          <w:rFonts w:cs="Times New Roman"/>
        </w:rPr>
        <w:t xml:space="preserve"> are affected by </w:t>
      </w:r>
      <w:r>
        <w:rPr>
          <w:rFonts w:cs="Times New Roman"/>
        </w:rPr>
        <w:t xml:space="preserve">orchard </w:t>
      </w:r>
      <w:r w:rsidRPr="00782D1C">
        <w:rPr>
          <w:rFonts w:cs="Times New Roman"/>
        </w:rPr>
        <w:t>management</w:t>
      </w:r>
      <w:r>
        <w:rPr>
          <w:rFonts w:cs="Times New Roman"/>
        </w:rPr>
        <w:t xml:space="preserve">. </w:t>
      </w:r>
      <w:r w:rsidRPr="00782D1C">
        <w:rPr>
          <w:rFonts w:cs="Times New Roman"/>
        </w:rPr>
        <w:t xml:space="preserve"> </w:t>
      </w:r>
      <w:r>
        <w:rPr>
          <w:rFonts w:cs="Times New Roman"/>
        </w:rPr>
        <w:t xml:space="preserve">Furthermore this study </w:t>
      </w:r>
      <w:r w:rsidRPr="00782D1C">
        <w:rPr>
          <w:rFonts w:cs="Times New Roman"/>
        </w:rPr>
        <w:t>investigate</w:t>
      </w:r>
      <w:r>
        <w:rPr>
          <w:rFonts w:cs="Times New Roman"/>
        </w:rPr>
        <w:t>d</w:t>
      </w:r>
      <w:r w:rsidRPr="00782D1C">
        <w:rPr>
          <w:rFonts w:cs="Times New Roman"/>
        </w:rPr>
        <w:t xml:space="preserve"> the relationship between AMF and apple tree yield. </w:t>
      </w:r>
    </w:p>
    <w:p w:rsidR="00A57540" w:rsidRDefault="007E60E4" w:rsidP="007C4D14">
      <w:pPr>
        <w:rPr>
          <w:rFonts w:cs="Times New Roman"/>
        </w:rPr>
        <w:sectPr w:rsidR="00A57540" w:rsidSect="00385300">
          <w:type w:val="evenPage"/>
          <w:pgSz w:w="11906" w:h="16838"/>
          <w:pgMar w:top="1134" w:right="1134" w:bottom="1134" w:left="2268" w:header="709" w:footer="709" w:gutter="0"/>
          <w:cols w:space="708"/>
          <w:docGrid w:linePitch="360"/>
        </w:sectPr>
      </w:pPr>
      <w:r w:rsidRPr="00AA22EE">
        <w:rPr>
          <w:rFonts w:cs="Times New Roman"/>
          <w:b/>
        </w:rPr>
        <w:t>Chapter 5:</w:t>
      </w:r>
      <w:r>
        <w:rPr>
          <w:rFonts w:cs="Times New Roman"/>
          <w:b/>
        </w:rPr>
        <w:t xml:space="preserve"> </w:t>
      </w:r>
      <w:r w:rsidRPr="00AA22EE">
        <w:rPr>
          <w:rFonts w:cs="Times New Roman"/>
        </w:rPr>
        <w:t>An overall synthesis of</w:t>
      </w:r>
      <w:r w:rsidR="00775E9F">
        <w:rPr>
          <w:rFonts w:cs="Times New Roman"/>
        </w:rPr>
        <w:t xml:space="preserve"> the findings of chapters 2 to 4</w:t>
      </w:r>
      <w:r w:rsidRPr="00AA22EE">
        <w:rPr>
          <w:rFonts w:cs="Times New Roman"/>
        </w:rPr>
        <w:t xml:space="preserve"> to present an overall picture of the symbiosis between AMF and apple, AMF communities of orchards and how they are affected by management. </w:t>
      </w:r>
      <w:r>
        <w:rPr>
          <w:rFonts w:cs="Times New Roman"/>
        </w:rPr>
        <w:t>Ideas for further work are also presented.</w:t>
      </w:r>
    </w:p>
    <w:p w:rsidR="00A57540" w:rsidRPr="00C043EA" w:rsidRDefault="00A57540" w:rsidP="00385300">
      <w:pPr>
        <w:pStyle w:val="Heading1"/>
        <w:tabs>
          <w:tab w:val="left" w:pos="1701"/>
        </w:tabs>
      </w:pPr>
      <w:bookmarkStart w:id="118" w:name="_Toc469855016"/>
      <w:bookmarkStart w:id="119" w:name="_Toc469856016"/>
      <w:bookmarkStart w:id="120" w:name="_Toc469931925"/>
      <w:bookmarkStart w:id="121" w:name="_Toc469982246"/>
      <w:r w:rsidRPr="00C043EA">
        <w:lastRenderedPageBreak/>
        <w:t xml:space="preserve">Quantifying benefits of AMF inoculation for growth, health and productivity of </w:t>
      </w:r>
      <w:r>
        <w:t xml:space="preserve">cider </w:t>
      </w:r>
      <w:r w:rsidRPr="00C043EA">
        <w:t>apple</w:t>
      </w:r>
      <w:r>
        <w:t xml:space="preserve"> trees</w:t>
      </w:r>
      <w:bookmarkEnd w:id="118"/>
      <w:bookmarkEnd w:id="119"/>
      <w:bookmarkEnd w:id="120"/>
      <w:bookmarkEnd w:id="121"/>
    </w:p>
    <w:p w:rsidR="00A57540" w:rsidRPr="00C043EA" w:rsidRDefault="00A57540" w:rsidP="00B46350">
      <w:pPr>
        <w:pStyle w:val="Heading2"/>
      </w:pPr>
      <w:bookmarkStart w:id="122" w:name="_Toc469855017"/>
      <w:bookmarkStart w:id="123" w:name="_Toc469856017"/>
      <w:bookmarkStart w:id="124" w:name="_Toc469931926"/>
      <w:bookmarkStart w:id="125" w:name="_Toc469982247"/>
      <w:r w:rsidRPr="00B46350">
        <w:t>Summary</w:t>
      </w:r>
      <w:bookmarkEnd w:id="122"/>
      <w:bookmarkEnd w:id="123"/>
      <w:bookmarkEnd w:id="124"/>
      <w:bookmarkEnd w:id="125"/>
    </w:p>
    <w:p w:rsidR="00A57540" w:rsidRDefault="00A57540" w:rsidP="005D6985">
      <w:pPr>
        <w:pStyle w:val="ListParagraph"/>
        <w:numPr>
          <w:ilvl w:val="0"/>
          <w:numId w:val="3"/>
        </w:numPr>
        <w:rPr>
          <w:rFonts w:cs="Times New Roman"/>
        </w:rPr>
      </w:pPr>
      <w:r w:rsidRPr="000A7848">
        <w:rPr>
          <w:rFonts w:cs="Times New Roman"/>
        </w:rPr>
        <w:t>Arbuscular mycorrhizal fungi may provide benefits to arable crop plants most notably improved nutrition and disease resistance</w:t>
      </w:r>
      <w:r w:rsidR="00361D64">
        <w:rPr>
          <w:rFonts w:cs="Times New Roman"/>
        </w:rPr>
        <w:t>,</w:t>
      </w:r>
      <w:r w:rsidRPr="000A7848">
        <w:rPr>
          <w:rFonts w:cs="Times New Roman"/>
        </w:rPr>
        <w:t xml:space="preserve"> but far less is known about their benefits for woody perennial crops. Arbuscular mycorrhizal fungi can provide nutritional and disease resistance benefits thus hel</w:t>
      </w:r>
      <w:r w:rsidR="00775E9F">
        <w:rPr>
          <w:rFonts w:cs="Times New Roman"/>
        </w:rPr>
        <w:t>ping to improve food security h</w:t>
      </w:r>
      <w:r w:rsidRPr="000A7848">
        <w:rPr>
          <w:rFonts w:cs="Times New Roman"/>
        </w:rPr>
        <w:t>owever empirical evidence for this is largely confined to arable systems. Here, we assess mycorrhizal benefits for woody perennial crops, in which reduced tillage provides favourable co</w:t>
      </w:r>
      <w:r w:rsidR="00B46350">
        <w:rPr>
          <w:rFonts w:cs="Times New Roman"/>
        </w:rPr>
        <w:t>nditions for mycorrhizal fungi.</w:t>
      </w:r>
    </w:p>
    <w:p w:rsidR="00385300" w:rsidRDefault="00A57540" w:rsidP="00385300">
      <w:pPr>
        <w:pStyle w:val="ListParagraph"/>
        <w:numPr>
          <w:ilvl w:val="0"/>
          <w:numId w:val="3"/>
        </w:numPr>
        <w:rPr>
          <w:rFonts w:cs="Times New Roman"/>
        </w:rPr>
      </w:pPr>
      <w:r w:rsidRPr="00CD3FEC">
        <w:rPr>
          <w:rFonts w:cs="Times New Roman"/>
        </w:rPr>
        <w:t>Using a controlled growth experiment we grew apple trees of two widely commercially planted scions (Dabinett and Michelin) and rootstock combinations (MM111 and MM106) both with and without mycorrhizal inoculation under two fertiliser application levels to quantify impacts of mycorrhiza on tree growth and health. We measured parameters of growth, biomass, tissue nutrient concentration</w:t>
      </w:r>
      <w:r>
        <w:rPr>
          <w:rFonts w:cs="Times New Roman"/>
        </w:rPr>
        <w:t>s</w:t>
      </w:r>
      <w:r w:rsidRPr="00CD3FEC">
        <w:rPr>
          <w:rFonts w:cs="Times New Roman"/>
        </w:rPr>
        <w:t xml:space="preserve"> and amount of material infected by apple canker caused by the fungal pathogen </w:t>
      </w:r>
      <w:r w:rsidRPr="00CD3FEC">
        <w:rPr>
          <w:rFonts w:cs="Times New Roman"/>
          <w:i/>
        </w:rPr>
        <w:t>Neonectria ditissima</w:t>
      </w:r>
      <w:r w:rsidR="00361D64">
        <w:rPr>
          <w:rFonts w:cs="Times New Roman"/>
          <w:i/>
        </w:rPr>
        <w:t>,</w:t>
      </w:r>
      <w:r w:rsidRPr="00CD3FEC">
        <w:rPr>
          <w:rFonts w:cs="Times New Roman"/>
          <w:i/>
        </w:rPr>
        <w:t xml:space="preserve"> </w:t>
      </w:r>
      <w:r w:rsidRPr="00CD3FEC">
        <w:rPr>
          <w:rFonts w:cs="Times New Roman"/>
        </w:rPr>
        <w:t>a major production limiting pathogen of apple orchards globally.</w:t>
      </w:r>
    </w:p>
    <w:p w:rsidR="00A57540" w:rsidRDefault="00A57540" w:rsidP="005D6985">
      <w:pPr>
        <w:pStyle w:val="ListParagraph"/>
        <w:numPr>
          <w:ilvl w:val="0"/>
          <w:numId w:val="3"/>
        </w:numPr>
        <w:rPr>
          <w:rFonts w:cs="Times New Roman"/>
        </w:rPr>
      </w:pPr>
      <w:r w:rsidRPr="00C043EA">
        <w:rPr>
          <w:rFonts w:cs="Times New Roman"/>
        </w:rPr>
        <w:t xml:space="preserve">The severity of disease induced by </w:t>
      </w:r>
      <w:r w:rsidRPr="00C043EA">
        <w:rPr>
          <w:rFonts w:cs="Times New Roman"/>
          <w:i/>
        </w:rPr>
        <w:t>Neonectria ditissima</w:t>
      </w:r>
      <w:r w:rsidRPr="00C043EA">
        <w:rPr>
          <w:rFonts w:cs="Times New Roman"/>
        </w:rPr>
        <w:t xml:space="preserve"> was reduced in trees inoculated with mycorrhizal fungi despite no beneficial effect of mycorrhizal inoculum for tree nutrient status or growth. Our results also show that</w:t>
      </w:r>
      <w:r>
        <w:rPr>
          <w:rFonts w:cs="Times New Roman"/>
        </w:rPr>
        <w:t xml:space="preserve"> tree</w:t>
      </w:r>
      <w:r w:rsidRPr="00C043EA">
        <w:rPr>
          <w:rFonts w:cs="Times New Roman"/>
        </w:rPr>
        <w:t xml:space="preserve"> scion type</w:t>
      </w:r>
      <w:r>
        <w:rPr>
          <w:rFonts w:cs="Times New Roman"/>
        </w:rPr>
        <w:t xml:space="preserve"> can</w:t>
      </w:r>
      <w:r w:rsidRPr="00C043EA">
        <w:rPr>
          <w:rFonts w:cs="Times New Roman"/>
        </w:rPr>
        <w:t xml:space="preserve"> influence mycorrhizal symbiosis with apple, suggesting that breeding programmes could influence mycorrhizal status.</w:t>
      </w:r>
      <w:r w:rsidRPr="0061237A">
        <w:rPr>
          <w:rFonts w:cs="Times New Roman"/>
        </w:rPr>
        <w:t xml:space="preserve"> </w:t>
      </w:r>
      <w:r>
        <w:rPr>
          <w:rFonts w:cs="Times New Roman"/>
        </w:rPr>
        <w:t>Significant reductions in mycorrhizal colonisation and tree root biomass under high fertiliser application treatments highlight importance of ta</w:t>
      </w:r>
      <w:r w:rsidR="00385300">
        <w:rPr>
          <w:rFonts w:cs="Times New Roman"/>
        </w:rPr>
        <w:t>rgeted fertiliser application.</w:t>
      </w:r>
    </w:p>
    <w:p w:rsidR="00A57540" w:rsidRDefault="00A57540" w:rsidP="005D6985">
      <w:pPr>
        <w:pStyle w:val="ListParagraph"/>
        <w:numPr>
          <w:ilvl w:val="0"/>
          <w:numId w:val="3"/>
        </w:numPr>
        <w:rPr>
          <w:rFonts w:cs="Times New Roman"/>
        </w:rPr>
      </w:pPr>
      <w:r w:rsidRPr="00C043EA">
        <w:rPr>
          <w:rFonts w:cs="Times New Roman"/>
        </w:rPr>
        <w:t xml:space="preserve">This study </w:t>
      </w:r>
      <w:r>
        <w:rPr>
          <w:rFonts w:cs="Times New Roman"/>
        </w:rPr>
        <w:t>is the first to report</w:t>
      </w:r>
      <w:r w:rsidRPr="00C043EA">
        <w:rPr>
          <w:rFonts w:cs="Times New Roman"/>
        </w:rPr>
        <w:t xml:space="preserve"> benefit</w:t>
      </w:r>
      <w:r>
        <w:rPr>
          <w:rFonts w:cs="Times New Roman"/>
        </w:rPr>
        <w:t>s</w:t>
      </w:r>
      <w:r w:rsidRPr="00C043EA">
        <w:rPr>
          <w:rFonts w:cs="Times New Roman"/>
        </w:rPr>
        <w:t xml:space="preserve"> of</w:t>
      </w:r>
      <w:r>
        <w:rPr>
          <w:rFonts w:cs="Times New Roman"/>
        </w:rPr>
        <w:t xml:space="preserve"> arbuscular</w:t>
      </w:r>
      <w:r w:rsidRPr="00C043EA">
        <w:rPr>
          <w:rFonts w:cs="Times New Roman"/>
        </w:rPr>
        <w:t xml:space="preserve"> mycorrhiza</w:t>
      </w:r>
      <w:r>
        <w:rPr>
          <w:rFonts w:cs="Times New Roman"/>
        </w:rPr>
        <w:t xml:space="preserve"> fungi</w:t>
      </w:r>
      <w:r w:rsidRPr="00C043EA">
        <w:rPr>
          <w:rFonts w:cs="Times New Roman"/>
        </w:rPr>
        <w:t xml:space="preserve"> for improving resistance of apple to </w:t>
      </w:r>
      <w:r w:rsidRPr="00C043EA">
        <w:rPr>
          <w:rFonts w:cs="Times New Roman"/>
          <w:i/>
        </w:rPr>
        <w:t>Neonectria ditissima</w:t>
      </w:r>
      <w:r>
        <w:rPr>
          <w:rFonts w:cs="Times New Roman"/>
        </w:rPr>
        <w:t xml:space="preserve"> and demonstrates the</w:t>
      </w:r>
      <w:r w:rsidRPr="00C043EA">
        <w:rPr>
          <w:rFonts w:cs="Times New Roman"/>
        </w:rPr>
        <w:t xml:space="preserve"> importance of the role of beneficial soil organisms for developing agricultural sustainability. </w:t>
      </w:r>
    </w:p>
    <w:p w:rsidR="00B46350" w:rsidRDefault="00B46350" w:rsidP="00A57540">
      <w:pPr>
        <w:rPr>
          <w:rFonts w:cs="Times New Roman"/>
        </w:rPr>
      </w:pPr>
      <w:r>
        <w:rPr>
          <w:rFonts w:cs="Times New Roman"/>
        </w:rPr>
        <w:br w:type="page"/>
      </w:r>
    </w:p>
    <w:p w:rsidR="00A57540" w:rsidRPr="00C043EA" w:rsidRDefault="00A57540" w:rsidP="00892881">
      <w:pPr>
        <w:pStyle w:val="Heading2"/>
      </w:pPr>
      <w:bookmarkStart w:id="126" w:name="_Toc469855018"/>
      <w:bookmarkStart w:id="127" w:name="_Toc469856018"/>
      <w:bookmarkStart w:id="128" w:name="_Toc469931927"/>
      <w:bookmarkStart w:id="129" w:name="_Toc469982248"/>
      <w:r w:rsidRPr="00892881">
        <w:lastRenderedPageBreak/>
        <w:t>Introduction</w:t>
      </w:r>
      <w:bookmarkEnd w:id="126"/>
      <w:bookmarkEnd w:id="127"/>
      <w:bookmarkEnd w:id="128"/>
      <w:bookmarkEnd w:id="129"/>
    </w:p>
    <w:p w:rsidR="00A57540" w:rsidRPr="00C043EA" w:rsidRDefault="00A57540" w:rsidP="00A57540">
      <w:pPr>
        <w:rPr>
          <w:rFonts w:cs="Times New Roman"/>
        </w:rPr>
      </w:pPr>
      <w:r w:rsidRPr="00C043EA">
        <w:rPr>
          <w:rFonts w:cs="Times New Roman"/>
        </w:rPr>
        <w:t xml:space="preserve">Increased use of inorganic fertilisers has made a huge contribution to growth in agricultural yields in recent decades and agricultural production needs to continue to expand to meet growing food demands </w:t>
      </w:r>
      <w:r w:rsidRPr="00C043EA">
        <w:rPr>
          <w:rFonts w:cs="Times New Roman"/>
        </w:rPr>
        <w:fldChar w:fldCharType="begin"/>
      </w:r>
      <w:r w:rsidR="00954B3D">
        <w:rPr>
          <w:rFonts w:cs="Times New Roman"/>
        </w:rPr>
        <w:instrText xml:space="preserve"> ADDIN ZOTERO_ITEM CSL_CITATION {"citationID":"tb3LzY42","properties":{"formattedCitation":"{\\rtf (Pretty {\\i{}et al.}, 2010; Tilman {\\i{}et al.}, 2011)}","plainCitation":"(Pretty et al., 2010; Tilman et al., 2011)"},"citationItems":[{"id":713,"uris":["http://zotero.org/users/local/d1gJDEOw/items/XPKHIAPB"],"uri":["http://zotero.org/users/local/d1gJDEOw/items/XPKHIAPB"],"itemData":{"id":713,"type":"article-journal","title":"The top 100 questions of importance to the future of global agriculture","container-title":"International Journal of Agricultural Sustainability","page":"219-236","volume":"8","issue":"4","source":"Web of Science","abstract":"Despite a significant growth in food production over the past half-century, one of the most important challenges facing society today is how to feed an expected population of some nine billion by the middle of the 20th century. To meet the expected demand for food without significant increases in prices, it has been estimated that we need to produce 70-100 per cent more food, in light of the growing impacts of climate change, concerns over energy security, regional dietary shifts and the Millennium Development target of halving world poverty and hunger by 2015. The goal for the agricultural sector is no longer simply to maximize productivity, but to optimize across a far more complex landscape of production, rural development, environmental, social justice and food consumption outcomes. However, there remain significant challenges to developing national and international policies that support the wide emergence of more sustainable forms of land use and efficient agricultural production. The lack of information flow between scientists, practitioners and policy makers is known to exacerbate the difficulties, despite increased emphasis upon evidence-based policy. In this paper, we seek to improve dialogue and understanding between agricultural research and policy by identifying the 100 most important questions for global agriculture. These have been compiled using a horizon-scanning approach with leading experts and representatives of major agricultural organizations worldwide. The aim is to use sound scientific evidence to inform decision making and guide policy makers in the future direction of agricultural research priorities and policy support. If addressed, we anticipate that these questions will have a significant impact on global agricultural practices worldwide, while improving the synergy between agricultural policy, practice and research. This research forms part of the UK Government's Foresight Global Food and Farming Futures project.","DOI":"10.3763/ijas.2010.0534","ISSN":"1473-5903","note":"WOS:000287011300001","journalAbbreviation":"Int. J. Agric. Sustain.","language":"English","author":[{"family":"Pretty","given":"Jules"},{"family":"Sutherland","given":"William J."},{"family":"Ashby","given":"Jacqueline"},{"family":"Auburn","given":"Jill"},{"family":"Baulcombe","given":"David"},{"family":"Bell","given":"Michael"},{"family":"Bentley","given":"Jeffrey"},{"family":"Bickersteth","given":"Sam"},{"family":"Brown","given":"Katrina"},{"family":"Burke","given":"Jacob"},{"family":"Campbell","given":"Hugh"},{"family":"Chen","given":"Kevin"},{"family":"Crowley","given":"Eve"},{"family":"Crute","given":"Ian"},{"family":"Dobbelaere","given":"Dirk"},{"family":"Edwards-Jones","given":"Gareth"},{"family":"Funes-Monzote","given":"Fernando"},{"family":"Godfray","given":"H. Charles J."},{"family":"Griffon","given":"Michel"},{"family":"Gypmantisiri","given":"Phrek"},{"family":"Haddad","given":"Lawrence"},{"family":"Halavatau","given":"Siosiua"},{"family":"Herren","given":"Hans"},{"family":"Holderness","given":"Mark"},{"family":"Izac","given":"Anne-Marie"},{"family":"Jones","given":"Monty"},{"family":"Koohafkan","given":"Parviz"},{"family":"Lal","given":"Rattan"},{"family":"Lang","given":"Timothy"},{"family":"McNeely","given":"Jeffrey"},{"family":"Mueller","given":"Alexander"},{"family":"Nisbett","given":"Nicholas"},{"family":"Noble","given":"Andrew"},{"family":"Pingali","given":"Prabhu"},{"family":"Pinto","given":"Yvonne"},{"family":"Rabbinge","given":"Rudy"},{"family":"Ravindranath","given":"N. H."},{"family":"Rola","given":"Agnes"},{"family":"Roling","given":"Niels"},{"family":"Sage","given":"Colin"},{"family":"Settle","given":"William"},{"family":"Sha","given":"J. M."},{"family":"Shiming","given":"Luo"},{"family":"Simons","given":"Tony"},{"family":"Smith","given":"Pete"},{"family":"Strzepeck","given":"Kenneth"},{"family":"Swaine","given":"Harry"},{"family":"Terry","given":"Eugene"},{"family":"Tomich","given":"Thomas P."},{"family":"Toulmin","given":"Camilla"},{"family":"Trigo","given":"Eduardo"},{"family":"Twomlow","given":"Stephen"},{"family":"Vis","given":"Jan Kees"},{"family":"Wilson","given":"Jeremy"},{"family":"Pilgrim","given":"Sarah"}],"issued":{"date-parts":[["2010",11]]}}},{"id":716,"uris":["http://zotero.org/users/local/d1gJDEOw/items/BRQHA79P"],"uri":["http://zotero.org/users/local/d1gJDEOw/items/BRQHA79P"],"itemData":{"id":716,"type":"article-journal","title":"Global food demand and the sustainable intensification of agriculture","container-title":"Proceedings of the National Academy of Sciences","page":"20260-20264","volume":"108","issue":"50","source":"www.pnas.org","abstract":"Global food demand is increasing rapidly, as are the environmental impacts of agricultural expansion. Here, we project global demand for crop production in 2050 and evaluate the environmental impacts of alternative ways that this demand might be met. We find that per capita demand for crops, when measured as caloric or protein content of all crops combined, has been a similarly increasing function of per capita real income since 1960. This relationship forecasts a 100–110% increase in global crop demand from 2005 to 2050. Quantitative assessments show that the environmental impacts of meeting this demand depend on how global agriculture expands. If current trends of greater agricultural intensification in richer nations and greater land clearing (extensification) in poorer nations were to continue, </w:instrText>
      </w:r>
      <w:r w:rsidR="00954B3D">
        <w:rPr>
          <w:rFonts w:ascii="Cambria Math" w:hAnsi="Cambria Math" w:cs="Cambria Math"/>
        </w:rPr>
        <w:instrText>∼</w:instrText>
      </w:r>
      <w:r w:rsidR="00954B3D">
        <w:rPr>
          <w:rFonts w:cs="Times New Roman"/>
        </w:rPr>
        <w:instrText xml:space="preserve">1 billion ha of land would be cleared globally by 2050, with CO2-C equivalent greenhouse gas emissions reaching </w:instrText>
      </w:r>
      <w:r w:rsidR="00954B3D">
        <w:rPr>
          <w:rFonts w:ascii="Cambria Math" w:hAnsi="Cambria Math" w:cs="Cambria Math"/>
        </w:rPr>
        <w:instrText>∼</w:instrText>
      </w:r>
      <w:r w:rsidR="00954B3D">
        <w:rPr>
          <w:rFonts w:cs="Times New Roman"/>
        </w:rPr>
        <w:instrText xml:space="preserve">3 Gt y−1 and N use </w:instrText>
      </w:r>
      <w:r w:rsidR="00954B3D">
        <w:rPr>
          <w:rFonts w:ascii="Cambria Math" w:hAnsi="Cambria Math" w:cs="Cambria Math"/>
        </w:rPr>
        <w:instrText>∼</w:instrText>
      </w:r>
      <w:r w:rsidR="00954B3D">
        <w:rPr>
          <w:rFonts w:cs="Times New Roman"/>
        </w:rPr>
        <w:instrText xml:space="preserve">250 Mt y−1 by then. In contrast, if 2050 crop demand was met by moderate intensification focused on existing croplands of underyielding nations, adaptation and transfer of high-yielding technologies to these croplands, and global technological improvements, our analyses forecast land clearing of only </w:instrText>
      </w:r>
      <w:r w:rsidR="00954B3D">
        <w:rPr>
          <w:rFonts w:ascii="Cambria Math" w:hAnsi="Cambria Math" w:cs="Cambria Math"/>
        </w:rPr>
        <w:instrText>∼</w:instrText>
      </w:r>
      <w:r w:rsidR="00954B3D">
        <w:rPr>
          <w:rFonts w:cs="Times New Roman"/>
        </w:rPr>
        <w:instrText xml:space="preserve">0.2 billion ha, greenhouse gas emissions of </w:instrText>
      </w:r>
      <w:r w:rsidR="00954B3D">
        <w:rPr>
          <w:rFonts w:ascii="Cambria Math" w:hAnsi="Cambria Math" w:cs="Cambria Math"/>
        </w:rPr>
        <w:instrText>∼</w:instrText>
      </w:r>
      <w:r w:rsidR="00954B3D">
        <w:rPr>
          <w:rFonts w:cs="Times New Roman"/>
        </w:rPr>
        <w:instrText xml:space="preserve">1 Gt y−1, and global N use of </w:instrText>
      </w:r>
      <w:r w:rsidR="00954B3D">
        <w:rPr>
          <w:rFonts w:ascii="Cambria Math" w:hAnsi="Cambria Math" w:cs="Cambria Math"/>
        </w:rPr>
        <w:instrText>∼</w:instrText>
      </w:r>
      <w:r w:rsidR="00954B3D">
        <w:rPr>
          <w:rFonts w:cs="Times New Roman"/>
        </w:rPr>
        <w:instrText xml:space="preserve">225 Mt y−1. Efficient management practices could substantially lower nitrogen use. Attainment of high yields on existing croplands of underyielding nations is of great importance if global crop demand is to be met with minimal environmental impacts.","DOI":"10.1073/pnas.1116437108","ISSN":"0027-8424, 1091-6490","note":"PMID: 22106295","journalAbbreviation":"PNAS","language":"en","author":[{"family":"Tilman","given":"David"},{"family":"Balzer","given":"Christian"},{"family":"Hill","given":"Jason"},{"family":"Befort","given":"Belinda L."}],"issued":{"date-parts":[["2011",12,13]]}}}],"schema":"https://github.com/citation-style-language/schema/raw/master/csl-citation.json"} </w:instrText>
      </w:r>
      <w:r w:rsidRPr="00C043EA">
        <w:rPr>
          <w:rFonts w:cs="Times New Roman"/>
        </w:rPr>
        <w:fldChar w:fldCharType="separate"/>
      </w:r>
      <w:r w:rsidR="00954B3D" w:rsidRPr="00954B3D">
        <w:rPr>
          <w:rFonts w:cs="Times New Roman"/>
          <w:szCs w:val="24"/>
        </w:rPr>
        <w:t xml:space="preserve">(Pretty </w:t>
      </w:r>
      <w:r w:rsidR="00954B3D" w:rsidRPr="00954B3D">
        <w:rPr>
          <w:rFonts w:cs="Times New Roman"/>
          <w:i/>
          <w:iCs/>
          <w:szCs w:val="24"/>
        </w:rPr>
        <w:t>et al.</w:t>
      </w:r>
      <w:r w:rsidR="00954B3D" w:rsidRPr="00954B3D">
        <w:rPr>
          <w:rFonts w:cs="Times New Roman"/>
          <w:szCs w:val="24"/>
        </w:rPr>
        <w:t xml:space="preserve">, 2010; </w:t>
      </w:r>
      <w:proofErr w:type="spellStart"/>
      <w:r w:rsidR="00954B3D" w:rsidRPr="00954B3D">
        <w:rPr>
          <w:rFonts w:cs="Times New Roman"/>
          <w:szCs w:val="24"/>
        </w:rPr>
        <w:t>Tilman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2011)</w:t>
      </w:r>
      <w:r w:rsidRPr="00C043EA">
        <w:rPr>
          <w:rFonts w:cs="Times New Roman"/>
        </w:rPr>
        <w:fldChar w:fldCharType="end"/>
      </w:r>
      <w:r w:rsidRPr="00C043EA">
        <w:rPr>
          <w:rFonts w:cs="Times New Roman"/>
        </w:rPr>
        <w:t xml:space="preserve">. One of the biggest challenges to sustainable global food security is the need to find suitable replacements for inorganic fertilisers. This is because inorganic N fertiliser production consumes an increasing proportion </w:t>
      </w:r>
      <w:r>
        <w:rPr>
          <w:rFonts w:cs="Times New Roman"/>
        </w:rPr>
        <w:t xml:space="preserve">of the global energy budget </w:t>
      </w:r>
      <w:r w:rsidRPr="00C043EA">
        <w:rPr>
          <w:rFonts w:cs="Times New Roman"/>
        </w:rPr>
        <w:t xml:space="preserve">and the supply of key raw materials, primarily </w:t>
      </w:r>
      <w:r w:rsidR="00361D64">
        <w:rPr>
          <w:rFonts w:cs="Times New Roman"/>
        </w:rPr>
        <w:t>phosphorus</w:t>
      </w:r>
      <w:r w:rsidRPr="00C043EA">
        <w:rPr>
          <w:rFonts w:cs="Times New Roman"/>
        </w:rPr>
        <w:t xml:space="preserve">, is becoming limited </w:t>
      </w:r>
      <w:r w:rsidRPr="00C043EA">
        <w:rPr>
          <w:rFonts w:cs="Times New Roman"/>
        </w:rPr>
        <w:fldChar w:fldCharType="begin"/>
      </w:r>
      <w:r w:rsidR="00954B3D">
        <w:rPr>
          <w:rFonts w:cs="Times New Roman"/>
        </w:rPr>
        <w:instrText xml:space="preserve"> ADDIN ZOTERO_ITEM CSL_CITATION {"citationID":"mstdp0c22","properties":{"formattedCitation":"{\\rtf (Tilman {\\i{}et al.}, 2002)}","plainCitation":"(Tilman et al., 2002)"},"citationItems":[{"id":114,"uris":["http://zotero.org/users/local/d1gJDEOw/items/7UZ489J3"],"uri":["http://zotero.org/users/local/d1gJDEOw/items/7UZ489J3"],"itemData":{"id":114,"type":"article-journal","title":"Agricultural sustainability and intensive production practices","container-title":"Nature","page":"671-677","volume":"418","issue":"6898","DOI":"10.1038/nature01014","ISSN":"0028-0836","journalAbbreviation":"Nature","author":[{"family":"Tilman","given":"David"},{"family":"Cassman","given":"Kenneth G."},{"family":"Matson","given":"Pamela A."},{"family":"Naylor","given":"Rosamond"},{"family":"Polasky","given":"Stephen"}],"issued":{"date-parts":[["2002",8,8]]}}}],"schema":"https://github.com/citation-style-language/schema/raw/master/csl-citation.json"} </w:instrText>
      </w:r>
      <w:r w:rsidRPr="00C043EA">
        <w:rPr>
          <w:rFonts w:cs="Times New Roman"/>
        </w:rPr>
        <w:fldChar w:fldCharType="separate"/>
      </w:r>
      <w:r w:rsidR="00954B3D" w:rsidRPr="00954B3D">
        <w:rPr>
          <w:rFonts w:cs="Times New Roman"/>
          <w:szCs w:val="24"/>
        </w:rPr>
        <w:t>(</w:t>
      </w:r>
      <w:proofErr w:type="spellStart"/>
      <w:r w:rsidR="00954B3D" w:rsidRPr="00954B3D">
        <w:rPr>
          <w:rFonts w:cs="Times New Roman"/>
          <w:szCs w:val="24"/>
        </w:rPr>
        <w:t>Tilman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2002)</w:t>
      </w:r>
      <w:r w:rsidRPr="00C043EA">
        <w:rPr>
          <w:rFonts w:cs="Times New Roman"/>
        </w:rPr>
        <w:fldChar w:fldCharType="end"/>
      </w:r>
      <w:r w:rsidRPr="00C043EA">
        <w:rPr>
          <w:rFonts w:cs="Times New Roman"/>
        </w:rPr>
        <w:t xml:space="preserve">, causing price increases that reduce the availability of fertilisers for poorer farmers and increase food prices </w:t>
      </w:r>
      <w:r w:rsidRPr="00C043EA">
        <w:rPr>
          <w:rFonts w:cs="Times New Roman"/>
        </w:rPr>
        <w:fldChar w:fldCharType="begin"/>
      </w:r>
      <w:r w:rsidR="00954B3D">
        <w:rPr>
          <w:rFonts w:cs="Times New Roman"/>
        </w:rPr>
        <w:instrText xml:space="preserve"> ADDIN ZOTERO_ITEM CSL_CITATION {"citationID":"24lrhbfi61","properties":{"formattedCitation":"{\\rtf (Cordell {\\i{}et al.}, 2009)}","plainCitation":"(Cordell et al., 2009)"},"citationItems":[{"id":116,"uris":["http://zotero.org/users/local/d1gJDEOw/items/D2572XQU"],"uri":["http://zotero.org/users/local/d1gJDEOw/items/D2572XQU"],"itemData":{"id":116,"type":"article-journal","title":"The story of phosphorus: Global food security and food for thought","container-title":"Global Environmental Change","collection-title":"Traditional Peoples and Climate Change","page":"292-305","volume":"19","issue":"2","source":"ScienceDirect","abstract":"Food production requires application of fertilizers containing phosphorus, nitrogen and potassium on agricultural fields in order to sustain crop yields. However modern agriculture is dependent on phosphorus derived from phosphate rock, which is a non-renewable resource and current global reserves may be depleted in 50–100 years. While phosphorus demand is projected to increase, the expected global peak in phosphorus production is predicted to occur around 2030. The exact timing of peak phosphorus production might be disputed, however it is widely acknowledged within the fertilizer industry that the quality of remaining phosphate rock is decreasing and production costs are increasing. Yet future access to phosphorus receives little or no international attention. This paper puts forward the case for including long-term phosphorus scarcity on the priority agenda for global food security. Opportunities for recovering phosphorus and reducing demand are also addressed together with institutional challenges.","DOI":"10.1016/j.gloenvcha.2008.10.009","ISSN":"0959-3780","shortTitle":"The story of phosphorus","journalAbbreviation":"Global Environmental Change","author":[{"family":"Cordell","given":"Dana"},{"family":"Drangert","given":"Jan-Olof"},{"family":"White","given":"Stuart"}],"issued":{"date-parts":[["2009",5]]}}}],"schema":"https://github.com/citation-style-language/schema/raw/master/csl-citation.json"} </w:instrText>
      </w:r>
      <w:r w:rsidRPr="00C043EA">
        <w:rPr>
          <w:rFonts w:cs="Times New Roman"/>
        </w:rPr>
        <w:fldChar w:fldCharType="separate"/>
      </w:r>
      <w:r w:rsidR="00954B3D" w:rsidRPr="00954B3D">
        <w:rPr>
          <w:rFonts w:cs="Times New Roman"/>
          <w:szCs w:val="24"/>
        </w:rPr>
        <w:t xml:space="preserve">(Cordell </w:t>
      </w:r>
      <w:r w:rsidR="00954B3D" w:rsidRPr="00954B3D">
        <w:rPr>
          <w:rFonts w:cs="Times New Roman"/>
          <w:i/>
          <w:iCs/>
          <w:szCs w:val="24"/>
        </w:rPr>
        <w:t>et al.</w:t>
      </w:r>
      <w:r w:rsidR="00954B3D" w:rsidRPr="00954B3D">
        <w:rPr>
          <w:rFonts w:cs="Times New Roman"/>
          <w:szCs w:val="24"/>
        </w:rPr>
        <w:t>, 2009)</w:t>
      </w:r>
      <w:r w:rsidRPr="00C043EA">
        <w:rPr>
          <w:rFonts w:cs="Times New Roman"/>
        </w:rPr>
        <w:fldChar w:fldCharType="end"/>
      </w:r>
      <w:r w:rsidRPr="00C043EA">
        <w:rPr>
          <w:rFonts w:cs="Times New Roman"/>
        </w:rPr>
        <w:t xml:space="preserve">. Inorganic fertilisers have already caused extensive environmental damage including pollution of water and atmosphere </w:t>
      </w:r>
      <w:r w:rsidRPr="00C043EA">
        <w:rPr>
          <w:rFonts w:cs="Times New Roman"/>
        </w:rPr>
        <w:fldChar w:fldCharType="begin"/>
      </w:r>
      <w:r w:rsidR="00954B3D">
        <w:rPr>
          <w:rFonts w:cs="Times New Roman"/>
        </w:rPr>
        <w:instrText xml:space="preserve"> ADDIN ZOTERO_ITEM CSL_CITATION {"citationID":"JWCwxyLH","properties":{"formattedCitation":"(Pretty, 2008; Delgado &amp; Scalenghe, 2008; Elser &amp; Bennett, 2011)","plainCitation":"(Pretty, 2008; Delgado &amp; Scalenghe, 2008; Elser &amp; Bennett, 2011)"},"citationItems":[{"id":119,"uris":["http://zotero.org/users/local/d1gJDEOw/items/ZZZ4C9IF"],"uri":["http://zotero.org/users/local/d1gJDEOw/items/ZZZ4C9IF"],"itemData":{"id":119,"type":"article-journal","title":"Aspects of phosphorus transfer from soils in Europe","container-title":"Journal of Plant Nutrition and Soil Science","page":"552-575","volume":"171","issue":"4","source":"Wiley Online Library","abstract":"Imbalanced nutrient management has caused soil phosphorus (P) to become an environmental rather an agronomic problem in more economically developed countries. This subject has been the topic of numerous journal special issues, conferences, and reviews but we consider yet another review of this subject is necessary with the main target of providing a point of view on nonpoint transfer from soils and control strategies for an improved environmental management of P. This review considers the causes of the excessive P transfer from soil to surface water in Europe and the scientific knowledge necessary to develop control strategies.","DOI":"10.1002/jpln.200625052","ISSN":"1522-2624","journalAbbreviation":"Z. Pflanzenernähr. Bodenk.","language":"en","author":[{"family":"Delgado","given":"Antonio"},{"family":"Scalenghe","given":"Riccardo"}],"issued":{"date-parts":[["2008",8,1]]}}},{"id":124,"uris":["http://zotero.org/users/local/d1gJDEOw/items/VQQS7Z6J"],"uri":["http://zotero.org/users/local/d1gJDEOw/items/VQQS7Z6J"],"itemData":{"id":124,"type":"article-journal","title":"Phosphorus cycle: A broken biogeochemical cycle","container-title":"Nature","page":"29-31","volume":"478","issue":"7367","source":"www.nature.com","abstract":"Excess phosphorus is polluting our environment while, ironically, mineable resources of this essential nutrient are limited. James Elser and Elena Bennett argue that recycling programmes are urgently needed.","DOI":"10.1038/478029a","ISSN":"0028-0836","shortTitle":"Phosphorus cycle","journalAbbreviation":"Nature","language":"en","author":[{"family":"Elser","given":"James"},{"family":"Bennett","given":"Elena"}],"issued":{"date-parts":[["2011",10,6]]}}},{"id":122,"uris":["http://zotero.org/users/local/d1gJDEOw/items/EAZKFBQV"],"uri":["http://zotero.org/users/local/d1gJDEOw/items/EAZKFBQV"],"itemData":{"id":122,"type":"article-journal","title":"Agricultural Sustainability: Concepts, Principles and Evidence","container-title":"Philosophical Transactions: Biological Sciences","page":"447-465","volume":"363","issue":"1491","source":"JSTOR","abstract":"Concerns about sustainability in agricultural systems centre on the need to develop technologies and practices that do not have adverse effects on environmental goods and services, are accessible to and effective for farmers, and lead to improvements in food productivity. Despite great progress in agricultural productivity in the past half-century, with crop and livestock productivity strongly driven by increased use of fertilizers, irrigation water, agricultural machinery, pesticides and land, it would be over-optimistic to assume that these relationships will remain linear in the future. New approaches are needed that will integrate biological and ecological processes into food production, minimize the use of those non-renewable inputs that cause harm to the environment or to the health of farmers and consumers, make productive use of the knowledge and skills of farmers, so substituting human capital for costly external inputs, and make productive use of people's collective capacities to work together to solve common agricultural and natural resource problems, such as for pest, watershed, irrigation, forest and credit management. These principles help to build important capital assets for agricultural systems: natural; social; human; physical; and financial capital. Improving natural capital is a central aim, and dividends can come from making the best use of the genotypes of crops and animals and the ecological conditions under which they are grown or raised. Agricultural sustainability suggests a focus on both genotype improvements through the full range of modern biological approaches and improved understanding of the benefits of ecological and agronomic management, manipulation and redesign. The ecological management of agroecosystems that addresses energy flows, nutrient cycling, population-regulating mechanisms and system resilience can lead to the redesign of agriculture at a landscape scale. Sustainable agriculture outcomes can be positive for food productivity, reduced pesticide use and carbon balances. Significant challenges, however, remain to develop national and international policies to support the wider emergence of more sustainable forms of agricultural production across both industrialized and developing countries.","ISSN":"0962-8436","shortTitle":"Agricultural Sustainability","journalAbbreviation":"Philosophical Transactions: Biological Sciences","author":[{"family":"Pretty","given":"Jules"}],"issued":{"date-parts":[["2008"]]}}}],"schema":"https://github.com/citation-style-language/schema/raw/master/csl-citation.json"} </w:instrText>
      </w:r>
      <w:r w:rsidRPr="00C043EA">
        <w:rPr>
          <w:rFonts w:cs="Times New Roman"/>
        </w:rPr>
        <w:fldChar w:fldCharType="separate"/>
      </w:r>
      <w:r w:rsidR="00954B3D" w:rsidRPr="00954B3D">
        <w:rPr>
          <w:rFonts w:cs="Times New Roman"/>
        </w:rPr>
        <w:t xml:space="preserve">(Pretty, 2008; Delgado &amp; </w:t>
      </w:r>
      <w:proofErr w:type="spellStart"/>
      <w:r w:rsidR="00954B3D" w:rsidRPr="00954B3D">
        <w:rPr>
          <w:rFonts w:cs="Times New Roman"/>
        </w:rPr>
        <w:t>Scalenghe</w:t>
      </w:r>
      <w:proofErr w:type="spellEnd"/>
      <w:r w:rsidR="00954B3D" w:rsidRPr="00954B3D">
        <w:rPr>
          <w:rFonts w:cs="Times New Roman"/>
        </w:rPr>
        <w:t xml:space="preserve">, 2008; </w:t>
      </w:r>
      <w:proofErr w:type="spellStart"/>
      <w:r w:rsidR="00954B3D" w:rsidRPr="00954B3D">
        <w:rPr>
          <w:rFonts w:cs="Times New Roman"/>
        </w:rPr>
        <w:t>Elser</w:t>
      </w:r>
      <w:proofErr w:type="spellEnd"/>
      <w:r w:rsidR="00954B3D" w:rsidRPr="00954B3D">
        <w:rPr>
          <w:rFonts w:cs="Times New Roman"/>
        </w:rPr>
        <w:t xml:space="preserve"> &amp; Bennett, 2011)</w:t>
      </w:r>
      <w:r w:rsidRPr="00C043EA">
        <w:rPr>
          <w:rFonts w:cs="Times New Roman"/>
        </w:rPr>
        <w:fldChar w:fldCharType="end"/>
      </w:r>
      <w:r w:rsidRPr="00C043EA">
        <w:rPr>
          <w:rFonts w:cs="Times New Roman"/>
        </w:rPr>
        <w:t xml:space="preserve"> and reduced terrestrial biodiversity due to habitat degradation and loss </w:t>
      </w:r>
      <w:r w:rsidRPr="00C043EA">
        <w:rPr>
          <w:rFonts w:cs="Times New Roman"/>
        </w:rPr>
        <w:fldChar w:fldCharType="begin"/>
      </w:r>
      <w:r w:rsidR="00954B3D">
        <w:rPr>
          <w:rFonts w:cs="Times New Roman"/>
        </w:rPr>
        <w:instrText xml:space="preserve"> ADDIN ZOTERO_ITEM CSL_CITATION {"citationID":"1if137proc","properties":{"formattedCitation":"(Scherr &amp; McNeely, 2008)","plainCitation":"(Scherr &amp; McNeely, 2008)"},"citationItems":[{"id":127,"uris":["http://zotero.org/users/local/d1gJDEOw/items/IJG3V3TE"],"uri":["http://zotero.org/users/local/d1gJDEOw/items/IJG3V3TE"],"itemData":{"id":127,"type":"article-journal","title":"Biodiversity Conservation and Agricultural Sustainability: Towards a New Paradigm of 'Ecoagriculture' Landscapes","container-title":"Philosophical Transactions: Biological Sciences","page":"477-494","volume":"363","issue":"1491","source":"JSTOR","abstract":"The dominant late twentieth century model of land use segregated agricultural production from areas managed for biodiversity conservation. This module is no longer adequate in much of the world. The Millennium Ecosystem Assessment confirmed that agriculture has dramatically increased its ecological footprint. Rural communities depend on key components of biodiversity and ecosystem services that are found in non-domestic habitats. Fortunately, agricultural landscapes can be designed and managed to host wild biodiversity of many types, with neutral or even positive effects on agricultural production and livelihoods. Innovative practitioners, scientists and indigenous land managers are adapting, designing and managing diverse types of 'ecoagriculture' landscapes to generate positive co-benefits for production, biodiversity and local people. We assess the potentials and limitations for successful conservation of biodiversity in productive agricultural landscapes, the feasibility of making such approaches financially viable, and the organizational, governance and policy frameworks needed to enable ecoagriculture planning and implementation at a globally significant scale. We conclude that effectively conserving wild biodiversity in agricultural landscapes will require increased research, policy coordination and strategic support to agricultural communities and conservationists.","ISSN":"0962-8436","shortTitle":"Biodiversity Conservation and Agricultural Sustainability","journalAbbreviation":"Philosophical Transactions: Biological Sciences","author":[{"family":"Scherr","given":"Sara J."},{"family":"McNeely","given":"Jeffrey A."}],"issued":{"date-parts":[["2008"]]}}}],"schema":"https://github.com/citation-style-language/schema/raw/master/csl-citation.json"} </w:instrText>
      </w:r>
      <w:r w:rsidRPr="00C043EA">
        <w:rPr>
          <w:rFonts w:cs="Times New Roman"/>
        </w:rPr>
        <w:fldChar w:fldCharType="separate"/>
      </w:r>
      <w:r w:rsidR="00954B3D" w:rsidRPr="00954B3D">
        <w:rPr>
          <w:rFonts w:cs="Times New Roman"/>
        </w:rPr>
        <w:t>(</w:t>
      </w:r>
      <w:proofErr w:type="spellStart"/>
      <w:r w:rsidR="00954B3D" w:rsidRPr="00954B3D">
        <w:rPr>
          <w:rFonts w:cs="Times New Roman"/>
        </w:rPr>
        <w:t>Scherr</w:t>
      </w:r>
      <w:proofErr w:type="spellEnd"/>
      <w:r w:rsidR="00954B3D" w:rsidRPr="00954B3D">
        <w:rPr>
          <w:rFonts w:cs="Times New Roman"/>
        </w:rPr>
        <w:t xml:space="preserve"> &amp; McNeely, 2008)</w:t>
      </w:r>
      <w:r w:rsidRPr="00C043EA">
        <w:rPr>
          <w:rFonts w:cs="Times New Roman"/>
        </w:rPr>
        <w:fldChar w:fldCharType="end"/>
      </w:r>
      <w:r w:rsidRPr="00C043EA">
        <w:rPr>
          <w:rFonts w:cs="Times New Roman"/>
        </w:rPr>
        <w:t xml:space="preserve">.  To prevent further environmental damage and ensure food security for future generations it is therefore imperative to find strategies to balance productivity with environmental sustainability </w:t>
      </w:r>
      <w:r w:rsidRPr="00C043EA">
        <w:rPr>
          <w:rFonts w:cs="Times New Roman"/>
        </w:rPr>
        <w:fldChar w:fldCharType="begin"/>
      </w:r>
      <w:r w:rsidR="00954B3D">
        <w:rPr>
          <w:rFonts w:cs="Times New Roman"/>
        </w:rPr>
        <w:instrText xml:space="preserve"> ADDIN ZOTERO_ITEM CSL_CITATION {"citationID":"sScE21UD","properties":{"formattedCitation":"{\\rtf (Foley {\\i{}et al.}, 2005; Pretty, 2008)}","plainCitation":"(Foley et al., 2005; Pretty, 2008)"},"citationItems":[{"id":129,"uris":["http://zotero.org/users/local/d1gJDEOw/items/ASHP5TS3"],"uri":["http://zotero.org/users/local/d1gJDEOw/items/ASHP5TS3"],"itemData":{"id":129,"type":"article-journal","title":"Global Consequences of Land Use","container-title":"Science","page":"570-574","volume":"309","issue":"5734","source":"science.sciencemag.org","abstract":"Land use has generally been considered a local environmental issue, but it is becoming a force of global importance. Worldwide changes to forests, farmlands, waterways, and air are being driven by the need to provide food, fiber, water, and shelter to more than six billion people. Global croplands, pastures, plantations, and urban areas have expanded in recent decades, accompanied by large increases in energy, water, and fertilizer consumption, along with considerable losses of biodiversity. Such changes in land use have enabled humans to appropriate an increasing share of the planet's resources, but they also potentially undermine the capacity of ecosystems to sustain food production, maintain freshwater and forest resources, regulate climate and air quality, and ameliorate infectious diseases. We face the challenge of managing trade-offs between immediate human needs and maintaining the capacity of the biosphere to provide goods and services in the long term.","DOI":"10.1126/science.1111772","ISSN":"0036-8075, 1095-9203","note":"PMID: 16040698","language":"en","author":[{"family":"Foley","given":"Jonathan A."},{"family":"DeFries","given":"Ruth"},{"family":"Asner","given":"Gregory P."},{"family":"Barford","given":"Carol"},{"family":"Bonan","given":"Gordon"},{"family":"Carpenter","given":"Stephen R."},{"family":"Chapin","given":"F. Stuart"},{"family":"Coe","given":"Michael T."},{"family":"Daily","given":"Gretchen C."},{"family":"Gibbs","given":"Holly K."},{"family":"Helkowski","given":"Joseph H."},{"family":"Holloway","given":"Tracey"},{"family":"Howard","given":"Erica A."},{"family":"Kucharik","given":"Christopher J."},{"family":"Monfreda","given":"Chad"},{"family":"Patz","given":"Jonathan A."},{"family":"Prentice","given":"I. Colin"},{"family":"Ramankutty","given":"Navin"},{"family":"Snyder","given":"Peter K."}],"issued":{"date-parts":[["2005",7,22]]}}},{"id":122,"uris":["http://zotero.org/users/local/d1gJDEOw/items/EAZKFBQV"],"uri":["http://zotero.org/users/local/d1gJDEOw/items/EAZKFBQV"],"itemData":{"id":122,"type":"article-journal","title":"Agricultural Sustainability: Concepts, Principles and Evidence","container-title":"Philosophical Transactions: Biological Sciences","page":"447-465","volume":"363","issue":"1491","source":"JSTOR","abstract":"Concerns about sustainability in agricultural systems centre on the need to develop technologies and practices that do not have adverse effects on environmental goods and services, are accessible to and effective for farmers, and lead to improvements in food productivity. Despite great progress in agricultural productivity in the past half-century, with crop and livestock productivity strongly driven by increased use of fertilizers, irrigation water, agricultural machinery, pesticides and land, it would be over-optimistic to assume that these relationships will remain linear in the future. New approaches are needed that will integrate biological and ecological processes into food production, minimize the use of those non-renewable inputs that cause harm to the environment or to the health of farmers and consumers, make productive use of the knowledge and skills of farmers, so substituting human capital for costly external inputs, and make productive use of people's collective capacities to work together to solve common agricultural and natural resource problems, such as for pest, watershed, irrigation, forest and credit management. These principles help to build important capital assets for agricultural systems: natural; social; human; physical; and financial capital. Improving natural capital is a central aim, and dividends can come from making the best use of the genotypes of crops and animals and the ecological conditions under which they are grown or raised. Agricultural sustainability suggests a focus on both genotype improvements through the full range of modern biological approaches and improved understanding of the benefits of ecological and agronomic management, manipulation and redesign. The ecological management of agroecosystems that addresses energy flows, nutrient cycling, population-regulating mechanisms and system resilience can lead to the redesign of agriculture at a landscape scale. Sustainable agriculture outcomes can be positive for food productivity, reduced pesticide use and carbon balances. Significant challenges, however, remain to develop national and international policies to support the wider emergence of more sustainable forms of agricultural production across both industrialized and developing countries.","ISSN":"0962-8436","shortTitle":"Agricultural Sustainability","journalAbbreviation":"Philosophical Transactions: Biological Sciences","author":[{"family":"Pretty","given":"Jules"}],"issued":{"date-parts":[["2008"]]}}}],"schema":"https://github.com/citation-style-language/schema/raw/master/csl-citation.json"} </w:instrText>
      </w:r>
      <w:r w:rsidRPr="00C043EA">
        <w:rPr>
          <w:rFonts w:cs="Times New Roman"/>
        </w:rPr>
        <w:fldChar w:fldCharType="separate"/>
      </w:r>
      <w:r w:rsidR="00954B3D" w:rsidRPr="00954B3D">
        <w:rPr>
          <w:rFonts w:cs="Times New Roman"/>
          <w:szCs w:val="24"/>
        </w:rPr>
        <w:t xml:space="preserve">(Foley </w:t>
      </w:r>
      <w:r w:rsidR="00954B3D" w:rsidRPr="00954B3D">
        <w:rPr>
          <w:rFonts w:cs="Times New Roman"/>
          <w:i/>
          <w:iCs/>
          <w:szCs w:val="24"/>
        </w:rPr>
        <w:t>et al.</w:t>
      </w:r>
      <w:r w:rsidR="00954B3D" w:rsidRPr="00954B3D">
        <w:rPr>
          <w:rFonts w:cs="Times New Roman"/>
          <w:szCs w:val="24"/>
        </w:rPr>
        <w:t>, 2005; Pretty, 2008)</w:t>
      </w:r>
      <w:r w:rsidRPr="00C043EA">
        <w:rPr>
          <w:rFonts w:cs="Times New Roman"/>
        </w:rPr>
        <w:fldChar w:fldCharType="end"/>
      </w:r>
      <w:r w:rsidRPr="00C043EA">
        <w:rPr>
          <w:rFonts w:cs="Times New Roman"/>
        </w:rPr>
        <w:t>.</w:t>
      </w:r>
    </w:p>
    <w:p w:rsidR="00A57540" w:rsidRPr="00C043EA" w:rsidRDefault="00A57540" w:rsidP="00A57540">
      <w:pPr>
        <w:rPr>
          <w:rFonts w:cs="Times New Roman"/>
        </w:rPr>
      </w:pPr>
      <w:r w:rsidRPr="00C043EA">
        <w:rPr>
          <w:rFonts w:cs="Times New Roman"/>
        </w:rPr>
        <w:t xml:space="preserve">Arbuscular mycorrhizal fungi (AMF) are able to form symbiosis with the majority of plant species including many important crops </w:t>
      </w:r>
      <w:r w:rsidRPr="00C043EA">
        <w:rPr>
          <w:rFonts w:cs="Times New Roman"/>
        </w:rPr>
        <w:fldChar w:fldCharType="begin"/>
      </w:r>
      <w:r w:rsidR="006B3935">
        <w:rPr>
          <w:rFonts w:cs="Times New Roman"/>
        </w:rPr>
        <w:instrText xml:space="preserve"> ADDIN ZOTERO_ITEM CSL_CITATION {"citationID":"LCh6vIqT","properties":{"formattedCitation":"{\\rtf (\\uc0\\u214{}pik {\\i{}et al.}, 2006; Smith &amp; Read, 2008)}","plainCitation":"(Öpik et al., 2006; Smith &amp; Read, 2008)"},"citationItems":[{"id":135,"uris":["http://zotero.org/users/local/d1gJDEOw/items/VT6QI9TA"],"uri":["http://zotero.org/users/local/d1gJDEOw/items/VT6QI9TA"],"itemData":{"id":135,"type":"article-journal","title":"Composition of Root-Colonizing Arbuscular Mycorrhizal Fungal Communities in Different Ecosystems around the Globe","container-title":"Journal of Ecology","page":"778-790","volume":"94","issue":"4","source":"JSTOR","abstract":"1 Arbuscular mycorrhizal (AM) fungi are obligate root symbionts that are present in most terrestrial ecosystems and have roles in plant mineral nutrition, carbon cycling and biotic interactions. In this work, 26 publications were surveyed that report on the occurrence of natural root-colonizing AM fungi identified using rDNA region sequences. A total of 52 host plant species were investigated. Sixteen publications provided data enabling a comparison to be made of AM fungal taxon richness and community composition across 36 host plant species and 25 locations. Ninety-five fungal taxa (small subunit rRNA gene sequence types) were involved, 49 of which were recorded from at least two study sites, and 65 from more than one host plant species. 2 The number of AM fungal taxa per host plant species differed between habitat types: a significantly higher richness was found in tropical forests (18.2 fungal taxa per plant species), followed by grasslands (8.3), temperate forests (5.6) and habitats under anthropogenic influence (arable fields and polluted sites, 5.2). 3 AM fungal communities exhibit differing compositions in broadly defined habitat types: tropical forests, temperate forests and habitats under anthropogenic influence. Grassland locations around the world host heterogeneous AM fungal communities. 4 A number of AM fungi had a global distribution, including sequence types related to the Glomus intraradiceslfasciculatum group, G. mosseae, G. sp. UY1225 and G. hoi, as well as the Glomus and Scutellospora types of unknown taxonomic affiliation. Widespread taxa occur in both natural and anthropogenic (disturbed) habitats, and may show high local abundance. However, about 50% of taxa have been recorded from only a single site. 5 The current global analysis of AM fungal communities suggests that soil microorganisms may exhibit different distribution patterns, resulting in a high variability of taxon richness and composition between particular ecosystems.","ISSN":"0022-0477","journalAbbreviation":"Journal of Ecology","author":[{"family":"Öpik","given":"Maarja"},{"family":"Moora","given":"Mari"},{"family":"Liira","given":"Jaan"},{"family":"Zobel","given":"Martin"}],"issued":{"date-parts":[["2006"]]}}},{"id":366,"uris":["http://zotero.org/users/local/d1gJDEOw/items/QCZ7TGSK"],"uri":["http://zotero.org/users/local/d1gJDEOw/items/QCZ7TGSK"],"itemData":{"id":366,"type":"book","title":"Mycorrhizal Symbiosis","publisher":"Academic Press","publisher-place":"London","source":"ScienceDirect","event-place":"London","URL":"http://www.sciencedirect.com/science/article/pii/B9780123705266500027","ISBN":"978-0-12-370526-6","author":[{"family":"Smith","given":"Sally E."},{"family":"Read","given":"David"}],"issued":{"date-parts":[["2008"]]},"accessed":{"date-parts":[["2016",9,27]]}}}],"schema":"https://github.com/citation-style-language/schema/raw/master/csl-citation.json"} </w:instrText>
      </w:r>
      <w:r w:rsidRPr="00C043EA">
        <w:rPr>
          <w:rFonts w:cs="Times New Roman"/>
        </w:rPr>
        <w:fldChar w:fldCharType="separate"/>
      </w:r>
      <w:r w:rsidR="006B3935" w:rsidRPr="006B3935">
        <w:rPr>
          <w:rFonts w:cs="Times New Roman"/>
          <w:szCs w:val="24"/>
        </w:rPr>
        <w:t>(</w:t>
      </w:r>
      <w:proofErr w:type="spellStart"/>
      <w:r w:rsidR="006B3935" w:rsidRPr="006B3935">
        <w:rPr>
          <w:rFonts w:cs="Times New Roman"/>
          <w:szCs w:val="24"/>
        </w:rPr>
        <w:t>Öpik</w:t>
      </w:r>
      <w:proofErr w:type="spellEnd"/>
      <w:r w:rsidR="006B3935" w:rsidRPr="006B3935">
        <w:rPr>
          <w:rFonts w:cs="Times New Roman"/>
          <w:szCs w:val="24"/>
        </w:rPr>
        <w:t xml:space="preserve"> </w:t>
      </w:r>
      <w:r w:rsidR="006B3935" w:rsidRPr="006B3935">
        <w:rPr>
          <w:rFonts w:cs="Times New Roman"/>
          <w:i/>
          <w:iCs/>
          <w:szCs w:val="24"/>
        </w:rPr>
        <w:t>et al.</w:t>
      </w:r>
      <w:r w:rsidR="006B3935" w:rsidRPr="006B3935">
        <w:rPr>
          <w:rFonts w:cs="Times New Roman"/>
          <w:szCs w:val="24"/>
        </w:rPr>
        <w:t>, 2006; Smith &amp; Read, 2008)</w:t>
      </w:r>
      <w:r w:rsidRPr="00C043EA">
        <w:rPr>
          <w:rFonts w:cs="Times New Roman"/>
        </w:rPr>
        <w:fldChar w:fldCharType="end"/>
      </w:r>
      <w:r w:rsidRPr="00C043EA">
        <w:rPr>
          <w:rFonts w:cs="Times New Roman"/>
        </w:rPr>
        <w:t>. In exchange for carbon AMF are able to provide plants with es</w:t>
      </w:r>
      <w:r>
        <w:rPr>
          <w:rFonts w:cs="Times New Roman"/>
        </w:rPr>
        <w:t>sential nutrients most notably p</w:t>
      </w:r>
      <w:r w:rsidRPr="00C043EA">
        <w:rPr>
          <w:rFonts w:cs="Times New Roman"/>
        </w:rPr>
        <w:t xml:space="preserve">hosphorus (P) which they are able to efficiently forage from the soil via extensive hyphal networks, thus potentially reducing the need for inorganic fertiliser in agricultural systems which promote mycorrhizal symbiosis with crops </w:t>
      </w:r>
      <w:r w:rsidRPr="00C043EA">
        <w:rPr>
          <w:rFonts w:cs="Times New Roman"/>
        </w:rPr>
        <w:fldChar w:fldCharType="begin"/>
      </w:r>
      <w:r w:rsidR="00954B3D">
        <w:rPr>
          <w:rFonts w:cs="Times New Roman"/>
        </w:rPr>
        <w:instrText xml:space="preserve"> ADDIN ZOTERO_ITEM CSL_CITATION {"citationID":"2an9m5edlo","properties":{"formattedCitation":"(Fester &amp; Sawers, 2011)","plainCitation":"(Fester &amp; Sawers, 2011)"},"citationItems":[{"id":140,"uris":["http://zotero.org/users/local/d1gJDEOw/items/9IE68PVG"],"uri":["http://zotero.org/users/local/d1gJDEOw/items/9IE68PVG"],"itemData":{"id":140,"type":"article-journal","title":"Progress and Challenges in Agricultural Applications of Arbuscular Mycorrhizal Fungi","container-title":"Critical Reviews in Plant Sciences","page":"459-470","volume":"30","issue":"5","source":"Taylor and Francis+NEJM","abstract":"Arbuscular mycorrhiza is a widespread interaction between plant roots and mutualistic fungi that both promotes plant mineral nutrition and supports stability in many natural ecosystems. Given the demand in current agriculture for these ecosystem services, it appears desirable to further integrate this interaction in current management schemes. While two different approaches can be identified in this regard, a number of problems have limited the agricultural application of mycorrhiza to date. In this review, the sensitivity of arbuscular mycorrhizal fungi to certain agricultural management methods, the functional variability of arbuscular mycorrhizal fungi, and the variability of plant responsiveness will be discussed in particular. In addition we will focus on recent advances in the study of mycorrhiza in natural ecosystems, and illustrate how such knowledge might be used to further the integration of arbuscular mycorrhizal fungi in agricultural regimes, and so increase the sustainability and robustness of current practice.","DOI":"10.1080/07352689.2011.605741","ISSN":"0735-2689","author":[{"family":"Fester","given":"T."},{"family":"Sawers","given":"R."}],"issued":{"date-parts":[["2011",9,1]]}}}],"schema":"https://github.com/citation-style-language/schema/raw/master/csl-citation.json"} </w:instrText>
      </w:r>
      <w:r w:rsidRPr="00C043EA">
        <w:rPr>
          <w:rFonts w:cs="Times New Roman"/>
        </w:rPr>
        <w:fldChar w:fldCharType="separate"/>
      </w:r>
      <w:r w:rsidR="00954B3D" w:rsidRPr="00954B3D">
        <w:rPr>
          <w:rFonts w:cs="Times New Roman"/>
        </w:rPr>
        <w:t xml:space="preserve">(Fester &amp; </w:t>
      </w:r>
      <w:proofErr w:type="spellStart"/>
      <w:r w:rsidR="00954B3D" w:rsidRPr="00954B3D">
        <w:rPr>
          <w:rFonts w:cs="Times New Roman"/>
        </w:rPr>
        <w:t>Sawers</w:t>
      </w:r>
      <w:proofErr w:type="spellEnd"/>
      <w:r w:rsidR="00954B3D" w:rsidRPr="00954B3D">
        <w:rPr>
          <w:rFonts w:cs="Times New Roman"/>
        </w:rPr>
        <w:t>, 2011)</w:t>
      </w:r>
      <w:r w:rsidRPr="00C043EA">
        <w:rPr>
          <w:rFonts w:cs="Times New Roman"/>
        </w:rPr>
        <w:fldChar w:fldCharType="end"/>
      </w:r>
      <w:r w:rsidRPr="00C043EA">
        <w:rPr>
          <w:rFonts w:cs="Times New Roman"/>
        </w:rPr>
        <w:t xml:space="preserve">. In addition to nutrient provision, AMF may also directly benefit crop species through increased resistance to disease </w:t>
      </w:r>
      <w:r w:rsidRPr="00C043EA">
        <w:rPr>
          <w:rFonts w:cs="Times New Roman"/>
        </w:rPr>
        <w:fldChar w:fldCharType="begin"/>
      </w:r>
      <w:r w:rsidR="00954B3D">
        <w:rPr>
          <w:rFonts w:cs="Times New Roman"/>
        </w:rPr>
        <w:instrText xml:space="preserve"> ADDIN ZOTERO_ITEM CSL_CITATION {"citationID":"261s34k9gg","properties":{"formattedCitation":"{\\rtf (Jung {\\i{}et al.}, 2012)}","plainCitation":"(Jung et al., 2012)"},"citationItems":[{"id":73,"uris":["http://zotero.org/users/local/d1gJDEOw/items/CIKUHM33"],"uri":["http://zotero.org/users/local/d1gJDEOw/items/CIKUHM33"],"itemData":{"id":73,"type":"article-journal","title":"Mycorrhiza-Induced Resistance and Priming of Plant Defenses","container-title":"Journal of Chemical Ecology","page":"651-664","volume":"38","issue":"6","abstract":"Symbioses between plants and beneficial soil microorganisms like arbuscular-mycorrhizal fungi (AMF) are known to promote plant growth and help plants to cope with biotic and abiotic stresses. Profound physiological changes take place in the host plant upon root colonization by AMF affecting the interactions with a wide range of organisms below- and above-ground. Protective effects of the symbiosis against pathogens, pests, and parasitic plants have been described for many plant species, including agriculturally important crop varieties. Besides mechanisms such as improved plant nutrition and competition, experimental evidence supports a major role of plant defenses in the observed protection. During mycorrhiza establishment, modulation of plant defense responses occurs thus achieving a functional symbiosis. As a consequence of this modulation, a mild, but effective activation of the plant immune responses seems to occur, not only locally but also systemically. This activation leads to a primed state of the plant that allows a more efficient activation of defense mechanisms in response to attack by potential enemies. Here, we give an overview of the impact on interactions between mycorrhizal plants and pathogens, herbivores, and parasitic plants, and we summarize the current knowledge of the underlying mechanisms. We focus on the priming of jasmonate-regulated plant defense mechanisms that play a central role in the induction of resistance by arbuscular mycorrhizas.","DOI":"10.1007/s10886-012-0134-6","ISSN":"1573-1561","journalAbbreviation":"Journal of Chemical Ecology","author":[{"family":"Jung","given":"Sabine C."},{"family":"Martinez-Medina","given":"Ainhoa"},{"family":"Lopez-Raez","given":"Juan A."},{"family":"Pozo","given":"Maria J."}],"issued":{"date-parts":[["2012"]]}}}],"schema":"https://github.com/citation-style-language/schema/raw/master/csl-citation.json"} </w:instrText>
      </w:r>
      <w:r w:rsidRPr="00C043EA">
        <w:rPr>
          <w:rFonts w:cs="Times New Roman"/>
        </w:rPr>
        <w:fldChar w:fldCharType="separate"/>
      </w:r>
      <w:r w:rsidR="00954B3D" w:rsidRPr="00954B3D">
        <w:rPr>
          <w:rFonts w:cs="Times New Roman"/>
          <w:szCs w:val="24"/>
        </w:rPr>
        <w:t xml:space="preserve">(Jung </w:t>
      </w:r>
      <w:r w:rsidR="00954B3D" w:rsidRPr="00954B3D">
        <w:rPr>
          <w:rFonts w:cs="Times New Roman"/>
          <w:i/>
          <w:iCs/>
          <w:szCs w:val="24"/>
        </w:rPr>
        <w:t>et al.</w:t>
      </w:r>
      <w:r w:rsidR="00954B3D" w:rsidRPr="00954B3D">
        <w:rPr>
          <w:rFonts w:cs="Times New Roman"/>
          <w:szCs w:val="24"/>
        </w:rPr>
        <w:t>, 2012)</w:t>
      </w:r>
      <w:r w:rsidRPr="00C043EA">
        <w:rPr>
          <w:rFonts w:cs="Times New Roman"/>
        </w:rPr>
        <w:fldChar w:fldCharType="end"/>
      </w:r>
      <w:r w:rsidRPr="00C043EA">
        <w:rPr>
          <w:rFonts w:cs="Times New Roman"/>
        </w:rPr>
        <w:t xml:space="preserve"> tolerance to drought and adverse soil conditions </w:t>
      </w:r>
      <w:r w:rsidRPr="00C043EA">
        <w:rPr>
          <w:rFonts w:cs="Times New Roman"/>
        </w:rPr>
        <w:fldChar w:fldCharType="begin"/>
      </w:r>
      <w:r w:rsidR="0055532F">
        <w:rPr>
          <w:rFonts w:cs="Times New Roman"/>
        </w:rPr>
        <w:instrText xml:space="preserve"> ADDIN ZOTERO_ITEM CSL_CITATION {"citationID":"GX4Mwu6k","properties":{"formattedCitation":"{\\rtf (Aug\\uc0\\u233{}, 2004; Daei {\\i{}et al.}, 2009)}","plainCitation":"(Augé, 2004; Daei et al., 2009)"},"citationItems":[{"id":145,"uris":["http://zotero.org/users/local/d1gJDEOw/items/AUICBQE2"],"uri":["http://zotero.org/users/local/d1gJDEOw/items/AUICBQE2"],"itemData":{"id":145,"type":"article-journal","title":"Arbuscular mycorrhizae and soil/plant water relations","container-title":"Canadian Journal of Soil Science","page":"373-381","volume":"84","issue":"4","source":"Web of Science","ISSN":"0008-4271","note":"WOS:000226685500004","journalAbbreviation":"Can. J. Soil Sci.","language":"English","author":[{"family":"Augé","given":"R. M."}],"issued":{"date-parts":[["2004",12]]}}},{"id":146,"uris":["http://zotero.org/users/local/d1gJDEOw/items/2PG4ETTF"],"uri":["http://zotero.org/users/local/d1gJDEOw/items/2PG4ETTF"],"itemData":{"id":146,"type":"article-journal","title":"Alleviation of salinity stress on wheat yield, yield components, and nutrient uptake using arbuscular mycorrhizal fungi under field conditions","container-title":"Journal of Plant Physiology","page":"617-625","volume":"166","issue":"6","source":"ScienceDirect","abstract":"Summary\nWe conducted this study because of the importance of salinity in many parts of the world, and because almost all research regarding the effects of arbuscular mycorrhiza (AM) on plant growth under salinity have been conducted under greenhouse conditions. The hypothesis was that, with respect to the great abilities of AM fungi under stress, they are able to alleviate salinity stress under field conditions. Hence, the objectives were to evaluate the effects of different species of arbuscular mycorrhizal fungi on: (1) the yield and yield components of different wheat cultivars, and (2) nutrient uptake of different wheat genotypes under field saline conditions. The soil salinity of 7.41 dS/m and three AM species including Glomus etunicatum, G. mosseae and G. intraradices and wheat genotypes of Roshan, Kavir and a mutated line of Tabasi were tested. The electrical conductivity of the irrigation water was 13.87 dS/m. Under salinity, AM species significantly increased the growth and nutrient uptake of the mutated Tabasi line compared with the other genotypes, especially in comparison to the Kavir genotype. The mycorrhizal Tabasi genotype resulted in the lowest concentrations of Na+ and Cl−. The influence of different species of AM on enhancing plant growth under salinity was observed in the following order: Glomus etunicatum&amp;gt;G. mosseae&amp;gt;G. intraradices. The symbiosis of Glomus etunicatum and G. intraradices with the Tabasi mutated line resulted in the highest (42.08%) and the lowest (7.55%) increases in wheat dry weight, respectively. The highest (38.3%) and the lowest (4.5%) grain yield increases were related to the symbiosis of Tabasi mutated line with Glomus etunicatum and G. intraradices, respectively. Although different species of AM can be very beneficial to wheat plants under salinity stress, it is obvious from the results of this research that Glomus etunicatum can perform more efficiently under such conditions compared with other AM species. This indicates the great importance of selecting the right combination of AM species and host plant to make cultivation under salinity even more likely.","DOI":"10.1016/j.jplph.2008.09.013","ISSN":"0176-1617","journalAbbreviation":"Journal of Plant Physiology","author":[{"family":"Daei","given":"G."},{"family":"Ardekani","given":"M. R."},{"family":"Rejali","given":"F."},{"family":"Teimuri","given":"S."},{"family":"Miransari","given":"M."}],"issued":{"date-parts":[["2009",4,1]]}}}],"schema":"https://github.com/citation-style-language/schema/raw/master/csl-citation.json"} </w:instrText>
      </w:r>
      <w:r w:rsidRPr="00C043EA">
        <w:rPr>
          <w:rFonts w:cs="Times New Roman"/>
        </w:rPr>
        <w:fldChar w:fldCharType="separate"/>
      </w:r>
      <w:r w:rsidR="0055532F" w:rsidRPr="00F00459">
        <w:rPr>
          <w:rFonts w:cs="Times New Roman"/>
          <w:szCs w:val="24"/>
        </w:rPr>
        <w:t xml:space="preserve">(Augé, 2004; </w:t>
      </w:r>
      <w:proofErr w:type="spellStart"/>
      <w:r w:rsidR="0055532F" w:rsidRPr="00F00459">
        <w:rPr>
          <w:rFonts w:cs="Times New Roman"/>
          <w:szCs w:val="24"/>
        </w:rPr>
        <w:t>Daei</w:t>
      </w:r>
      <w:proofErr w:type="spellEnd"/>
      <w:r w:rsidR="0055532F" w:rsidRPr="00F00459">
        <w:rPr>
          <w:rFonts w:cs="Times New Roman"/>
          <w:szCs w:val="24"/>
        </w:rPr>
        <w:t xml:space="preserve"> </w:t>
      </w:r>
      <w:r w:rsidR="0055532F" w:rsidRPr="00F00459">
        <w:rPr>
          <w:rFonts w:cs="Times New Roman"/>
          <w:i/>
          <w:iCs/>
          <w:szCs w:val="24"/>
        </w:rPr>
        <w:t>et al.</w:t>
      </w:r>
      <w:r w:rsidR="0055532F" w:rsidRPr="00F00459">
        <w:rPr>
          <w:rFonts w:cs="Times New Roman"/>
          <w:szCs w:val="24"/>
        </w:rPr>
        <w:t>, 2009)</w:t>
      </w:r>
      <w:r w:rsidRPr="00C043EA">
        <w:rPr>
          <w:rFonts w:cs="Times New Roman"/>
        </w:rPr>
        <w:fldChar w:fldCharType="end"/>
      </w:r>
      <w:r w:rsidRPr="00C043EA">
        <w:rPr>
          <w:rFonts w:cs="Times New Roman"/>
        </w:rPr>
        <w:t xml:space="preserve"> improved competitive ability over non mycorrhizal plants </w:t>
      </w:r>
      <w:r w:rsidRPr="00C043EA">
        <w:rPr>
          <w:rFonts w:cs="Times New Roman"/>
        </w:rPr>
        <w:fldChar w:fldCharType="begin"/>
      </w:r>
      <w:r w:rsidR="00954B3D">
        <w:rPr>
          <w:rFonts w:cs="Times New Roman"/>
        </w:rPr>
        <w:instrText xml:space="preserve"> ADDIN ZOTERO_ITEM CSL_CITATION {"citationID":"ayKEuViG","properties":{"formattedCitation":"{\\rtf (Cameron, 2010; Veiga {\\i{}et al.}, 2011)}","plainCitation":"(Cameron, 2010; Veiga et al., 2011)"},"citationItems":[{"id":149,"uris":["http://zotero.org/users/local/d1gJDEOw/items/G385TKN4"],"uri":["http://zotero.org/users/local/d1gJDEOw/items/G385TKN4"],"itemData":{"id":149,"type":"article-journal","title":"Arbuscular mycorrhizal fungi as (agro)ecosystem engineers","container-title":"Plant and Soil","page":"1-5","volume":"333","issue":"1","abstract":"Symbiotic interactions have been shown to facilitate shifts in the structure and function of host plant communities. For example, parasitic plants can induce changes in plant diversity through the suppression of competitive community dominants. Arbuscular mycorrhizal (AM) fungi have also be shown to induce shifts in host communities by increasing host plant nutrient uptake and growth while suppressing non-mycorrhizal species. AM fungi can therefore function as ecosystem engineers facilitating shifts in host plant communities though the presumed physiological suppression of non-contributing or non-mycorrhizal plant species. This dichotomy in plant response to AM fungi has been suggested as a tool to suppress weed species (many of which are non-mycorrhizal) in agro-ecosystems where mycorrhizal crop species are cultivated. Rinaudo et al. (2010), this issue, have demonstrated that AM fungi can suppress pernicious non-mycorrhizal weed species including Chenopodium album (fat hen) while benefiting the crop plant Helianthus annuus (sunflower). These findings now suggest a future for harnessing AM fungi as agro-ecosystem engineers representing potential alternatives to costly and environmentally damaging herbicides.","DOI":"10.1007/s11104-010-0361-y","ISSN":"1573-5036","journalAbbreviation":"Plant and Soil","author":[{"family":"Cameron","given":"Duncan D."}],"issued":{"date-parts":[["2010"]]}}},{"id":762,"uris":["http://zotero.org/users/local/d1gJDEOw/items/4KK6NXVZ"],"uri":["http://zotero.org/users/local/d1gJDEOw/items/4KK6NXVZ"],"itemData":{"id":762,"type":"article-journal","title":"Can Arbuscular Mycorrhizal Fungi Reduce the Growth of Agricultural Weeds?","container-title":"PLOS ONE","page":"e27825","volume":"6","issue":"12","source":"PLoS Journals","abstract":"Background Arbuscular mycorrhizal fungi (AMF) are known for their beneficial effects on plants. However, there is increasing evidence that some ruderal plants, including several agricultural weeds, respond negatively to AMF colonization. Here, we investigated the effect of AMF on the growth of individual weed species and on weed-crop interactions.   Methodology/Principal Findings First, under controlled glasshouse conditions, we screened growth responses of nine weed species and three crops to a widespread AMF, Glomus intraradices. None of the weeds screened showed a significant positive mycorrhizal growth response and four weed species were significantly reduced by the AMF (growth responses between −22 and −35%). In a subsequent experiment, we selected three of the negatively responding weed species – Echinochloa crus-galli, Setaria viridis and Solanum nigrum – and analyzed their responses to a combination of three AMF (Glomus intraradices, Glomus mosseae and Glomus claroideum). Finally, we tested whether the presence of a crop (maize) enhanced the suppressive effect of AMF on weeds. We found that the growth of the three selected weed species was also reduced by a combination of AMF and that the presence of maize amplified the negative effect of AMF on the growth of E. crus-galli.   Conclusions/Significance Our results show that AMF can negatively influence the growth of some weed species indicating that AMF have the potential to act as determinants of weed community structure. Furthermore, mycorrhizal weed growth reductions can be amplified in the presence of a crop. Previous studies have shown that AMF provide a number of beneficial ecosystem services. Taken together with our current results, the maintenance and promotion of AMF activity may thereby contribute to sustainable management of agroecosystems. However, in order to further the practical and ecological relevance of our findings, additional experiments should be performed under field conditions.","DOI":"10.1371/journal.pone.0027825","ISSN":"1932-6203","journalAbbreviation":"PLOS ONE","author":[{"family":"Veiga","given":"Rita S. L."},{"family":"Jansa","given":"Jan"},{"family":"Frossard","given":"Emmanuel"},{"family":"Heijden","given":"Marcel G. A.","dropping-particle":"van der"}],"issued":{"date-parts":[["2011",12,2]]}}}],"schema":"https://github.com/citation-style-language/schema/raw/master/csl-citation.json"} </w:instrText>
      </w:r>
      <w:r w:rsidRPr="00C043EA">
        <w:rPr>
          <w:rFonts w:cs="Times New Roman"/>
        </w:rPr>
        <w:fldChar w:fldCharType="separate"/>
      </w:r>
      <w:r w:rsidR="00954B3D" w:rsidRPr="00954B3D">
        <w:rPr>
          <w:rFonts w:cs="Times New Roman"/>
          <w:szCs w:val="24"/>
        </w:rPr>
        <w:t xml:space="preserve">(Cameron, 2010; </w:t>
      </w:r>
      <w:proofErr w:type="spellStart"/>
      <w:r w:rsidR="00954B3D" w:rsidRPr="00954B3D">
        <w:rPr>
          <w:rFonts w:cs="Times New Roman"/>
          <w:szCs w:val="24"/>
        </w:rPr>
        <w:t>Veiga</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2011)</w:t>
      </w:r>
      <w:r w:rsidRPr="00C043EA">
        <w:rPr>
          <w:rFonts w:cs="Times New Roman"/>
        </w:rPr>
        <w:fldChar w:fldCharType="end"/>
      </w:r>
      <w:r w:rsidRPr="00C043EA">
        <w:rPr>
          <w:rFonts w:cs="Times New Roman"/>
        </w:rPr>
        <w:t xml:space="preserve"> and indirectly through improved soil structure </w:t>
      </w:r>
      <w:r w:rsidRPr="00C043EA">
        <w:rPr>
          <w:rFonts w:cs="Times New Roman"/>
        </w:rPr>
        <w:fldChar w:fldCharType="begin"/>
      </w:r>
      <w:r w:rsidR="00954B3D">
        <w:rPr>
          <w:rFonts w:cs="Times New Roman"/>
        </w:rPr>
        <w:instrText xml:space="preserve"> ADDIN ZOTERO_ITEM CSL_CITATION {"citationID":"1l2jcqf9so","properties":{"formattedCitation":"(Rillig &amp; Mummey, 2006)","plainCitation":"(Rillig &amp; Mummey, 2006)"},"citationItems":[{"id":150,"uris":["http://zotero.org/users/local/d1gJDEOw/items/II4XQU6F"],"uri":["http://zotero.org/users/local/d1gJDEOw/items/II4XQU6F"],"itemData":{"id":150,"type":"article-journal","title":"Mycorrhizas and Soil Structure","container-title":"The New Phytologist","page":"41-53","volume":"171","issue":"1","abstract":"In addition to their well-recognized roles in plant nutrition and communities, mycorrhizas can influence the key ecosystem process of soil aggregation. Here we review the contribution of mycorrhizas, mostly focused on arbuscular mycorrhizal fungi (AMF), to soil structure at various hierarchical levels: plant community; individual root; and the soil mycelium. There are a suite of mechanisms by which mycorrhizal fungi can influence soil aggregation at each of these various scales. By extension of these mechanisms to the question of fungal diversity, it is recognized that different species or communities of fungi can promote soil aggregation to different degrees. We argue that soil aggregation should be included in a more complete 'multifunctional' perspective of mycorrhizal ecology, and that in-depth understanding of mycorrhizas/soil process relationships will require analyses emphasizing feedbacks between soil structure and mycorrhizas, rather than a unidirectional approach simply addressing mycorrhizal effects on soils. We finish the discussion by highlighting new tools, developments and foci that will probably be crucial in further understanding mycorrhizal contributions to soil structure.","ISSN":"0028646X, 14698137","journalAbbreviation":"The New Phytologist","author":[{"family":"Rillig","given":"Matthias C."},{"family":"Mummey","given":"Daniel L."}],"issued":{"date-parts":[["2006"]]}}}],"schema":"https://github.com/citation-style-language/schema/raw/master/csl-citation.json"} </w:instrText>
      </w:r>
      <w:r w:rsidRPr="00C043EA">
        <w:rPr>
          <w:rFonts w:cs="Times New Roman"/>
        </w:rPr>
        <w:fldChar w:fldCharType="separate"/>
      </w:r>
      <w:r w:rsidR="00954B3D" w:rsidRPr="00954B3D">
        <w:rPr>
          <w:rFonts w:cs="Times New Roman"/>
        </w:rPr>
        <w:t>(</w:t>
      </w:r>
      <w:proofErr w:type="spellStart"/>
      <w:r w:rsidR="00954B3D" w:rsidRPr="00954B3D">
        <w:rPr>
          <w:rFonts w:cs="Times New Roman"/>
        </w:rPr>
        <w:t>Rillig</w:t>
      </w:r>
      <w:proofErr w:type="spellEnd"/>
      <w:r w:rsidR="00954B3D" w:rsidRPr="00954B3D">
        <w:rPr>
          <w:rFonts w:cs="Times New Roman"/>
        </w:rPr>
        <w:t xml:space="preserve"> &amp; </w:t>
      </w:r>
      <w:proofErr w:type="spellStart"/>
      <w:r w:rsidR="00954B3D" w:rsidRPr="00954B3D">
        <w:rPr>
          <w:rFonts w:cs="Times New Roman"/>
        </w:rPr>
        <w:t>Mummey</w:t>
      </w:r>
      <w:proofErr w:type="spellEnd"/>
      <w:r w:rsidR="00954B3D" w:rsidRPr="00954B3D">
        <w:rPr>
          <w:rFonts w:cs="Times New Roman"/>
        </w:rPr>
        <w:t>, 2006)</w:t>
      </w:r>
      <w:r w:rsidRPr="00C043EA">
        <w:rPr>
          <w:rFonts w:cs="Times New Roman"/>
        </w:rPr>
        <w:fldChar w:fldCharType="end"/>
      </w:r>
      <w:r w:rsidRPr="00C043EA">
        <w:rPr>
          <w:rFonts w:cs="Times New Roman"/>
        </w:rPr>
        <w:t xml:space="preserve"> and increased soil nutrient retention </w:t>
      </w:r>
      <w:r w:rsidRPr="00C043EA">
        <w:rPr>
          <w:rFonts w:cs="Times New Roman"/>
        </w:rPr>
        <w:fldChar w:fldCharType="begin"/>
      </w:r>
      <w:r w:rsidR="00954B3D">
        <w:rPr>
          <w:rFonts w:cs="Times New Roman"/>
        </w:rPr>
        <w:instrText xml:space="preserve"> ADDIN ZOTERO_ITEM CSL_CITATION {"citationID":"GeQg7Pcr","properties":{"formattedCitation":"{\\rtf (Bender {\\i{}et al.}, 2015; Cavagnaro {\\i{}et al.}, 2015; K\\uc0\\u246{}hl &amp; van der Heijden, 2016)}","plainCitation":"(Bender et al., 2015; Cavagnaro et al., 2015; Köhl &amp; van der Heijden, 2016)"},"citationItems":[{"id":151,"uris":["http://zotero.org/users/local/d1gJDEOw/items/42VBMTIN"],"uri":["http://zotero.org/users/local/d1gJDEOw/items/42VBMTIN"],"itemData":{"id":151,"type":"article-journal","title":"Mycorrhizal effects on nutrient cycling, nutrient leaching and N2O production in experimental grassland","container-title":"Soil Biology &amp; Biochemistry","page":"283-292","volume":"80","source":"Web of Science","abstract":"Arbuscular mycorrhizal fungi (AMF) can enhance plant nutrition and growth. However, their contribution to nutrient cycling in ecosystems is still poorly understood. Using experimental grassland microcosms filled with two different soil types (pasture and heath soil) and fertilized with different N forms (NO3- or NH4+) we tested the AMF contribution to N and P cycling including measurements of organic and inorganic leaching losses and N2O fluxes. We hypothesized that AMF enhance the sustainability of plant-soil systems by reducing nutrient losses and enhancing plant nutrient uptake. AMF reduced reactive and unreactive P leaching by 31%, enhanced plant P contents by 15% and increased P mobilization from soil by 18%. AMF reduced N2O fluxes and NH4+ leaching in both soils. Leaching of dissolved organic N was reduced by 24% in the heath soil only. Plant N contents were increased by 13% in the pasture soil but not affected in the heath soil. The microbial biomass N content was higher with AMF. This is the first comprehensive assessment of the influence of AMF on N and P cycling, including effects on inorganic and organic nutrient leaching losses and N2O emissions in a single study. We conclude that AMF can promote sustainable nutrient cycling but the effects on N cycling are context dependent. (C) 2014 Elsevier Ltd. All rights reserved.","DOI":"10.1016/j.soilbio.2014.10.016","ISSN":"0038-0717","note":"WOS:000346545800033","journalAbbreviation":"Soil Biol. Biochem.","language":"English","author":[{"family":"Bender","given":"S. Franz"},{"family":"Conen","given":"Franz"},{"family":"Van der Heijden","given":"Marcel G. A."}],"issued":{"date-parts":[["2015",1]]}}},{"id":152,"uris":["http://zotero.org/users/local/d1gJDEOw/items/75U9VBE8"],"uri":["http://zotero.org/users/local/d1gJDEOw/items/75U9VBE8"],"itemData":{"id":152,"type":"article-journal","title":"The role of arbuscular mycorrhizas in reducing soil nutrient loss","container-title":"Trends in Plant Science","page":"283-290","volume":"20","issue":"5","source":"Web of Science","abstract":"Substantial amounts of nutrients are lost from soils via leaching and as gaseous emissions. These losses can be environmentally damaging and expensive in terms of lost agricultural production. Plants have evolved many traits to optimize nutrient acquisition, including the formation of arbuscular mycorrhizas (AM), associations of plant roots with fungi that acquire soil nutrients. There is emerging evidence that AM have the ability to reduce nutrient loss from soils by enlarging the nutrient interception zone and preventing nutrient loss after rain-induced leaching events. Until recently, this important ecosystem service of AM had been largely overlooked. Here we review the role of AM in reducing nutrient loss and conclude that this role cannot be ignored if we are to increase global food production in an environmentally sustainable manner.","DOI":"10.1016/j.tplants.2015.03.004","ISSN":"1360-1385","note":"WOS:000355045100008","journalAbbreviation":"Trends Plant Sci.","language":"English","author":[{"family":"Cavagnaro","given":"Timothy R."},{"family":"Bender","given":"S. Franz"},{"family":"Asghari","given":"Hamid R."},{"family":"Heijden","given":"Marcel G. A.","non-dropping-particle":"van der"}],"issued":{"date-parts":[["2015",5]]}}},{"id":153,"uris":["http://zotero.org/users/local/d1gJDEOw/items/VIC8EJGD"],"uri":["http://zotero.org/users/local/d1gJDEOw/items/VIC8EJGD"],"itemData":{"id":153,"type":"article-journal","title":"Arbuscular mycorrhizal fungal species differ in their effect on nutrient leaching","container-title":"Soil Biology and Biochemistry","page":"191-199","volume":"94","source":"ScienceDirect","abstract":"Arbuscular mycorrhizal (AM) fungi have been shown to play a crucial role in nutrient cycling and can reduce nutrient losses after rain induced leaching events. It is still unclear whether nutrient leaching losses vary depending on the AM fungal taxa that are present in soil. Using experimental microcosms with one of two different host plants (the grass Lolium multiflorum, or the legume Trifolium pratense) and inoculated with one of three different AM fungal species (Claroideoglomus claroideum, Rhizoglomus irregulare, and Funneliformis mosseae), we tested whether AM fungal species vary in their effects on nutrient leaching and plant productivity.\n\nAM fungi reduced nitrogen leaching, and the effects varied depending on host plant species and the identity of the AM fungal species present in soil. The reduction of nitrogen leaching losses was strongest in microcosms planted with Trifolium. The effects of AM fungi on phosphorus leaching losses were relatively small, and in most cases not significant, although a significant negative correlation between root colonization and phosphate leaching was observed in microcosms planted with Lolium. AM fungi enhanced plant P uptake for both plant species, and different AM fungi varied in their effects on plant biomass and nutrient acquisition.\n\nOur results demonstrate, for the first time, that AM fungal species differ in their effect on nutrient leaching. This indicates that agricultural practices that alter AM fungal communities also indirectly change nutrient cycling and nutrient leaching losses.","DOI":"10.1016/j.soilbio.2015.11.019","ISSN":"0038-0717","journalAbbreviation":"Soil Biology and Biochemistry","author":[{"family":"Köhl","given":"Luise"},{"family":"Heijden","given":"Marcel G. A.","non-dropping-particle":"van der"}],"issued":{"date-parts":[["2016",3]]}}}],"schema":"https://github.com/citation-style-language/schema/raw/master/csl-citation.json"} </w:instrText>
      </w:r>
      <w:r w:rsidRPr="00C043EA">
        <w:rPr>
          <w:rFonts w:cs="Times New Roman"/>
        </w:rPr>
        <w:fldChar w:fldCharType="separate"/>
      </w:r>
      <w:r w:rsidR="00954B3D" w:rsidRPr="00954B3D">
        <w:rPr>
          <w:rFonts w:cs="Times New Roman"/>
          <w:szCs w:val="24"/>
        </w:rPr>
        <w:t xml:space="preserve">(Bender </w:t>
      </w:r>
      <w:r w:rsidR="00954B3D" w:rsidRPr="00954B3D">
        <w:rPr>
          <w:rFonts w:cs="Times New Roman"/>
          <w:i/>
          <w:iCs/>
          <w:szCs w:val="24"/>
        </w:rPr>
        <w:t>et al.</w:t>
      </w:r>
      <w:r w:rsidR="00954B3D" w:rsidRPr="00954B3D">
        <w:rPr>
          <w:rFonts w:cs="Times New Roman"/>
          <w:szCs w:val="24"/>
        </w:rPr>
        <w:t xml:space="preserve">, 2015; </w:t>
      </w:r>
      <w:proofErr w:type="spellStart"/>
      <w:r w:rsidR="00954B3D" w:rsidRPr="00954B3D">
        <w:rPr>
          <w:rFonts w:cs="Times New Roman"/>
          <w:szCs w:val="24"/>
        </w:rPr>
        <w:t>Cavagnaro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2015; </w:t>
      </w:r>
      <w:proofErr w:type="spellStart"/>
      <w:r w:rsidR="00954B3D" w:rsidRPr="00954B3D">
        <w:rPr>
          <w:rFonts w:cs="Times New Roman"/>
          <w:szCs w:val="24"/>
        </w:rPr>
        <w:t>Köhl</w:t>
      </w:r>
      <w:proofErr w:type="spellEnd"/>
      <w:r w:rsidR="00954B3D" w:rsidRPr="00954B3D">
        <w:rPr>
          <w:rFonts w:cs="Times New Roman"/>
          <w:szCs w:val="24"/>
        </w:rPr>
        <w:t xml:space="preserve"> &amp; van der </w:t>
      </w:r>
      <w:proofErr w:type="spellStart"/>
      <w:r w:rsidR="00954B3D" w:rsidRPr="00954B3D">
        <w:rPr>
          <w:rFonts w:cs="Times New Roman"/>
          <w:szCs w:val="24"/>
        </w:rPr>
        <w:t>Heijden</w:t>
      </w:r>
      <w:proofErr w:type="spellEnd"/>
      <w:r w:rsidR="00954B3D" w:rsidRPr="00954B3D">
        <w:rPr>
          <w:rFonts w:cs="Times New Roman"/>
          <w:szCs w:val="24"/>
        </w:rPr>
        <w:t>, 2016)</w:t>
      </w:r>
      <w:r w:rsidRPr="00C043EA">
        <w:rPr>
          <w:rFonts w:cs="Times New Roman"/>
        </w:rPr>
        <w:fldChar w:fldCharType="end"/>
      </w:r>
      <w:r w:rsidRPr="00C043EA">
        <w:rPr>
          <w:rFonts w:cs="Times New Roman"/>
        </w:rPr>
        <w:t xml:space="preserve">. </w:t>
      </w:r>
    </w:p>
    <w:p w:rsidR="00A57540" w:rsidRDefault="00A57540" w:rsidP="00A57540">
      <w:pPr>
        <w:rPr>
          <w:rFonts w:cs="Times New Roman"/>
        </w:rPr>
      </w:pPr>
      <w:r w:rsidRPr="00C043EA">
        <w:rPr>
          <w:rFonts w:cs="Times New Roman"/>
        </w:rPr>
        <w:t xml:space="preserve">Despite potential benefits, there are number of factors limiting the use of mycorrhiza in modern agricultural systems which include negative effects of physical disturbance of hyphal networks through tillage </w:t>
      </w:r>
      <w:r w:rsidRPr="00C043EA">
        <w:rPr>
          <w:rFonts w:cs="Times New Roman"/>
        </w:rPr>
        <w:fldChar w:fldCharType="begin"/>
      </w:r>
      <w:r w:rsidR="00954B3D">
        <w:rPr>
          <w:rFonts w:cs="Times New Roman"/>
        </w:rPr>
        <w:instrText xml:space="preserve"> ADDIN ZOTERO_ITEM CSL_CITATION {"citationID":"mDOQwESd","properties":{"formattedCitation":"{\\rtf (Helgason {\\i{}et al.}, 1998; Frey {\\i{}et al.}, 1999)}","plainCitation":"(Helgason et al., 1998; Frey et al., 1999)"},"citationItems":[{"id":159,"uris":["http://zotero.org/users/local/d1gJDEOw/items/I3QZVE8T"],"uri":["http://zotero.org/users/local/d1gJDEOw/items/I3QZVE8T"],"itemData":{"id":159,"type":"article-journal","title":"Bacterial and fungal abundance and biomass in conventional and no-tillage agroecosystems along two climatic gradients","container-title":"Soil Biology and Biochemistry","page":"573-585","volume":"31","issue":"4","source":"ScienceDirect","abstract":"Microbial community composition may be an important determinant of soil organic matter (SOM) decomposition rates and nutrient turnover and availability in agricultural soils. Soil samples were collected from six long-term tillage comparison experiments located along two climatic gradients to examine the effects of no-tillage (NT) and conventional tillage (CT) management on bacterial and fungal abundance and biomass and to examine potential controls on the relative abundances of bacteria and fungi in these two systems. Samples were divided into 0–5 and 5–20 cm depth increments and analyzed for bacterial and fungal abundance and biomass, total C and N, particulate organic matter C and N (POM-C and N), soil water content, texture, pH, and water-stable aggregate distributions. Soil moisture, which varied by tillage treatment and geographically with climate, ranged from 0.05 to 0.35 g g−1 dry soil in the surface 0–5 cm and 0.15 to 0.28 g g−1 dry soil at 5–20 cm. Measured organic matter C and N fractions and mean weight diameter (MWD) of water-stable aggregates were significantly higher in NT relative to CT at three of the six sites. Fungal hyphal length ranged from 19 to 292 m g−1 soil and was 1.9 to 2.5 times higher in NT compared to CT surface soil across all sites. Few significant tillage treatment differences in soil physical and chemical properties or in fungal abundance and biomass were observed at 5–20 cm. Bacterial abundance and biomass were not consistently influenced by tillage treatment or site location at either depth. The proportion of the total biomass composed of fungi ranged from 10 to 60% and was significantly higher in NT compared to CT surface soil at five of six sites. Proportional fungal biomass was not strongly related to soil texture, pH, aggregation, or organic C and N fractions, but was positively related to soil moisture (r=0.67; P&amp;lt;0.001). The relationship between soil moisture and the degree of fungal dominance was due to the positive response of fungal biomass and the lack of response of bacterial biomass to increasing soil moisture across the range of measured soil water contents. Tillage treatment effects on fungal biomass and proportional fungal abundance were not significant when the data were analyzed by analysis of covariance with soil moisture as the covariate. These results suggest that observed tillage treatment and climate gradient effects on fungi are related to differences in soil moisture. Further research is needed, however, to determine how tillage-induced changes in the soil environment shape microbial community composition in agroecosystems.","DOI":"10.1016/S0038-0717(98)00161-8","ISSN":"0038-0717","journalAbbreviation":"Soil Biology and Biochemistry","author":[{"family":"Frey","given":"S. D"},{"family":"Elliott","given":"E. T"},{"family":"Paustian","given":"K"}],"issued":{"date-parts":[["1999",4]]}}},{"id":156,"uris":["http://zotero.org/users/local/d1gJDEOw/items/9I8TGD8S"],"uri":["http://zotero.org/users/local/d1gJDEOw/items/9I8TGD8S"],"itemData":{"id":156,"type":"article-journal","title":"Ploughing up the wood-wide web?","container-title":"Nature","page":"431-431","volume":"394","issue":"6692","source":"www.nature.com","abstract":"Key species groups that affect major ecological processes are vital components of community diversity. Many such key groups are found in the soil, including the mycorrhizal fungi that may connect plants into a functional \"wood-wide web\". Arbuscular mycorrhizal associations are formed by fungi of the order Glomales with 90% of land plant families, and many arbuscular mycorrhizal fungi are thought to have a broad host range. Here we show that, despite this broad host range, the diversity of arbuscular mycorrhizal fungi is strikingly low in arable sites compared with a woodland.","DOI":"10.1038/28764","ISSN":"0028-0836","journalAbbreviation":"Nature","language":"en","author":[{"family":"Helgason","given":"T."},{"family":"Daniell","given":"T. J."},{"family":"Husband","given":"R."},{"family":"Fitter","given":"A. H."},{"family":"Young","given":"J. P. W."}],"issued":{"date-parts":[["1998",7,30]]}}}],"schema":"https://github.com/citation-style-language/schema/raw/master/csl-citation.json"} </w:instrText>
      </w:r>
      <w:r w:rsidRPr="00C043EA">
        <w:rPr>
          <w:rFonts w:cs="Times New Roman"/>
        </w:rPr>
        <w:fldChar w:fldCharType="separate"/>
      </w:r>
      <w:r w:rsidR="00954B3D" w:rsidRPr="00954B3D">
        <w:rPr>
          <w:rFonts w:cs="Times New Roman"/>
          <w:szCs w:val="24"/>
        </w:rPr>
        <w:t>(</w:t>
      </w:r>
      <w:proofErr w:type="spellStart"/>
      <w:r w:rsidR="00954B3D" w:rsidRPr="00954B3D">
        <w:rPr>
          <w:rFonts w:cs="Times New Roman"/>
          <w:szCs w:val="24"/>
        </w:rPr>
        <w:t>Helgason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1998; Frey </w:t>
      </w:r>
      <w:r w:rsidR="00954B3D" w:rsidRPr="00954B3D">
        <w:rPr>
          <w:rFonts w:cs="Times New Roman"/>
          <w:i/>
          <w:iCs/>
          <w:szCs w:val="24"/>
        </w:rPr>
        <w:t>et al.</w:t>
      </w:r>
      <w:r w:rsidR="00954B3D" w:rsidRPr="00954B3D">
        <w:rPr>
          <w:rFonts w:cs="Times New Roman"/>
          <w:szCs w:val="24"/>
        </w:rPr>
        <w:t>, 1999)</w:t>
      </w:r>
      <w:r w:rsidRPr="00C043EA">
        <w:rPr>
          <w:rFonts w:cs="Times New Roman"/>
        </w:rPr>
        <w:fldChar w:fldCharType="end"/>
      </w:r>
      <w:r w:rsidRPr="00C043EA">
        <w:rPr>
          <w:rFonts w:cs="Times New Roman"/>
        </w:rPr>
        <w:t xml:space="preserve">,  negative effect of high application of inorganic fertilisers and fungicides </w:t>
      </w:r>
      <w:r w:rsidRPr="00C043EA">
        <w:rPr>
          <w:rFonts w:cs="Times New Roman"/>
        </w:rPr>
        <w:fldChar w:fldCharType="begin"/>
      </w:r>
      <w:r w:rsidR="0054501B">
        <w:rPr>
          <w:rFonts w:cs="Times New Roman"/>
        </w:rPr>
        <w:instrText xml:space="preserve"> ADDIN ZOTERO_ITEM CSL_CITATION {"citationID":"HdGsZKSY","properties":{"formattedCitation":"{\\rtf (Mader {\\i{}et al.}, 2002; Wilson {\\i{}et al.}, 2009)}","plainCitation":"(Mader et al., 2002; Wilson et al., 2009)"},"citationItems":[{"id":1095,"uris":["http://zotero.org/users/local/d1gJDEOw/items/PR3RP4M7"],"uri":["http://zotero.org/users/local/d1gJDEOw/items/PR3RP4M7"],"itemData":{"id":1095,"type":"article-journal","title":"Soil fertility and biodiversity in organic farming","container-title":"Science","page":"1694-1697","volume":"296","issue":"5573","archive_location":"WOS:000175976200061","abstract":"An understanding of agroecosystems is key to determining effective farming systems. Here we report results from a 21-year study of agronomic and ecological performance of biodynamic, bioorganic, and conventional farming systems in Central Europe. We found crop yields to be 20% Lower in the organic systems, although input of fertilizer and energy was reduced by 34 to 53% and pesticide input by 97%. Enhanced soil fertility and higher biodiversity found in organic plots may render these systems less dependent on external inputs.","DOI":"10.1126/science.1071148","ISSN":"0036-8075","shortTitle":"Soil fertility and biodiversity in organic farming","author":[{"family":"Mader","given":"P."},{"family":"Fliessbach","given":"A."},{"family":"Dubois","given":"D."},{"family":"Gunst","given":"L."},{"family":"Fried","given":"P."},{"family":"Niggli","given":"U."}],"issued":{"date-parts":[["2002",5]]}}},{"id":166,"uris":["http://zotero.org/users/local/d1gJDEOw/items/3AZT9DIF"],"uri":["http://zotero.org/users/local/d1gJDEOw/items/3AZT9DIF"],"itemData":{"id":166,"type":"article-journal","title":"Soil aggregation and carbon sequestration are tightly correlated with the abundance of arbuscular mycorrhizal fungi: results from long-term field experiments","container-title":"Ecology Letters","page":"452-461","volume":"12","issue":"5","source":"Web of Science","abstract":"We examined the role of arbuscular mycorrhizal fungi (AMF) in ecosystems using soil aggregate stability and C and N storage as representative ecosystem processes. We utilized a wide gradient in AMF abundance, obtained through long-term (17 and 6 years) large-scale field manipulations. Burning and N-fertilization increased soil AMF hyphae, glomalin-related soil protein (GRSP) pools and water-stable macroaggregates while fungicide applications reduced AMF hyphae, GRSP and water-stable macroaggregates. We found that AMF abundance was a surprisingly dominant factor explaining the vast majority of variability in soil aggregation. This experimental field study, involving long-term diverse management practices of native multispecies prairie communities, invariably showed a close positive correlation between AMF hyphal abundance and soil aggregation, and C and N sequestration. This highly significant linear correlation suggests there are serious consequences to the loss of AMF from ecosystems.","DOI":"10.1111/j.1461-0248.2009.01303.x","ISSN":"1461-023X","note":"WOS:000265010400008","shortTitle":"Soil aggregation and carbon sequestration are tightly correlated with the abundance of arbuscular mycorrhizal fungi","journalAbbreviation":"Ecol. Lett.","language":"English","author":[{"family":"Wilson","given":"Gail W. T."},{"family":"Rice","given":"Charles W."},{"family":"Rillig","given":"Matthias C."},{"family":"Springer","given":"Adam"},{"family":"Hartnett","given":"David C."}],"issued":{"date-parts":[["2009",5]]}}}],"schema":"https://github.com/citation-style-language/schema/raw/master/csl-citation.json"} </w:instrText>
      </w:r>
      <w:r w:rsidRPr="00C043EA">
        <w:rPr>
          <w:rFonts w:cs="Times New Roman"/>
        </w:rPr>
        <w:fldChar w:fldCharType="separate"/>
      </w:r>
      <w:r w:rsidR="0054501B" w:rsidRPr="0054501B">
        <w:rPr>
          <w:rFonts w:cs="Times New Roman"/>
          <w:szCs w:val="24"/>
        </w:rPr>
        <w:t>(</w:t>
      </w:r>
      <w:proofErr w:type="spellStart"/>
      <w:r w:rsidR="0054501B" w:rsidRPr="0054501B">
        <w:rPr>
          <w:rFonts w:cs="Times New Roman"/>
          <w:szCs w:val="24"/>
        </w:rPr>
        <w:t>Mader</w:t>
      </w:r>
      <w:proofErr w:type="spellEnd"/>
      <w:r w:rsidR="0054501B" w:rsidRPr="0054501B">
        <w:rPr>
          <w:rFonts w:cs="Times New Roman"/>
          <w:szCs w:val="24"/>
        </w:rPr>
        <w:t xml:space="preserve"> </w:t>
      </w:r>
      <w:r w:rsidR="0054501B" w:rsidRPr="0054501B">
        <w:rPr>
          <w:rFonts w:cs="Times New Roman"/>
          <w:i/>
          <w:iCs/>
          <w:szCs w:val="24"/>
        </w:rPr>
        <w:t>et al.</w:t>
      </w:r>
      <w:r w:rsidR="0054501B" w:rsidRPr="0054501B">
        <w:rPr>
          <w:rFonts w:cs="Times New Roman"/>
          <w:szCs w:val="24"/>
        </w:rPr>
        <w:t xml:space="preserve">, 2002; Wilson </w:t>
      </w:r>
      <w:r w:rsidR="0054501B" w:rsidRPr="0054501B">
        <w:rPr>
          <w:rFonts w:cs="Times New Roman"/>
          <w:i/>
          <w:iCs/>
          <w:szCs w:val="24"/>
        </w:rPr>
        <w:t>et al.</w:t>
      </w:r>
      <w:r w:rsidR="0054501B" w:rsidRPr="0054501B">
        <w:rPr>
          <w:rFonts w:cs="Times New Roman"/>
          <w:szCs w:val="24"/>
        </w:rPr>
        <w:t>, 2009)</w:t>
      </w:r>
      <w:r w:rsidRPr="00C043EA">
        <w:rPr>
          <w:rFonts w:cs="Times New Roman"/>
        </w:rPr>
        <w:fldChar w:fldCharType="end"/>
      </w:r>
      <w:r w:rsidRPr="00C043EA">
        <w:rPr>
          <w:rFonts w:cs="Times New Roman"/>
        </w:rPr>
        <w:t xml:space="preserve"> and evidence that selective breeding of modern crop varieties may have inadvertently reduced capacity to benefit from AMF symbiosis  </w:t>
      </w:r>
      <w:r w:rsidRPr="00C043EA">
        <w:rPr>
          <w:rFonts w:cs="Times New Roman"/>
        </w:rPr>
        <w:fldChar w:fldCharType="begin"/>
      </w:r>
      <w:r w:rsidR="00954B3D">
        <w:rPr>
          <w:rFonts w:cs="Times New Roman"/>
        </w:rPr>
        <w:instrText xml:space="preserve"> ADDIN ZOTERO_ITEM CSL_CITATION {"citationID":"fnvJ6cLm","properties":{"formattedCitation":"{\\rtf (Hetrick {\\i{}et al.}, 1993; Zhu {\\i{}et al.}, 2001)}","plainCitation":"(Hetrick et al., 1993; Zhu et al., 2001)"},"citationItems":[{"id":167,"uris":["http://zotero.org/users/local/d1gJDEOw/items/MG6SFDTW"],"uri":["http://zotero.org/users/local/d1gJDEOw/items/MG6SFDTW"],"itemData":{"id":167,"type":"article-journal","title":"Mycorrhizal Dependence of Modern Wheat Cultivars and Ancestors - a Synthesis","container-title":"Canadian Journal of Botany-Revue Canadienne De Botanique","page":"512-518","volume":"71","issue":"3","source":"Web of Science","abstract":"To supplement previous studies, wheat ancestors with the A, S(B), D, and AB genomes and modern spring and winter wheat cultivars were vernalized for 42 days in a growth chamber prior to transplanting and growth in a greenhouse for 14 weeks. One-half of the seedlings were inoculated with a mixture of equal numbers of spores of six vesicular-arbuscular mycorrhizal fungi at transplanting. Dry weights of plants and component parts were determined. Percent colonization of roots was determined microscopically. Growth response and mycorrhizal dependence were calculated. However, no mycorrhizal dependence was observed in Triticum monococcum PI 266844 and PI 355520 (A genome), Aegilops speltoides 1773 (S(B) genome), or in the AB genome ancestors Triticum carthlicum 2825, Triticum polonicum 2808, Triticum dicoccum 1165, Triticum pyramidale 2809, Triticum orientale 2805, Triticum paleocolchicum 2807, and Triticum persidum 2811 and 2812. Mycorrhizal dependence in the D genome ancestors was more variable. Triticum tauschii var. typica accessions 1649, 1691, 2378, 2448, 2492, 2495, 2528, 254 1, and 2567 lacked dependence, whereas T. tauschii var. meyeri 2529 and var. strangulata 2377 and 2452 were dependent on mycorrhizal symbiosis. The spring wheat cultivars Chinese Spring 3008, Spelta 2603, Pavon 76 2980, and Norin 29 3025 and the winter wheat cultivars TAM 200, Wrangler, Saluda, and Karl were not dependent on mycorrhizae, whereas winter wheat cultivars TAM 107 and Century were dependent. When these data are synthesized with previously tested ancestors, landraces, and cultivars, it appears that both dependent and nondependent diploid ancestors with the A, S(B), and D genomes existed, but dependence was lost in tetraploid ancestors. Since no dependence on mycorrhizae has been demonstrated in any AB genome ancestors, the presence of dependence in modern cultivars of the hexaploid ABD genome is probably derived from the D genome. The consistent dependence of wheat cultivars released before 1950 suggests that modern breeding practices have reduced dependence on mycorrhizal symbiosis. The implications of having mycorrhizal colonization in the absence of mycorrhizal dependence (benefit) are discussed.","ISSN":"0008-4026","note":"WOS:A1993LC50400017","journalAbbreviation":"Can. J. Bot.-Rev. Can. Bot.","language":"English","author":[{"family":"Hetrick","given":"Bad"},{"family":"Wilson","given":"Gwt"},{"family":"Cox","given":"Ts"}],"issued":{"date-parts":[["1993",3]]}}},{"id":168,"uris":["http://zotero.org/users/local/d1gJDEOw/items/EEH5AMWP"],"uri":["http://zotero.org/users/local/d1gJDEOw/items/EEH5AMWP"],"itemData":{"id":168,"type":"article-journal","title":"Phosphorus (P) efficiencies and mycorrhizal responsiveness of old and modern wheat cultivars","container-title":"Plant and Soil","page":"249-255","volume":"237","issue":"2","source":"Web of Science","abstract":"A pot experiment was carried out in a growth chamber to investigate P efficiencies and mycorrhizal responsiveness of modern (Krichauff and Excalibur) and old (Khapstein, Bobin, Comeback and Purple Straw) wheat cultivars (Triticum aestivum). The arbuscular mycorrhizal fungus (AMF) used in this study was Glomus intraradices. The growth medium was a soil/sand mixture with NaHCO3-extractable P of 9.4 mg P kg(-1) and no extra P was added. Plant P efficiencies (uptake, utilisation and agronomic) were found to differ significantly between cultivars, but no general trends of changes with the year of release of the cultivar were found. AMF colonisation was found to decrease plant growth under our experimental conditions with low light intensity. Mycorrhizal responsiveness (MR) was measured in terms of the improvement in plant P nutrition (shoot P concentrations). MR was found to be generally lower in modern cultivars than in old cultivars, indicating that modern breeding programs may have reduced the responsiveness of modern wheat cultivars to arbuscular mycorrhizal fungi. MR was also found to decrease in general with increased plant P utilisation efficiency.","DOI":"10.1023/A:1013343811110","ISSN":"0032-079X","note":"WOS:000172862000006","journalAbbreviation":"Plant Soil","language":"English","author":[{"family":"Zhu","given":"Y. G."},{"family":"Smith","given":"S. E."},{"family":"Barritt","given":"A. R."},{"family":"Smith","given":"F. A."}],"issued":{"date-parts":[["2001",12]]}}}],"schema":"https://github.com/citation-style-language/schema/raw/master/csl-citation.json"} </w:instrText>
      </w:r>
      <w:r w:rsidRPr="00C043EA">
        <w:rPr>
          <w:rFonts w:cs="Times New Roman"/>
        </w:rPr>
        <w:fldChar w:fldCharType="separate"/>
      </w:r>
      <w:r w:rsidR="00954B3D" w:rsidRPr="00954B3D">
        <w:rPr>
          <w:rFonts w:cs="Times New Roman"/>
          <w:szCs w:val="24"/>
        </w:rPr>
        <w:t>(</w:t>
      </w:r>
      <w:proofErr w:type="spellStart"/>
      <w:r w:rsidR="00954B3D" w:rsidRPr="00954B3D">
        <w:rPr>
          <w:rFonts w:cs="Times New Roman"/>
          <w:szCs w:val="24"/>
        </w:rPr>
        <w:t>Hetrick</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1993; Zhu </w:t>
      </w:r>
      <w:r w:rsidR="00954B3D" w:rsidRPr="00954B3D">
        <w:rPr>
          <w:rFonts w:cs="Times New Roman"/>
          <w:i/>
          <w:iCs/>
          <w:szCs w:val="24"/>
        </w:rPr>
        <w:t>et al.</w:t>
      </w:r>
      <w:r w:rsidR="00954B3D" w:rsidRPr="00954B3D">
        <w:rPr>
          <w:rFonts w:cs="Times New Roman"/>
          <w:szCs w:val="24"/>
        </w:rPr>
        <w:t>, 2001)</w:t>
      </w:r>
      <w:r w:rsidRPr="00C043EA">
        <w:rPr>
          <w:rFonts w:cs="Times New Roman"/>
        </w:rPr>
        <w:fldChar w:fldCharType="end"/>
      </w:r>
      <w:r w:rsidRPr="00C043EA">
        <w:rPr>
          <w:rFonts w:cs="Times New Roman"/>
        </w:rPr>
        <w:t xml:space="preserve">. </w:t>
      </w:r>
    </w:p>
    <w:p w:rsidR="00A57540" w:rsidRPr="00C043EA" w:rsidRDefault="00A57540" w:rsidP="00DE54FD">
      <w:r w:rsidRPr="00C043EA">
        <w:t xml:space="preserve">Research on crop-mycorrhiza interactions has focused on arable crops, yet woody perennial crops such as some soft fruits (e.g. raspberries, currants), and a wide range of fruit and nut bearing trees are </w:t>
      </w:r>
      <w:r>
        <w:t>able to form symbiosis with AMF</w:t>
      </w:r>
      <w:r w:rsidRPr="00C043EA">
        <w:t>. Moreover, woody perennial crops are essential for providing nutritional food security and make an important contribution to global agricultural production, for example the domestic apple (</w:t>
      </w:r>
      <w:r w:rsidRPr="00C043EA">
        <w:rPr>
          <w:i/>
        </w:rPr>
        <w:t>Malus pumila</w:t>
      </w:r>
      <w:r w:rsidRPr="00C043EA">
        <w:t xml:space="preserve">) is the fourth most widely cultivated </w:t>
      </w:r>
      <w:r w:rsidRPr="00C043EA">
        <w:lastRenderedPageBreak/>
        <w:t xml:space="preserve">fruit crop worldwide with over 80 million tonnes grown annually occupying over 4.7 million hectares globally and of considerable economic importance </w:t>
      </w:r>
      <w:r w:rsidRPr="00C043EA">
        <w:fldChar w:fldCharType="begin"/>
      </w:r>
      <w:r w:rsidR="00954B3D">
        <w:instrText xml:space="preserve"> ADDIN ZOTERO_ITEM CSL_CITATION {"citationID":"74349opg8","properties":{"formattedCitation":"(FAO, 2014)","plainCitation":"(FAO, 2014)"},"citationItems":[{"id":189,"uris":["http://zotero.org/users/local/d1gJDEOw/items/MTKR8VIW"],"uri":["http://zotero.org/users/local/d1gJDEOw/items/MTKR8VIW"],"itemData":{"id":189,"type":"article","title":"FAOSTAT database collections. Food and Agriculture Organization of the United Nations.Rome","archive_location":"2016-06-01","URL":"http://foastat.fao.org","author":[{"literal":"FAO"}],"issued":{"date-parts":[["2014"]]}}}],"schema":"https://github.com/citation-style-language/schema/raw/master/csl-citation.json"} </w:instrText>
      </w:r>
      <w:r w:rsidRPr="00C043EA">
        <w:fldChar w:fldCharType="separate"/>
      </w:r>
      <w:r w:rsidR="00954B3D" w:rsidRPr="00954B3D">
        <w:rPr>
          <w:rFonts w:cs="Times New Roman"/>
        </w:rPr>
        <w:t>(FAO, 2014)</w:t>
      </w:r>
      <w:r w:rsidRPr="00C043EA">
        <w:fldChar w:fldCharType="end"/>
      </w:r>
      <w:r w:rsidRPr="00C043EA">
        <w:t xml:space="preserve">. </w:t>
      </w:r>
    </w:p>
    <w:p w:rsidR="00A57540" w:rsidRPr="00C043EA" w:rsidRDefault="00A57540" w:rsidP="00DE54FD">
      <w:r w:rsidRPr="00C043EA">
        <w:t xml:space="preserve">Disease is a major threat to establishment and persistence of apple orchards </w:t>
      </w:r>
      <w:r w:rsidRPr="00C043EA">
        <w:fldChar w:fldCharType="begin"/>
      </w:r>
      <w:r w:rsidR="00954B3D">
        <w:instrText xml:space="preserve"> ADDIN ZOTERO_ITEM CSL_CITATION {"citationID":"9nfk1604c","properties":{"formattedCitation":"(DEFRA, 2010b)","plainCitation":"(DEFRA, 2010b)"},"citationItems":[{"id":106,"uris":["http://zotero.org/users/local/d1gJDEOw/items/BW8TV97W"],"uri":["http://zotero.org/users/local/d1gJDEOw/items/BW8TV97W"],"itemData":{"id":106,"type":"article","title":"Reccommendations for controlling Neonectria ditissima in cider apple orchards (Agriculture and Horticultural Development Board).","author":[{"literal":"DEFRA"}],"issued":{"date-parts":[["2010"]]}}}],"schema":"https://github.com/citation-style-language/schema/raw/master/csl-citation.json"} </w:instrText>
      </w:r>
      <w:r w:rsidRPr="00C043EA">
        <w:fldChar w:fldCharType="separate"/>
      </w:r>
      <w:r w:rsidR="00954B3D" w:rsidRPr="00954B3D">
        <w:rPr>
          <w:rFonts w:cs="Times New Roman"/>
        </w:rPr>
        <w:t>(DEFRA, 2010b)</w:t>
      </w:r>
      <w:r w:rsidRPr="00C043EA">
        <w:fldChar w:fldCharType="end"/>
      </w:r>
      <w:r w:rsidRPr="00C043EA">
        <w:t xml:space="preserve"> Apple canker caused by the fungal pathogen </w:t>
      </w:r>
      <w:r w:rsidRPr="00C043EA">
        <w:rPr>
          <w:i/>
        </w:rPr>
        <w:t>Neonectria ditissima</w:t>
      </w:r>
      <w:r w:rsidRPr="00C043EA">
        <w:t xml:space="preserve"> is the second most important pathogen in economic terms, after apple scab (</w:t>
      </w:r>
      <w:proofErr w:type="spellStart"/>
      <w:r w:rsidRPr="00C043EA">
        <w:rPr>
          <w:i/>
        </w:rPr>
        <w:t>Venturia</w:t>
      </w:r>
      <w:proofErr w:type="spellEnd"/>
      <w:r w:rsidRPr="00C043EA">
        <w:rPr>
          <w:i/>
        </w:rPr>
        <w:t xml:space="preserve"> </w:t>
      </w:r>
      <w:proofErr w:type="spellStart"/>
      <w:r w:rsidRPr="00C043EA">
        <w:rPr>
          <w:i/>
        </w:rPr>
        <w:t>inaequalis</w:t>
      </w:r>
      <w:proofErr w:type="spellEnd"/>
      <w:r w:rsidRPr="00C043EA">
        <w:rPr>
          <w:i/>
        </w:rPr>
        <w:t>)</w:t>
      </w:r>
      <w:r w:rsidRPr="00C043EA">
        <w:t xml:space="preserve">, and causes up to 30% loss of yield </w:t>
      </w:r>
      <w:r w:rsidRPr="00C043EA">
        <w:fldChar w:fldCharType="begin"/>
      </w:r>
      <w:r w:rsidR="00954B3D">
        <w:instrText xml:space="preserve"> ADDIN ZOTERO_ITEM CSL_CITATION {"citationID":"1fpvlpifrv","properties":{"formattedCitation":"(Weber, 2014)","plainCitation":"(Weber, 2014)"},"citationItems":[{"id":10,"uris":["http://zotero.org/users/local/d1gJDEOw/items/KS9WF3SG"],"uri":["http://zotero.org/users/local/d1gJDEOw/items/KS9WF3SG"],"itemData":{"id":10,"type":"article-journal","title":"Biology and control of the apple canker fungus Neonectria ditissima (syn. N. galligena) from a Northwestern European perspective","container-title":"Erwerbs-Obstbau","page":"95-107","volume":"56","issue":"3","abstract":"A review of apple canker caused by Neonectria ditissima is presented for Northwestern Europe with a focus on the Lower Elbe region (Northern Germany). Whereas conidia released by rainsplash are produced mainly from spring to autumn, the liberation of wind-borne ascospores peaks in autumn and/or early spring. Infection occurs via natural as well as pruning-induced wounds, some of which are present throughout the year. Autumnal leaf scars are the most frequent entry point for N. ditissima. Wounds on tree trunks, especially bark cracks in the crotch regions, are potentially even more serious because cankers on trunks and leader shoots commonly cause the total loss of a tree. Surface moisture is a prerequisite for leaf scar infections but possibly not for an entry through other wounds. Irrespective of the entry route, successful infection of a wound requires a mass inoculum of at least 50–100 conidia or ascospores. Infections of trees originating in nurseries may enter a state of latency from which they can break out up to 3 years after the trees have been explanted into the production orchard. Streaks of brown wood discolourations can be caused both by systemic colonisation of the xylem by N. ditissima and by winter frost damage. Apple varieties may show pronounced differences in their sensitivity to canker. For highly susceptible varieties, this disease can be a major production-limiting factor. Flower infections by N. ditissima commonly lead to a pre-harvest rot at the blossom end of the fruit, whereas infections of the growing fruit before harvest lead to a storage rot. Rigorous pruning is an essential canker control measure. Chemical control during the growing season is achieved by apple scab fungicides such as dithianone, captan or dodine. At leaf fall and in winter, copper fungicides are indispensible for controlling canker on highly susceptible varieties in Northern Germany.","DOI":"10.1007/s10341-014-0210-x","ISSN":"1439-0302","journalAbbreviation":"Erwerbs-Obstbau","author":[{"family":"Weber","given":"R.W.S."}],"issued":{"date-parts":[["2014"]]}}}],"schema":"https://github.com/citation-style-language/schema/raw/master/csl-citation.json"} </w:instrText>
      </w:r>
      <w:r w:rsidRPr="00C043EA">
        <w:fldChar w:fldCharType="separate"/>
      </w:r>
      <w:r w:rsidR="00954B3D" w:rsidRPr="00954B3D">
        <w:rPr>
          <w:rFonts w:cs="Times New Roman"/>
        </w:rPr>
        <w:t>(Weber, 2014)</w:t>
      </w:r>
      <w:r w:rsidRPr="00C043EA">
        <w:fldChar w:fldCharType="end"/>
      </w:r>
      <w:r w:rsidRPr="00C043EA">
        <w:t xml:space="preserve">. It is particularly problematic in warm and wet regions of Europe and climate change may </w:t>
      </w:r>
      <w:r w:rsidR="004930C5">
        <w:t xml:space="preserve">thus </w:t>
      </w:r>
      <w:r w:rsidRPr="00C043EA">
        <w:t xml:space="preserve">increase prevalence  </w:t>
      </w:r>
      <w:r w:rsidRPr="00C043EA">
        <w:fldChar w:fldCharType="begin"/>
      </w:r>
      <w:r w:rsidR="00954B3D">
        <w:instrText xml:space="preserve"> ADDIN ZOTERO_ITEM CSL_CITATION {"citationID":"v2gvase8a","properties":{"formattedCitation":"(Beresford &amp; Kim, 2010)","plainCitation":"(Beresford &amp; Kim, 2010)"},"citationItems":[{"id":46,"uris":["http://zotero.org/users/local/d1gJDEOw/items/BE5KW4ZK"],"uri":["http://zotero.org/users/local/d1gJDEOw/items/BE5KW4ZK"],"itemData":{"id":46,"type":"article-journal","title":"Identification of Regional Climatic Conditions Favorable for Development of European Canker of Apple","container-title":"Phytopathology","page":"135-146","volume":"101","issue":"1","source":"apsjournals.apsnet.org (Atypon)","abstract":"Months of the year with high risk of European canker (Neonectria galligena) development in areas of the United States, Chile, England, and Northern Ireland were determined from published data. Moving-window analysis of long-term climatic data was used to classify disease risk in these areas in relation to rainfall and temperature conditions using the degree of agreement statistic. Greatest agreement occurred when it both rained on &gt;30% of days/month and there was an average of &gt;8 h/day with temperature of 11 to 16°C. When these thresholds were applied in eight validation areas in New Zealand, Australia, the United States, The Netherlands, and Denmark, areas with reported higher risk of disease tended to be areas where the thresholds were exceeded more often and by greater amounts. Areas at higher latitudes (&gt;52°) with frequent summer rainfall appeared to be most prone to European canker, including the fruit rot phase of the disease, probably because summer temperatures were more favorable than at lower latitudes. The climatic thresholds derived for European canker could be useful for studies of disease establishment risk, surveillance, eradication, climate change impact assessment, and, possibly, for disease risk forecasting. The methods used in this study allowed conditions favorable for disease development to be identified even though quantitative regional disease data were lacking, and they could be useful for similar geoclimatic studies of other diseases.","DOI":"10.1094/PHYTO-05-10-0137","ISSN":"0031-949X","journalAbbreviation":"Phytopathology","author":[{"family":"Beresford","given":"Robert M."},{"family":"Kim","given":"Kwang Soo"}],"issued":{"date-parts":[["2010",8,26]]}}}],"schema":"https://github.com/citation-style-language/schema/raw/master/csl-citation.json"} </w:instrText>
      </w:r>
      <w:r w:rsidRPr="00C043EA">
        <w:fldChar w:fldCharType="separate"/>
      </w:r>
      <w:r w:rsidR="00954B3D" w:rsidRPr="00954B3D">
        <w:rPr>
          <w:rFonts w:cs="Times New Roman"/>
        </w:rPr>
        <w:t>(Beresford &amp; Kim, 2010)</w:t>
      </w:r>
      <w:r w:rsidRPr="00C043EA">
        <w:fldChar w:fldCharType="end"/>
      </w:r>
      <w:r w:rsidRPr="00C043EA">
        <w:t xml:space="preserve">. Current control methods rely on regular fungicide application and frequent pruning to remove infected material imposing economic costs and are problematic in organic systems </w:t>
      </w:r>
      <w:r w:rsidRPr="00C043EA">
        <w:fldChar w:fldCharType="begin"/>
      </w:r>
      <w:r w:rsidR="00954B3D">
        <w:instrText xml:space="preserve"> ADDIN ZOTERO_ITEM CSL_CITATION {"citationID":"3OkUWWrC","properties":{"formattedCitation":"(Cooke, 1999; DEFRA, 2010b)","plainCitation":"(Cooke, 1999; DEFRA, 2010b)"},"citationItems":[{"id":61,"uris":["http://zotero.org/users/local/d1gJDEOw/items/2NSDBC2M"],"uri":["http://zotero.org/users/local/d1gJDEOw/items/2NSDBC2M"],"itemData":{"id":61,"type":"article-journal","title":"The Influence of Fungicide Sprays on Infection Of Apple cv. Bramley's Seedling By Nectria galligena","container-title":"European Journal of Plant Pathology","page":"783-790","volume":"105","issue":"8","abstract":"In 1990, a long-term trial was initiated by planting young apple trees, cv. Bramley's Seedling, inoculated, at single sites in the leader shoots, with Nectria galligena. The effect of spring–summer and autumn fungicide spray programmes, applied during 1991–1993, on the development of new cankers was assessed up to May 1994. Spring–summer fungicide programmes, applied as for the control of apple scab, reduced numbers of new cankers by between 65% and 76% compared with the untreated control. Sterol demethylation inhibiting fungicides (hexaconazole, myclobutanil, penconazole) had a similar effect on canker to dithianon. Autumn application of copper oxychloride at 5% and 50% leaf-fall further reduced numbers of new cankers. The combination of a spring–summer benzimidazole (carbendazim or thiophanate-methyl) with a scab fungicide (dithianon) and autumn copper oxychloride did not improve canker control compared with applying copper oxychloride after spring–summer myclobutanil+mancozeb. The percentage of fruit which developed rots in long-term storage was decreased by spring–summer benzimidazole application, but not by other fungicide programmes even those which achieved similar levels of canker control.","DOI":"10.1023/A:1008778900607","ISSN":"1573-8469","journalAbbreviation":"European Journal of Plant Pathology","author":[{"family":"Cooke","given":"Louise R."}],"issued":{"date-parts":[["1999"]]}}},{"id":106,"uris":["http://zotero.org/users/local/d1gJDEOw/items/BW8TV97W"],"uri":["http://zotero.org/users/local/d1gJDEOw/items/BW8TV97W"],"itemData":{"id":106,"type":"article","title":"Reccommendations for controlling Neonectria ditissima in cider apple orchards (Agriculture and Horticultural Development Board).","author":[{"literal":"DEFRA"}],"issued":{"date-parts":[["2010"]]}}}],"schema":"https://github.com/citation-style-language/schema/raw/master/csl-citation.json"} </w:instrText>
      </w:r>
      <w:r w:rsidRPr="00C043EA">
        <w:fldChar w:fldCharType="separate"/>
      </w:r>
      <w:r w:rsidR="00954B3D" w:rsidRPr="00954B3D">
        <w:rPr>
          <w:rFonts w:cs="Times New Roman"/>
        </w:rPr>
        <w:t>(Cooke, 1999; DEFRA, 2010b)</w:t>
      </w:r>
      <w:r w:rsidRPr="00C043EA">
        <w:fldChar w:fldCharType="end"/>
      </w:r>
      <w:r w:rsidRPr="00C043EA">
        <w:t xml:space="preserve">. These control methods needs to be applied frequently as re-infections commonly occur as </w:t>
      </w:r>
      <w:r>
        <w:t>common</w:t>
      </w:r>
      <w:r w:rsidRPr="00C043EA">
        <w:t xml:space="preserve"> tree </w:t>
      </w:r>
      <w:r w:rsidR="004930C5">
        <w:t>genera</w:t>
      </w:r>
      <w:r w:rsidRPr="00C043EA">
        <w:t xml:space="preserve">, such as </w:t>
      </w:r>
      <w:proofErr w:type="spellStart"/>
      <w:r w:rsidRPr="00C043EA">
        <w:rPr>
          <w:i/>
        </w:rPr>
        <w:t>Crataegus</w:t>
      </w:r>
      <w:proofErr w:type="spellEnd"/>
      <w:r w:rsidRPr="00C043EA">
        <w:rPr>
          <w:i/>
        </w:rPr>
        <w:t xml:space="preserve">, </w:t>
      </w:r>
      <w:proofErr w:type="spellStart"/>
      <w:r w:rsidRPr="00C043EA">
        <w:rPr>
          <w:i/>
        </w:rPr>
        <w:t>Quercus</w:t>
      </w:r>
      <w:proofErr w:type="spellEnd"/>
      <w:r w:rsidRPr="00C043EA">
        <w:t xml:space="preserve">, </w:t>
      </w:r>
      <w:proofErr w:type="spellStart"/>
      <w:r w:rsidRPr="00C043EA">
        <w:rPr>
          <w:i/>
        </w:rPr>
        <w:t>Betula</w:t>
      </w:r>
      <w:proofErr w:type="spellEnd"/>
      <w:r w:rsidRPr="00C043EA">
        <w:t xml:space="preserve"> and </w:t>
      </w:r>
      <w:r w:rsidRPr="00C043EA">
        <w:rPr>
          <w:i/>
        </w:rPr>
        <w:t>Fagus</w:t>
      </w:r>
      <w:r w:rsidRPr="00C043EA">
        <w:t xml:space="preserve">, act as reservoirs for </w:t>
      </w:r>
      <w:r w:rsidRPr="00C043EA">
        <w:rPr>
          <w:i/>
        </w:rPr>
        <w:t>Neonectria ditissima</w:t>
      </w:r>
      <w:r w:rsidRPr="00C043EA">
        <w:t xml:space="preserve"> </w:t>
      </w:r>
      <w:r w:rsidRPr="00C043EA">
        <w:fldChar w:fldCharType="begin"/>
      </w:r>
      <w:r w:rsidR="00954B3D">
        <w:instrText xml:space="preserve"> ADDIN ZOTERO_ITEM CSL_CITATION {"citationID":"7kvnd9q43","properties":{"formattedCitation":"(Weber, 2014)","plainCitation":"(Weber, 2014)"},"citationItems":[{"id":10,"uris":["http://zotero.org/users/local/d1gJDEOw/items/KS9WF3SG"],"uri":["http://zotero.org/users/local/d1gJDEOw/items/KS9WF3SG"],"itemData":{"id":10,"type":"article-journal","title":"Biology and control of the apple canker fungus Neonectria ditissima (syn. N. galligena) from a Northwestern European perspective","container-title":"Erwerbs-Obstbau","page":"95-107","volume":"56","issue":"3","abstract":"A review of apple canker caused by Neonectria ditissima is presented for Northwestern Europe with a focus on the Lower Elbe region (Northern Germany). Whereas conidia released by rainsplash are produced mainly from spring to autumn, the liberation of wind-borne ascospores peaks in autumn and/or early spring. Infection occurs via natural as well as pruning-induced wounds, some of which are present throughout the year. Autumnal leaf scars are the most frequent entry point for N. ditissima. Wounds on tree trunks, especially bark cracks in the crotch regions, are potentially even more serious because cankers on trunks and leader shoots commonly cause the total loss of a tree. Surface moisture is a prerequisite for leaf scar infections but possibly not for an entry through other wounds. Irrespective of the entry route, successful infection of a wound requires a mass inoculum of at least 50–100 conidia or ascospores. Infections of trees originating in nurseries may enter a state of latency from which they can break out up to 3 years after the trees have been explanted into the production orchard. Streaks of brown wood discolourations can be caused both by systemic colonisation of the xylem by N. ditissima and by winter frost damage. Apple varieties may show pronounced differences in their sensitivity to canker. For highly susceptible varieties, this disease can be a major production-limiting factor. Flower infections by N. ditissima commonly lead to a pre-harvest rot at the blossom end of the fruit, whereas infections of the growing fruit before harvest lead to a storage rot. Rigorous pruning is an essential canker control measure. Chemical control during the growing season is achieved by apple scab fungicides such as dithianone, captan or dodine. At leaf fall and in winter, copper fungicides are indispensible for controlling canker on highly susceptible varieties in Northern Germany.","DOI":"10.1007/s10341-014-0210-x","ISSN":"1439-0302","journalAbbreviation":"Erwerbs-Obstbau","author":[{"family":"Weber","given":"R.W.S."}],"issued":{"date-parts":[["2014"]]}}}],"schema":"https://github.com/citation-style-language/schema/raw/master/csl-citation.json"} </w:instrText>
      </w:r>
      <w:r w:rsidRPr="00C043EA">
        <w:fldChar w:fldCharType="separate"/>
      </w:r>
      <w:r w:rsidR="00954B3D" w:rsidRPr="00954B3D">
        <w:rPr>
          <w:rFonts w:cs="Times New Roman"/>
        </w:rPr>
        <w:t>(Weber, 2014)</w:t>
      </w:r>
      <w:r w:rsidRPr="00C043EA">
        <w:fldChar w:fldCharType="end"/>
      </w:r>
      <w:r w:rsidRPr="00C043EA">
        <w:t xml:space="preserve">. </w:t>
      </w:r>
    </w:p>
    <w:p w:rsidR="00A57540" w:rsidRPr="00DE54FD" w:rsidRDefault="00A57540" w:rsidP="00A57540">
      <w:pPr>
        <w:rPr>
          <w:u w:val="single"/>
        </w:rPr>
      </w:pPr>
      <w:r w:rsidRPr="00C043EA">
        <w:t xml:space="preserve">Initial work suggests that AMF can deliver some resistance to fungal pathogens in apple, but it is not known if such benefits include resistance to </w:t>
      </w:r>
      <w:r w:rsidRPr="00C043EA">
        <w:rPr>
          <w:i/>
        </w:rPr>
        <w:t xml:space="preserve">Neonectria ditissima </w:t>
      </w:r>
      <w:r w:rsidRPr="00C043EA">
        <w:rPr>
          <w:u w:val="single"/>
        </w:rPr>
        <w:t>(</w:t>
      </w:r>
      <w:r w:rsidRPr="00C043EA">
        <w:t xml:space="preserve">Raj &amp; Sharma, 2009; Krishna </w:t>
      </w:r>
      <w:r w:rsidRPr="00C043EA">
        <w:rPr>
          <w:i/>
          <w:iCs/>
        </w:rPr>
        <w:t>et al.</w:t>
      </w:r>
      <w:r w:rsidRPr="00C043EA">
        <w:t xml:space="preserve">, 2010). There is also some evidence that AMF can improve apple seedling growth rates and nutritional status </w:t>
      </w:r>
      <w:r w:rsidRPr="00C043EA">
        <w:rPr>
          <w:highlight w:val="yellow"/>
        </w:rPr>
        <w:fldChar w:fldCharType="begin"/>
      </w:r>
      <w:r w:rsidR="0054501B">
        <w:rPr>
          <w:highlight w:val="yellow"/>
        </w:rPr>
        <w:instrText xml:space="preserve"> ADDIN ZOTERO_ITEM CSL_CITATION {"citationID":"oqAASlRu","properties":{"formattedCitation":"{\\rtf (Miller {\\i{}et al.}, 1985a; An {\\i{}et al.}, 1993; Matsubara {\\i{}et al.}, 1996; Forge {\\i{}et al.}, 2001)}","plainCitation":"(Miller et al., 1985a; An et al., 1993; Matsubara et al., 1996; Forge et al., 2001)"},"citationItems":[{"id":169,"uris":["http://zotero.org/users/local/d1gJDEOw/items/7U7J7NHE"],"uri":["http://zotero.org/users/local/d1gJDEOw/items/7U7J7NHE"],"itemData":{"id":169,"type":"article-journal","title":"Mycorrhizal Fungi at 18-Apple Rootstock Plantings in the United-States","container-title":"New Phytologist","page":"379-391","volume":"100","issue":"3","source":"Web of Science","DOI":"10.1111/j.1469-8137.1985.tb02787.x","ISSN":"0028-646X","note":"WOS:A1985AND4800010","journalAbbreviation":"New Phytol.","language":"English","author":[{"family":"Miller","given":"Dd"},{"family":"Domoto","given":"Pa"},{"family":"Walker","given":"C."}],"issued":{"date-parts":[["1985"]]}}},{"id":801,"uris":["http://zotero.org/users/local/d1gJDEOw/items/SJBG4RQM"],"uri":["http://zotero.org/users/local/d1gJDEOw/items/SJBG4RQM"],"itemData":{"id":801,"type":"article-journal","title":"Mycorrhizal fungi in relation to growth and mineral nutrition of apple seedlings","container-title":"Scientia Horticulturae","page":"275-285","volume":"54","issue":"4","source":"ScienceDirect","abstract":"The effects of two mycorrhizal fungi (Glomus epigaeum Daniels &amp;amp; Trappe and Glomus macrocarpum Tul. &amp;amp; Tul.) on the growth and mineral composition of shoots and roots of apple seedlings (Malus micromalus Makino) were studied. Variables were air temperature and sterilization of soil. In sterilized soil, the two species differed in their effects on seedlings grown at different temperatures. G. epigaeum was mutualistic at low and high temperature, but G. macrocarpum was ineffective at low temperature. In unsterilized soil, neither species was mutualistic at low temperature, but both increased plant growth at high temperature. In sterilized soil, mutualism by G. macrocarpum was related to colonization. Enhanced growth of seedlings was accompanied by improved uptake of immobile nutrient elements, mainly Cu, P, Zn. Apple has a high dependency on mycorrhizal fungi, and mycorrhizal isolates selected for effectiveness may be useful for producing seedlings under Chinese production conditions.","DOI":"10.1016/0304-4238(93)90106-Z","ISSN":"0304-4238","journalAbbreviation":"Scientia Horticulturae","author":[{"family":"An","given":"Z. Q."},{"family":"Shen","given":"T."},{"family":"Wang","given":"H. G."}],"issued":{"date-parts":[["1993",7]]}}},{"id":184,"uris":["http://zotero.org/users/local/d1gJDEOw/items/8JWXI5WT"],"uri":["http://zotero.org/users/local/d1gJDEOw/items/8JWXI5WT"],"itemData":{"id":184,"type":"article-journal","title":"Effect of arbuscular Mycorrhizal fungus inoculation on growth of apple (Malus ssp) seedlings","container-title":"Journal of the Japanese Society for Horticultural Science","page":"297-302","volume":"65","issue":"2","source":"Web of Science","abstract":"The means of enhancing the growth of seedlings of apples, Malus pumila Mill. var. domestica Schneid. (cv. McIntosh, American Summer Pearmain, Jonathan, Golden Delicious, Starking Delicious, Fuji, Mutsu and Red Gold) and Malus sieboldii Rehd., through inoculation of arbuscular mycorrhizal (AM) fungus [Glomus etunicatum (GE) and Gigaspora margarila (GM)] were investigated. Eight weeks after inoculation, AM fungus infection occurred in all combinations of apple cultivars and fungus species. The rate of AM fungus-infected portions in a whole root system were: 31.7% in 'Golden Delicious', 50.5% in 'Jonathan' in GE-inoculated plants, and 24.0% for Malus sieboldii Rehd., and 50.7% in 'Starking Delicious' in GM-inoculated ones. Plant height and dry weights of top and roots were greater in all GE-infected seedlings than in noninoculated ones. The GM-infected seedlings made larger height and weight increments than did the noninoculated ones in all seedlings except those of 'Golden Delicious' and Malus sieboldii Rehd.. In 'McIntosh' seedlings, plant growth enhancement through symbiosis clearly appeared associated with both fungi. With both fungal species, P concentrations in the top or roots were higher in infected plants than in noninoculated plants; the effect appeared more noticeably in roots than in top. Consequently, it was confirmed that GE and GM infections and their plant growth enhancement through symbiosis occurred with the seedling stage in several apple cultivars.","ISSN":"1882-3351","note":"WOS:A1996VG48900009","journalAbbreviation":"J. Jpn. Soc. Hortic. Sci.","language":"English","author":[{"family":"Matsubara","given":"Y."},{"family":"Karikomi","given":"T."},{"family":"Ikuta","given":"M."},{"family":"Hori","given":"H."},{"family":"Ishikawa","given":"S."},{"family":"Harada","given":"T."}],"issued":{"date-parts":[["1996",9]]}}},{"id":68,"uris":["http://zotero.org/users/local/d1gJDEOw/items/4XHBZECG"],"uri":["http://zotero.org/users/local/d1gJDEOw/items/4XHBZECG"],"itemData":{"id":68,"type":"article-journal","title":"Effects of preplant inoculation of apple (Malus domestica Borkh.) with arbuscular mycorrhizal fungi on population growth of the root-lesion nematode, Pratylenchus penetrans","container-title":"Plant and Soil","page":"185-196","volume":"236","issue":"2","abstract":"Six species of arbuscular mycorrhizal (AM) fungi (Glomus aggregatum, G. clarum, G. etunicatum, G. intraradices, G. mosseae and G. versiforme) were evaluated, in three greenhouse experiments, for their effects on reproduction of the root-lesion nematode, Pratylenchus penetrans, and growth of Ottawa 3 apple rootstock. Glomus mosseae increased total dry weights of nematode-inoculated and non-inoculated rootstock in all three greenhouse experiments, and G. intraradices increased dry weights in two of three greenhouse experiments. Plants inoculated with G. mosseae generally supported fewer P. penetrans per gram of root than plants inoculated with other AM fungi, but did not differ significantly from the controls in any greenhouse experiment. Colonization of roots by AM fungi was reduced by P. penetrans at initial inoculum densities greater than 250 nematodes/L soil. In field trials, preplant inoculation with either G. intraradices or G. mosseae increased rootstock growth and leaf concentrations of P, Mg, Zn and Cu in fumigated plots but not in non-fumigated plots, indicating that colonization by native AM fungi in non-fumigated plots may have been sufficient for adequate nutrient acquisition. The abundance of vesicles and arbuscules was greater in roots of plants inoculated with AM fungi before planting than in roots of non-inoculated plants, in both fumigated and non-fumigated plots. P. penetrans per gram of root and per 50 ml soil were significantly lower for G. mosseae- inoculated plants than for non-inoculated plants in fumigated soil but not in non-fumigated soil.","DOI":"10.1023/A:1012743028974","ISSN":"1573-5036","journalAbbreviation":"Plant and Soil","author":[{"family":"Forge","given":"Thomas"},{"family":"Muehlchen","given":"Andrea"},{"family":"Hackenberg","given":"Clemens"},{"family":"Neilsen","given":"Gerry"},{"family":"Vrain","given":"Thierry"}],"issued":{"date-parts":[["2001"]]}}}],"schema":"https://github.com/citation-style-language/schema/raw/master/csl-citation.json"} </w:instrText>
      </w:r>
      <w:r w:rsidRPr="00C043EA">
        <w:rPr>
          <w:highlight w:val="yellow"/>
        </w:rPr>
        <w:fldChar w:fldCharType="separate"/>
      </w:r>
      <w:r w:rsidR="0054501B" w:rsidRPr="0054501B">
        <w:rPr>
          <w:rFonts w:cs="Times New Roman"/>
          <w:szCs w:val="24"/>
        </w:rPr>
        <w:t xml:space="preserve">(Miller </w:t>
      </w:r>
      <w:r w:rsidR="0054501B" w:rsidRPr="0054501B">
        <w:rPr>
          <w:rFonts w:cs="Times New Roman"/>
          <w:i/>
          <w:iCs/>
          <w:szCs w:val="24"/>
        </w:rPr>
        <w:t>et al.</w:t>
      </w:r>
      <w:r w:rsidR="0054501B" w:rsidRPr="0054501B">
        <w:rPr>
          <w:rFonts w:cs="Times New Roman"/>
          <w:szCs w:val="24"/>
        </w:rPr>
        <w:t xml:space="preserve">, 1985a; An </w:t>
      </w:r>
      <w:r w:rsidR="0054501B" w:rsidRPr="0054501B">
        <w:rPr>
          <w:rFonts w:cs="Times New Roman"/>
          <w:i/>
          <w:iCs/>
          <w:szCs w:val="24"/>
        </w:rPr>
        <w:t>et al.</w:t>
      </w:r>
      <w:r w:rsidR="0054501B" w:rsidRPr="0054501B">
        <w:rPr>
          <w:rFonts w:cs="Times New Roman"/>
          <w:szCs w:val="24"/>
        </w:rPr>
        <w:t xml:space="preserve">, 1993; Matsubara </w:t>
      </w:r>
      <w:r w:rsidR="0054501B" w:rsidRPr="0054501B">
        <w:rPr>
          <w:rFonts w:cs="Times New Roman"/>
          <w:i/>
          <w:iCs/>
          <w:szCs w:val="24"/>
        </w:rPr>
        <w:t>et al.</w:t>
      </w:r>
      <w:r w:rsidR="0054501B" w:rsidRPr="0054501B">
        <w:rPr>
          <w:rFonts w:cs="Times New Roman"/>
          <w:szCs w:val="24"/>
        </w:rPr>
        <w:t xml:space="preserve">, 1996; Forge </w:t>
      </w:r>
      <w:r w:rsidR="0054501B" w:rsidRPr="0054501B">
        <w:rPr>
          <w:rFonts w:cs="Times New Roman"/>
          <w:i/>
          <w:iCs/>
          <w:szCs w:val="24"/>
        </w:rPr>
        <w:t>et al.</w:t>
      </w:r>
      <w:r w:rsidR="0054501B" w:rsidRPr="0054501B">
        <w:rPr>
          <w:rFonts w:cs="Times New Roman"/>
          <w:szCs w:val="24"/>
        </w:rPr>
        <w:t>, 2001)</w:t>
      </w:r>
      <w:r w:rsidRPr="00C043EA">
        <w:rPr>
          <w:highlight w:val="yellow"/>
        </w:rPr>
        <w:fldChar w:fldCharType="end"/>
      </w:r>
      <w:r w:rsidRPr="00C043EA">
        <w:t xml:space="preserve"> These studies are valuable scientifically, although they are not informative regarding AMF influences on key traits relating to flower production or yield. Moreover, their applied relevance is particularly limited because commercial apple trees are never grown from seedlings, bu</w:t>
      </w:r>
      <w:r>
        <w:t xml:space="preserve">t </w:t>
      </w:r>
      <w:r w:rsidRPr="00C043EA">
        <w:t xml:space="preserve">propagated clonally as rootstocks and scions which are grafted together. Both rootstock and scion are selected based upon major agriculturally important traits such as growth form, disease resistance and fruit quality although little is known about the mechanisms behind the interaction between rootstock and scion upon phenotype </w:t>
      </w:r>
      <w:r w:rsidRPr="00C043EA">
        <w:fldChar w:fldCharType="begin"/>
      </w:r>
      <w:r w:rsidR="00954B3D">
        <w:instrText xml:space="preserve"> ADDIN ZOTERO_ITEM CSL_CITATION {"citationID":"s83kd508f","properties":{"formattedCitation":"{\\rtf (Albacete {\\i{}et al.}, 2015)}","plainCitation":"(Albacete et al., 2015)"},"citationItems":[{"id":207,"uris":["http://zotero.org/users/local/d1gJDEOw/items/XKS265QA"],"uri":["http://zotero.org/users/local/d1gJDEOw/items/XKS265QA"],"itemData":{"id":207,"type":"article-journal","title":"Unravelling rootstockxscion interactions to improve food security","container-title":"Journal of Experimental Botany","page":"2211-2226","volume":"66","issue":"8","source":"Web of Science","abstract":"While much recent science has focused on understanding and exploiting root traits as new opportunities for crop improvement, the use of rootstocks has enhanced productivity of woody perennial crops for centuries. Grafting of vegetable crops has developed very quickly in the last 50 years, mainly to induce shoot vigour and to overcome soil-borne diseases in solanaceous and cucurbitaceous crops. In most cases, such progress has largely been due to empirical interactions between farmers, gardeners, and botanists, with limited insights into the underlying physiological mechanisms. Only during the last 20 years has science realized the potential of this old activity and studied the physiological and molecular mechanisms involved in rootstockxscion interactions, thereby not only explaining old phenomena but also developing new tools for crop improvement. Rootstocks can contribute to food security by: (i) increasing the yield potential of elite varieties; (ii) closing the yield gap under suboptimal growing conditions; (iii) decreasing the amount of chemical (pesticides and fertilizers) contaminants in the soil; (iv) increasing the efficiency of use of natural (water and soil) resources; (v) generating new useful genotypic variability (via epigenetics); and (vi) creating new products with improved quality. The potential of grafting is as broad as the genetic variability able to cross a potential incompatibility barrier between the rootstock and the scion. Therefore, understanding the mechanisms underlying the phenotypic variability resulting from rootstockxscionxenvironment interactions will certainly contribute to developing and exploiting rootstocks for food security.","DOI":"10.1093/jxb/erv027","ISSN":"0022-0957","note":"WOS:000353895000010","journalAbbreviation":"J. Exp. Bot.","language":"English","author":[{"family":"Albacete","given":"Alfonso"},{"family":"Martinez-Andujar","given":"Cristina"},{"family":"Martinez-Perez","given":"Ascension"},{"family":"Thompson","given":"Andrew J."},{"family":"Dodd","given":"Ian C."},{"family":"Perez-Alfocea","given":"Francisco"}],"issued":{"date-parts":[["2015",4]]}}}],"schema":"https://github.com/citation-style-language/schema/raw/master/csl-citation.json"} </w:instrText>
      </w:r>
      <w:r w:rsidRPr="00C043EA">
        <w:fldChar w:fldCharType="separate"/>
      </w:r>
      <w:r w:rsidR="00954B3D" w:rsidRPr="00954B3D">
        <w:rPr>
          <w:rFonts w:cs="Times New Roman"/>
          <w:szCs w:val="24"/>
        </w:rPr>
        <w:t xml:space="preserve">(Albacete </w:t>
      </w:r>
      <w:r w:rsidR="00954B3D" w:rsidRPr="00954B3D">
        <w:rPr>
          <w:rFonts w:cs="Times New Roman"/>
          <w:i/>
          <w:iCs/>
          <w:szCs w:val="24"/>
        </w:rPr>
        <w:t>et al.</w:t>
      </w:r>
      <w:r w:rsidR="00954B3D" w:rsidRPr="00954B3D">
        <w:rPr>
          <w:rFonts w:cs="Times New Roman"/>
          <w:szCs w:val="24"/>
        </w:rPr>
        <w:t>, 2015)</w:t>
      </w:r>
      <w:r w:rsidRPr="00C043EA">
        <w:fldChar w:fldCharType="end"/>
      </w:r>
      <w:r>
        <w:t xml:space="preserve">. A </w:t>
      </w:r>
      <w:r w:rsidRPr="00C043EA">
        <w:t>key unknown is whether there are differences in any benefit of AMF association to apple between rootstock and scion types.</w:t>
      </w:r>
    </w:p>
    <w:p w:rsidR="00A57540" w:rsidRDefault="00A57540" w:rsidP="00A57540">
      <w:pPr>
        <w:rPr>
          <w:rFonts w:cs="Times New Roman"/>
        </w:rPr>
      </w:pPr>
      <w:r w:rsidRPr="00C043EA">
        <w:rPr>
          <w:rFonts w:cs="Times New Roman"/>
        </w:rPr>
        <w:t xml:space="preserve">Here we use a unique three-year fully factorial experiment to assess how mycorrhiza influence the performance of two of the most widely planted apple rootstocks (MM106 and MM111) and the two commonest cider apple scion varieties (Dabinett and Michelin). Our treatments establish mycorrhizal apple trees and non-mycorrhizal controls, grown with industrial standard inorganic fertiliser applications recommended for commercial growers </w:t>
      </w:r>
      <w:r>
        <w:rPr>
          <w:rFonts w:cs="Times New Roman"/>
        </w:rPr>
        <w:t xml:space="preserve">(‘high nutrient’) </w:t>
      </w:r>
      <w:r w:rsidRPr="00C043EA">
        <w:rPr>
          <w:rFonts w:cs="Times New Roman"/>
        </w:rPr>
        <w:t>and reduced fertiliser conditions</w:t>
      </w:r>
      <w:r>
        <w:rPr>
          <w:rFonts w:cs="Times New Roman"/>
        </w:rPr>
        <w:t xml:space="preserve"> (‘low’ nutrient)</w:t>
      </w:r>
      <w:r w:rsidRPr="00C043EA">
        <w:rPr>
          <w:rFonts w:cs="Times New Roman"/>
        </w:rPr>
        <w:t xml:space="preserve">. Specifically we test the influence of mycorrhiza on </w:t>
      </w:r>
      <w:proofErr w:type="spellStart"/>
      <w:r w:rsidRPr="00C043EA">
        <w:rPr>
          <w:rFonts w:cs="Times New Roman"/>
        </w:rPr>
        <w:t>i</w:t>
      </w:r>
      <w:proofErr w:type="spellEnd"/>
      <w:r w:rsidRPr="00C043EA">
        <w:rPr>
          <w:rFonts w:cs="Times New Roman"/>
        </w:rPr>
        <w:t>) tree nutrient status</w:t>
      </w:r>
      <w:r>
        <w:rPr>
          <w:rFonts w:cs="Times New Roman"/>
        </w:rPr>
        <w:t xml:space="preserve"> (leaf tissue nitrogen, phosphorus and carbon concentrations and chlorophyll content)</w:t>
      </w:r>
      <w:r w:rsidRPr="00C043EA">
        <w:rPr>
          <w:rFonts w:cs="Times New Roman"/>
        </w:rPr>
        <w:t xml:space="preserve">, ii) tree growth </w:t>
      </w:r>
      <w:r>
        <w:rPr>
          <w:rFonts w:cs="Times New Roman"/>
        </w:rPr>
        <w:t>(height, trunk diameter, above and below ground biomass, root length, leaf and flower phenology), iii)</w:t>
      </w:r>
      <w:r w:rsidRPr="00C043EA">
        <w:rPr>
          <w:rFonts w:cs="Times New Roman"/>
        </w:rPr>
        <w:t xml:space="preserve"> productivity</w:t>
      </w:r>
      <w:r>
        <w:rPr>
          <w:rFonts w:cs="Times New Roman"/>
        </w:rPr>
        <w:t xml:space="preserve"> (fruit and flower production)</w:t>
      </w:r>
      <w:r w:rsidRPr="00C043EA">
        <w:rPr>
          <w:rFonts w:cs="Times New Roman"/>
        </w:rPr>
        <w:t>,</w:t>
      </w:r>
      <w:r>
        <w:rPr>
          <w:rFonts w:cs="Times New Roman"/>
        </w:rPr>
        <w:t xml:space="preserve"> and iv</w:t>
      </w:r>
      <w:r w:rsidRPr="00C043EA">
        <w:rPr>
          <w:rFonts w:cs="Times New Roman"/>
        </w:rPr>
        <w:t>) resistance of trees to</w:t>
      </w:r>
      <w:r>
        <w:rPr>
          <w:rFonts w:cs="Times New Roman"/>
        </w:rPr>
        <w:t xml:space="preserve"> the pathogen</w:t>
      </w:r>
      <w:r w:rsidRPr="00C043EA">
        <w:rPr>
          <w:rFonts w:cs="Times New Roman"/>
        </w:rPr>
        <w:t xml:space="preserve"> </w:t>
      </w:r>
      <w:r w:rsidRPr="00C043EA">
        <w:rPr>
          <w:rFonts w:cs="Times New Roman"/>
          <w:i/>
        </w:rPr>
        <w:t>Neonectria ditissima</w:t>
      </w:r>
      <w:r>
        <w:rPr>
          <w:rFonts w:cs="Times New Roman"/>
        </w:rPr>
        <w:t xml:space="preserve"> (amount of canker infected plant material).</w:t>
      </w:r>
    </w:p>
    <w:p w:rsidR="00DE54FD" w:rsidRDefault="00DE54FD" w:rsidP="00A57540">
      <w:pPr>
        <w:rPr>
          <w:rFonts w:cs="Times New Roman"/>
        </w:rPr>
      </w:pPr>
    </w:p>
    <w:p w:rsidR="00A57540" w:rsidRDefault="00A57540" w:rsidP="00A57540">
      <w:pPr>
        <w:rPr>
          <w:rFonts w:cs="Times New Roman"/>
        </w:rPr>
      </w:pPr>
      <w:r>
        <w:rPr>
          <w:rFonts w:cs="Times New Roman"/>
        </w:rPr>
        <w:lastRenderedPageBreak/>
        <w:t>This chapter specifically tested the following hypothesis:</w:t>
      </w:r>
    </w:p>
    <w:p w:rsidR="00A57540" w:rsidRDefault="00A57540" w:rsidP="005D6985">
      <w:pPr>
        <w:pStyle w:val="ListParagraph"/>
        <w:numPr>
          <w:ilvl w:val="0"/>
          <w:numId w:val="10"/>
        </w:numPr>
      </w:pPr>
      <w:r>
        <w:t>M</w:t>
      </w:r>
      <w:r w:rsidRPr="00B910A0">
        <w:t>ycorrhiza would positively affec</w:t>
      </w:r>
      <w:r>
        <w:t xml:space="preserve">t tree nutrient status, growth, </w:t>
      </w:r>
      <w:r w:rsidRPr="00B910A0">
        <w:t>productiv</w:t>
      </w:r>
      <w:r>
        <w:t>ity and resistance to pathogens.</w:t>
      </w:r>
    </w:p>
    <w:p w:rsidR="00A57540" w:rsidRPr="00DE54FD" w:rsidRDefault="00A57540" w:rsidP="005D6985">
      <w:pPr>
        <w:pStyle w:val="ListParagraph"/>
        <w:numPr>
          <w:ilvl w:val="0"/>
          <w:numId w:val="10"/>
        </w:numPr>
      </w:pPr>
      <w:r w:rsidRPr="00B910A0">
        <w:t xml:space="preserve">The impact of mycorrhiza would be greater </w:t>
      </w:r>
      <w:r w:rsidRPr="00DE54FD">
        <w:t>for trees receiving low fertiliser inputs.</w:t>
      </w:r>
    </w:p>
    <w:p w:rsidR="00A57540" w:rsidRDefault="00A57540" w:rsidP="005D6985">
      <w:pPr>
        <w:pStyle w:val="ListParagraph"/>
        <w:numPr>
          <w:ilvl w:val="0"/>
          <w:numId w:val="10"/>
        </w:numPr>
      </w:pPr>
      <w:r w:rsidRPr="00DE54FD">
        <w:t>Rootstock and scion types would affect the symbiosis of the trees</w:t>
      </w:r>
      <w:r w:rsidRPr="00B910A0">
        <w:t xml:space="preserve"> with mycorrhiza.</w:t>
      </w:r>
    </w:p>
    <w:p w:rsidR="00A57540" w:rsidRPr="00C043EA" w:rsidRDefault="00A57540" w:rsidP="00892881">
      <w:pPr>
        <w:pStyle w:val="Heading2"/>
      </w:pPr>
      <w:bookmarkStart w:id="130" w:name="_Toc469855019"/>
      <w:bookmarkStart w:id="131" w:name="_Toc469856019"/>
      <w:bookmarkStart w:id="132" w:name="_Toc469931928"/>
      <w:bookmarkStart w:id="133" w:name="_Toc469982249"/>
      <w:r w:rsidRPr="00C043EA">
        <w:t xml:space="preserve">Materials </w:t>
      </w:r>
      <w:r w:rsidRPr="000A7848">
        <w:t>and</w:t>
      </w:r>
      <w:r w:rsidRPr="00C043EA">
        <w:t xml:space="preserve"> </w:t>
      </w:r>
      <w:r w:rsidRPr="00892881">
        <w:t>Methods</w:t>
      </w:r>
      <w:bookmarkEnd w:id="130"/>
      <w:bookmarkEnd w:id="131"/>
      <w:bookmarkEnd w:id="132"/>
      <w:bookmarkEnd w:id="133"/>
    </w:p>
    <w:p w:rsidR="00A57540" w:rsidRPr="00C043EA" w:rsidRDefault="00A57540" w:rsidP="00A57540">
      <w:pPr>
        <w:pStyle w:val="Heading3"/>
      </w:pPr>
      <w:bookmarkStart w:id="134" w:name="_Toc469855020"/>
      <w:bookmarkStart w:id="135" w:name="_Toc469856020"/>
      <w:bookmarkStart w:id="136" w:name="_Toc469931929"/>
      <w:bookmarkStart w:id="137" w:name="_Toc469982250"/>
      <w:r w:rsidRPr="00C043EA">
        <w:t>Experimental design</w:t>
      </w:r>
      <w:bookmarkEnd w:id="134"/>
      <w:bookmarkEnd w:id="135"/>
      <w:bookmarkEnd w:id="136"/>
      <w:bookmarkEnd w:id="137"/>
    </w:p>
    <w:p w:rsidR="00A57540" w:rsidRDefault="00A57540" w:rsidP="00A57540">
      <w:pPr>
        <w:rPr>
          <w:rFonts w:cs="Times New Roman"/>
        </w:rPr>
      </w:pPr>
      <w:r w:rsidRPr="00C043EA">
        <w:rPr>
          <w:rFonts w:cs="Times New Roman"/>
        </w:rPr>
        <w:t>In February 2013 a fully factorial experimental design was established using four treatment levels (</w:t>
      </w:r>
      <w:proofErr w:type="spellStart"/>
      <w:r w:rsidRPr="00C043EA">
        <w:rPr>
          <w:rFonts w:cs="Times New Roman"/>
        </w:rPr>
        <w:t>i</w:t>
      </w:r>
      <w:proofErr w:type="spellEnd"/>
      <w:r w:rsidRPr="00C043EA">
        <w:rPr>
          <w:rFonts w:cs="Times New Roman"/>
        </w:rPr>
        <w:t xml:space="preserve">) mycorrhizal inoculum (addition or no addition), (ii) fertiliser (high or low input), (iii) scion type (‘Dabinett’ or ‘Michelin’), </w:t>
      </w:r>
      <w:proofErr w:type="gramStart"/>
      <w:r w:rsidRPr="00C043EA">
        <w:rPr>
          <w:rFonts w:cs="Times New Roman"/>
        </w:rPr>
        <w:t>(iv) rootstock</w:t>
      </w:r>
      <w:proofErr w:type="gramEnd"/>
      <w:r w:rsidRPr="00C043EA">
        <w:rPr>
          <w:rFonts w:cs="Times New Roman"/>
        </w:rPr>
        <w:t xml:space="preserve"> type (MM111 or MM106). Each treatment was replicated 10 times to give a total of 160 trees within 10 blocks. Tree position was randomised within blocks </w:t>
      </w:r>
      <w:r w:rsidRPr="00C043EA">
        <w:rPr>
          <w:rFonts w:cs="Times New Roman"/>
          <w:color w:val="000000" w:themeColor="text1"/>
        </w:rPr>
        <w:t xml:space="preserve">to reduce potential bias from any microclimate differences across the planting site. </w:t>
      </w:r>
      <w:r w:rsidRPr="00C043EA">
        <w:rPr>
          <w:rFonts w:cs="Times New Roman"/>
        </w:rPr>
        <w:t>One year old apple trees (</w:t>
      </w:r>
      <w:r w:rsidRPr="00C043EA">
        <w:rPr>
          <w:rFonts w:cs="Times New Roman"/>
          <w:i/>
        </w:rPr>
        <w:t>Malus pumila</w:t>
      </w:r>
      <w:r w:rsidRPr="00C043EA">
        <w:rPr>
          <w:rFonts w:cs="Times New Roman"/>
        </w:rPr>
        <w:t>) were planted in 80</w:t>
      </w:r>
      <w:r>
        <w:rPr>
          <w:rFonts w:cs="Times New Roman"/>
        </w:rPr>
        <w:t xml:space="preserve"> </w:t>
      </w:r>
      <w:r w:rsidRPr="00C043EA">
        <w:rPr>
          <w:rFonts w:cs="Times New Roman"/>
        </w:rPr>
        <w:t>L volume plastic pots (55</w:t>
      </w:r>
      <w:r>
        <w:rPr>
          <w:rFonts w:cs="Times New Roman"/>
        </w:rPr>
        <w:t xml:space="preserve"> </w:t>
      </w:r>
      <w:r w:rsidRPr="00C043EA">
        <w:rPr>
          <w:rFonts w:cs="Times New Roman"/>
        </w:rPr>
        <w:t>cm diameter, 40</w:t>
      </w:r>
      <w:r>
        <w:rPr>
          <w:rFonts w:cs="Times New Roman"/>
        </w:rPr>
        <w:t xml:space="preserve"> </w:t>
      </w:r>
      <w:r w:rsidRPr="00C043EA">
        <w:rPr>
          <w:rFonts w:cs="Times New Roman"/>
        </w:rPr>
        <w:t>cm depth) spaced 1.6</w:t>
      </w:r>
      <w:r>
        <w:rPr>
          <w:rFonts w:cs="Times New Roman"/>
        </w:rPr>
        <w:t xml:space="preserve"> </w:t>
      </w:r>
      <w:r w:rsidRPr="00C043EA">
        <w:rPr>
          <w:rFonts w:cs="Times New Roman"/>
        </w:rPr>
        <w:t>m apart in rows and 1.2</w:t>
      </w:r>
      <w:r>
        <w:rPr>
          <w:rFonts w:cs="Times New Roman"/>
        </w:rPr>
        <w:t xml:space="preserve"> </w:t>
      </w:r>
      <w:r w:rsidRPr="00C043EA">
        <w:rPr>
          <w:rFonts w:cs="Times New Roman"/>
        </w:rPr>
        <w:t>m apart in columns. Pots were filled with sharp sand (0.2-0.3</w:t>
      </w:r>
      <w:r>
        <w:rPr>
          <w:rFonts w:cs="Times New Roman"/>
        </w:rPr>
        <w:t xml:space="preserve"> </w:t>
      </w:r>
      <w:r w:rsidRPr="00C043EA">
        <w:rPr>
          <w:rFonts w:cs="Times New Roman"/>
        </w:rPr>
        <w:t>mm grade) and peat homogenised 1:1 by volume and adjusted to pH7 by addition of lime</w:t>
      </w:r>
      <w:r w:rsidR="00A35460">
        <w:rPr>
          <w:rFonts w:cs="Times New Roman"/>
        </w:rPr>
        <w:t xml:space="preserve">. </w:t>
      </w:r>
      <w:r w:rsidR="00E52B3A">
        <w:rPr>
          <w:rFonts w:cs="Times New Roman"/>
        </w:rPr>
        <w:t>A p</w:t>
      </w:r>
      <w:r w:rsidR="00A35460">
        <w:rPr>
          <w:rFonts w:cs="Times New Roman"/>
        </w:rPr>
        <w:t xml:space="preserve">eat and sand </w:t>
      </w:r>
      <w:r w:rsidR="00E52B3A">
        <w:rPr>
          <w:rFonts w:cs="Times New Roman"/>
        </w:rPr>
        <w:t xml:space="preserve">mixture </w:t>
      </w:r>
      <w:r w:rsidR="00A35460">
        <w:rPr>
          <w:rFonts w:cs="Times New Roman"/>
        </w:rPr>
        <w:t>was selected as a substrate for tree growth due to the naturally level of AMF inoculum</w:t>
      </w:r>
      <w:r w:rsidR="00766573">
        <w:rPr>
          <w:rFonts w:cs="Times New Roman"/>
        </w:rPr>
        <w:t xml:space="preserve"> within</w:t>
      </w:r>
      <w:r w:rsidR="00E52B3A">
        <w:rPr>
          <w:rFonts w:cs="Times New Roman"/>
        </w:rPr>
        <w:t xml:space="preserve"> these materials</w:t>
      </w:r>
      <w:r w:rsidR="00A35460">
        <w:rPr>
          <w:rFonts w:cs="Times New Roman"/>
        </w:rPr>
        <w:t>.</w:t>
      </w:r>
      <w:r w:rsidRPr="00C043EA">
        <w:rPr>
          <w:rFonts w:cs="Times New Roman"/>
        </w:rPr>
        <w:t xml:space="preserve"> A 3</w:t>
      </w:r>
      <w:r>
        <w:rPr>
          <w:rFonts w:cs="Times New Roman"/>
        </w:rPr>
        <w:t xml:space="preserve"> </w:t>
      </w:r>
      <w:r w:rsidRPr="00C043EA">
        <w:rPr>
          <w:rFonts w:cs="Times New Roman"/>
        </w:rPr>
        <w:t>cm deep layer of black polyethylene beads (3.5 mm diameter) was added to the surface of each pot to reduce the interaction between substrate and environment and minimise drying. The experiment was established at the Arthur Willis Environment Centre, Sheffield, UK was run for th</w:t>
      </w:r>
      <w:r>
        <w:rPr>
          <w:rFonts w:cs="Times New Roman"/>
        </w:rPr>
        <w:t>ree consecutive growing seasons (2013, 2014 and 2015).</w:t>
      </w:r>
    </w:p>
    <w:p w:rsidR="00A57540" w:rsidRDefault="00A57540" w:rsidP="00A57540">
      <w:pPr>
        <w:pStyle w:val="Caption-body"/>
      </w:pPr>
      <w:r>
        <w:rPr>
          <w:noProof/>
        </w:rPr>
        <w:lastRenderedPageBreak/>
        <w:drawing>
          <wp:inline distT="0" distB="0" distL="0" distR="0" wp14:anchorId="412D4B35" wp14:editId="01AB0A9F">
            <wp:extent cx="4790197" cy="3454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0500.JPG"/>
                    <pic:cNvPicPr/>
                  </pic:nvPicPr>
                  <pic:blipFill rotWithShape="1">
                    <a:blip r:embed="rId22" cstate="print">
                      <a:extLst>
                        <a:ext uri="{28A0092B-C50C-407E-A947-70E740481C1C}">
                          <a14:useLocalDpi xmlns:a14="http://schemas.microsoft.com/office/drawing/2010/main" val="0"/>
                        </a:ext>
                      </a:extLst>
                    </a:blip>
                    <a:srcRect t="6183" r="2422"/>
                    <a:stretch/>
                  </pic:blipFill>
                  <pic:spPr bwMode="auto">
                    <a:xfrm>
                      <a:off x="0" y="0"/>
                      <a:ext cx="4802657" cy="3463385"/>
                    </a:xfrm>
                    <a:prstGeom prst="rect">
                      <a:avLst/>
                    </a:prstGeom>
                    <a:ln>
                      <a:noFill/>
                    </a:ln>
                    <a:extLst>
                      <a:ext uri="{53640926-AAD7-44D8-BBD7-CCE9431645EC}">
                        <a14:shadowObscured xmlns:a14="http://schemas.microsoft.com/office/drawing/2010/main"/>
                      </a:ext>
                    </a:extLst>
                  </pic:spPr>
                </pic:pic>
              </a:graphicData>
            </a:graphic>
          </wp:inline>
        </w:drawing>
      </w:r>
    </w:p>
    <w:p w:rsidR="00A57540" w:rsidRPr="00F71A92" w:rsidRDefault="00A57540" w:rsidP="00DE54FD">
      <w:pPr>
        <w:pStyle w:val="Caption"/>
      </w:pPr>
      <w:bookmarkStart w:id="138" w:name="_Toc469982762"/>
      <w:r w:rsidRPr="00F71A92">
        <w:t xml:space="preserve">Figure </w:t>
      </w:r>
      <w:r w:rsidR="00C44EF5">
        <w:fldChar w:fldCharType="begin"/>
      </w:r>
      <w:r w:rsidR="00C44EF5">
        <w:instrText xml:space="preserve"> STYLEREF 1 \s </w:instrText>
      </w:r>
      <w:r w:rsidR="00C44EF5">
        <w:fldChar w:fldCharType="separate"/>
      </w:r>
      <w:r w:rsidR="00E0714D">
        <w:rPr>
          <w:noProof/>
        </w:rPr>
        <w:t>2</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1</w:t>
      </w:r>
      <w:r w:rsidR="00C44EF5">
        <w:rPr>
          <w:noProof/>
        </w:rPr>
        <w:fldChar w:fldCharType="end"/>
      </w:r>
      <w:r w:rsidRPr="00F71A92">
        <w:t xml:space="preserve"> Experimental se</w:t>
      </w:r>
      <w:r>
        <w:t>t up at Arthur Willis Environment C</w:t>
      </w:r>
      <w:r w:rsidRPr="00F71A92">
        <w:t>entre, Sheffield</w:t>
      </w:r>
      <w:r>
        <w:t xml:space="preserve">, </w:t>
      </w:r>
      <w:proofErr w:type="gramStart"/>
      <w:r w:rsidR="00DE54FD">
        <w:t>spring</w:t>
      </w:r>
      <w:proofErr w:type="gramEnd"/>
      <w:r>
        <w:t xml:space="preserve"> 2015.</w:t>
      </w:r>
      <w:bookmarkEnd w:id="138"/>
      <w:r>
        <w:t xml:space="preserve"> </w:t>
      </w:r>
    </w:p>
    <w:p w:rsidR="00A57540" w:rsidRPr="00C043EA" w:rsidRDefault="00A57540" w:rsidP="00A57540">
      <w:pPr>
        <w:pStyle w:val="Heading4"/>
        <w:numPr>
          <w:ilvl w:val="3"/>
          <w:numId w:val="1"/>
        </w:numPr>
      </w:pPr>
      <w:r w:rsidRPr="00C043EA">
        <w:t>Mycorrhizal inoculum</w:t>
      </w:r>
    </w:p>
    <w:p w:rsidR="00A57540" w:rsidRPr="00C043EA" w:rsidRDefault="00A57540" w:rsidP="00A57540">
      <w:pPr>
        <w:rPr>
          <w:rFonts w:cs="Times New Roman"/>
        </w:rPr>
      </w:pPr>
      <w:r w:rsidRPr="00C043EA">
        <w:rPr>
          <w:rFonts w:cs="Times New Roman"/>
        </w:rPr>
        <w:t>All trees within the mycorrhizal tre</w:t>
      </w:r>
      <w:r>
        <w:rPr>
          <w:rFonts w:cs="Times New Roman"/>
        </w:rPr>
        <w:t xml:space="preserve">atment were inoculated with both </w:t>
      </w:r>
      <w:proofErr w:type="spellStart"/>
      <w:r w:rsidRPr="00C043EA">
        <w:rPr>
          <w:rFonts w:cs="Times New Roman"/>
          <w:i/>
        </w:rPr>
        <w:t>Funneliformis</w:t>
      </w:r>
      <w:proofErr w:type="spellEnd"/>
      <w:r w:rsidRPr="00C043EA">
        <w:rPr>
          <w:rFonts w:cs="Times New Roman"/>
          <w:i/>
        </w:rPr>
        <w:t xml:space="preserve"> </w:t>
      </w:r>
      <w:proofErr w:type="spellStart"/>
      <w:r w:rsidRPr="00C043EA">
        <w:rPr>
          <w:rFonts w:cs="Times New Roman"/>
          <w:i/>
        </w:rPr>
        <w:t>mossea</w:t>
      </w:r>
      <w:r w:rsidR="004930C5">
        <w:rPr>
          <w:rFonts w:cs="Times New Roman"/>
          <w:i/>
        </w:rPr>
        <w:t>e</w:t>
      </w:r>
      <w:proofErr w:type="spellEnd"/>
      <w:r w:rsidRPr="00C043EA">
        <w:rPr>
          <w:rFonts w:cs="Times New Roman"/>
          <w:i/>
        </w:rPr>
        <w:t xml:space="preserve"> </w:t>
      </w:r>
      <w:r w:rsidRPr="00C043EA">
        <w:rPr>
          <w:rFonts w:cs="Times New Roman"/>
        </w:rPr>
        <w:t xml:space="preserve">and </w:t>
      </w:r>
      <w:proofErr w:type="spellStart"/>
      <w:r w:rsidR="00CC66C9">
        <w:rPr>
          <w:rFonts w:cs="Times New Roman"/>
          <w:i/>
        </w:rPr>
        <w:t>Rhizophagus</w:t>
      </w:r>
      <w:proofErr w:type="spellEnd"/>
      <w:r w:rsidR="00CC66C9">
        <w:rPr>
          <w:rFonts w:cs="Times New Roman"/>
          <w:i/>
        </w:rPr>
        <w:t xml:space="preserve"> </w:t>
      </w:r>
      <w:proofErr w:type="spellStart"/>
      <w:r w:rsidR="00CC66C9">
        <w:rPr>
          <w:rFonts w:cs="Times New Roman"/>
          <w:i/>
        </w:rPr>
        <w:t>irregularis</w:t>
      </w:r>
      <w:proofErr w:type="spellEnd"/>
      <w:r w:rsidRPr="00C043EA">
        <w:rPr>
          <w:rFonts w:cs="Times New Roman"/>
        </w:rPr>
        <w:t xml:space="preserve"> (</w:t>
      </w:r>
      <w:proofErr w:type="spellStart"/>
      <w:r w:rsidRPr="00C043EA">
        <w:rPr>
          <w:rFonts w:cs="Times New Roman"/>
        </w:rPr>
        <w:t>Plantworks</w:t>
      </w:r>
      <w:proofErr w:type="spellEnd"/>
      <w:r w:rsidRPr="00C043EA">
        <w:rPr>
          <w:rFonts w:cs="Times New Roman"/>
        </w:rPr>
        <w:t xml:space="preserve"> Ltd, UK).  According to supplier instruction, 400</w:t>
      </w:r>
      <w:r>
        <w:rPr>
          <w:rFonts w:cs="Times New Roman"/>
        </w:rPr>
        <w:t xml:space="preserve"> </w:t>
      </w:r>
      <w:r w:rsidRPr="00C043EA">
        <w:rPr>
          <w:rFonts w:cs="Times New Roman"/>
        </w:rPr>
        <w:t>ml of inoculum powder (comprising of fungal spores and colonised root fragments) was mixed with 9</w:t>
      </w:r>
      <w:r>
        <w:rPr>
          <w:rFonts w:cs="Times New Roman"/>
        </w:rPr>
        <w:t xml:space="preserve"> </w:t>
      </w:r>
      <w:r w:rsidRPr="00C043EA">
        <w:rPr>
          <w:rFonts w:cs="Times New Roman"/>
        </w:rPr>
        <w:t>g polyacrylamide gel powder and 1L d. H</w:t>
      </w:r>
      <w:r w:rsidRPr="00C043EA">
        <w:rPr>
          <w:rFonts w:cs="Times New Roman"/>
          <w:vertAlign w:val="subscript"/>
        </w:rPr>
        <w:t>2</w:t>
      </w:r>
      <w:r w:rsidRPr="00C043EA">
        <w:rPr>
          <w:rFonts w:cs="Times New Roman"/>
        </w:rPr>
        <w:t xml:space="preserve">0 to form a thick paste applied to bare tree roots immediately before planting. </w:t>
      </w:r>
      <w:r w:rsidR="004930C5">
        <w:rPr>
          <w:rFonts w:cs="Times New Roman"/>
        </w:rPr>
        <w:t xml:space="preserve">Trees which were not inoculated with AMF </w:t>
      </w:r>
      <w:r w:rsidRPr="00C043EA">
        <w:rPr>
          <w:rFonts w:cs="Times New Roman"/>
        </w:rPr>
        <w:t>were applied with gel and d.H</w:t>
      </w:r>
      <w:r w:rsidRPr="00C043EA">
        <w:rPr>
          <w:rFonts w:cs="Times New Roman"/>
          <w:vertAlign w:val="subscript"/>
        </w:rPr>
        <w:t>2</w:t>
      </w:r>
      <w:r w:rsidRPr="00C043EA">
        <w:rPr>
          <w:rFonts w:cs="Times New Roman"/>
        </w:rPr>
        <w:t>0 only. To prevent contamination tree root systems were thoroughly washed and all fine root</w:t>
      </w:r>
      <w:r w:rsidR="00DE54FD">
        <w:rPr>
          <w:rFonts w:cs="Times New Roman"/>
        </w:rPr>
        <w:t xml:space="preserve"> was removed prior to planting.</w:t>
      </w:r>
    </w:p>
    <w:p w:rsidR="00A57540" w:rsidRPr="00C043EA" w:rsidRDefault="00A57540" w:rsidP="00A57540">
      <w:pPr>
        <w:pStyle w:val="Heading4"/>
        <w:numPr>
          <w:ilvl w:val="3"/>
          <w:numId w:val="1"/>
        </w:numPr>
      </w:pPr>
      <w:r w:rsidRPr="00C043EA">
        <w:t>Nutrient treatment</w:t>
      </w:r>
    </w:p>
    <w:p w:rsidR="00A57540" w:rsidRPr="00C043EA" w:rsidRDefault="00A57540" w:rsidP="00A57540">
      <w:pPr>
        <w:rPr>
          <w:rFonts w:cs="Times New Roman"/>
        </w:rPr>
      </w:pPr>
      <w:r w:rsidRPr="00C043EA">
        <w:rPr>
          <w:rFonts w:cs="Times New Roman"/>
        </w:rPr>
        <w:t xml:space="preserve">Nutrient treatments were based on the DEFRA recommendations for a newly planted cider apple orchard (DEFRA, 2010).  Trees in the ‘High’ nutrient treatment </w:t>
      </w:r>
      <w:r w:rsidRPr="00D653CB">
        <w:rPr>
          <w:rFonts w:cs="Times New Roman"/>
        </w:rPr>
        <w:t xml:space="preserve">received the recommended amount of N, P, K, </w:t>
      </w:r>
      <w:proofErr w:type="gramStart"/>
      <w:r w:rsidRPr="00D653CB">
        <w:rPr>
          <w:rFonts w:cs="Times New Roman"/>
        </w:rPr>
        <w:t>Mg</w:t>
      </w:r>
      <w:proofErr w:type="gramEnd"/>
      <w:r w:rsidRPr="00D653CB">
        <w:rPr>
          <w:rFonts w:cs="Times New Roman"/>
        </w:rPr>
        <w:t xml:space="preserve"> whilst ‘Low’ nutrient trees received 1/10</w:t>
      </w:r>
      <w:r w:rsidRPr="00D653CB">
        <w:rPr>
          <w:rFonts w:cs="Times New Roman"/>
          <w:vertAlign w:val="superscript"/>
        </w:rPr>
        <w:t>th</w:t>
      </w:r>
      <w:r w:rsidRPr="00D653CB">
        <w:rPr>
          <w:rFonts w:cs="Times New Roman"/>
        </w:rPr>
        <w:t xml:space="preserve"> of this (Appendix 1A).  All</w:t>
      </w:r>
      <w:r w:rsidRPr="00C043EA">
        <w:rPr>
          <w:rFonts w:cs="Times New Roman"/>
        </w:rPr>
        <w:t xml:space="preserve"> fertilisers were applied in solution and to correspond with the growing season, nutrient applications were applied fortnightly over a 20 week period beginning from bud burst. </w:t>
      </w:r>
      <w:r>
        <w:rPr>
          <w:rFonts w:cs="Times New Roman"/>
        </w:rPr>
        <w:t>Supplementary water was provided equally to all trees to prevent water stres</w:t>
      </w:r>
      <w:r w:rsidR="00DE54FD">
        <w:rPr>
          <w:rFonts w:cs="Times New Roman"/>
        </w:rPr>
        <w:t>s over periods of low rainfall.</w:t>
      </w:r>
    </w:p>
    <w:p w:rsidR="00A57540" w:rsidRPr="00C043EA" w:rsidRDefault="00A57540" w:rsidP="00A57540">
      <w:pPr>
        <w:pStyle w:val="Heading4"/>
        <w:numPr>
          <w:ilvl w:val="3"/>
          <w:numId w:val="1"/>
        </w:numPr>
      </w:pPr>
      <w:r w:rsidRPr="00C043EA">
        <w:t>Mycorrhizal colonisation</w:t>
      </w:r>
    </w:p>
    <w:p w:rsidR="00A57540" w:rsidRPr="00C043EA" w:rsidRDefault="00A57540" w:rsidP="00A57540">
      <w:pPr>
        <w:rPr>
          <w:rFonts w:cs="Times New Roman"/>
        </w:rPr>
      </w:pPr>
      <w:r w:rsidRPr="00C043EA">
        <w:rPr>
          <w:rFonts w:cs="Times New Roman"/>
        </w:rPr>
        <w:t xml:space="preserve"> Root sampling of all trees was conducted in September 2015 (towards the end of the final growing season but prior to leaf drop) to quantify mycorrhizal colonisation with three soils cores removed per tree </w:t>
      </w:r>
      <w:r w:rsidRPr="00C043EA">
        <w:rPr>
          <w:rFonts w:cs="Times New Roman"/>
          <w:color w:val="000000" w:themeColor="text1"/>
        </w:rPr>
        <w:t>using an 4.5</w:t>
      </w:r>
      <w:r>
        <w:rPr>
          <w:rFonts w:cs="Times New Roman"/>
          <w:color w:val="000000" w:themeColor="text1"/>
        </w:rPr>
        <w:t xml:space="preserve"> </w:t>
      </w:r>
      <w:r w:rsidRPr="00C043EA">
        <w:rPr>
          <w:rFonts w:cs="Times New Roman"/>
          <w:color w:val="000000" w:themeColor="text1"/>
        </w:rPr>
        <w:t>cm diameter corer to a depth of 20.5</w:t>
      </w:r>
      <w:r>
        <w:rPr>
          <w:rFonts w:cs="Times New Roman"/>
          <w:color w:val="000000" w:themeColor="text1"/>
        </w:rPr>
        <w:t xml:space="preserve"> </w:t>
      </w:r>
      <w:r w:rsidRPr="00C043EA">
        <w:rPr>
          <w:rFonts w:cs="Times New Roman"/>
          <w:color w:val="000000" w:themeColor="text1"/>
        </w:rPr>
        <w:t xml:space="preserve">cm. Roots </w:t>
      </w:r>
      <w:r w:rsidRPr="00C043EA">
        <w:rPr>
          <w:rFonts w:cs="Times New Roman"/>
        </w:rPr>
        <w:t>were carefully removed from each core and washed with d.H</w:t>
      </w:r>
      <w:r w:rsidRPr="00C043EA">
        <w:rPr>
          <w:rFonts w:cs="Times New Roman"/>
          <w:vertAlign w:val="subscript"/>
        </w:rPr>
        <w:t>2</w:t>
      </w:r>
      <w:r w:rsidRPr="00C043EA">
        <w:rPr>
          <w:rFonts w:cs="Times New Roman"/>
        </w:rPr>
        <w:t xml:space="preserve">0 before fine root (&lt;1mm dimeter) was pooled per </w:t>
      </w:r>
      <w:r w:rsidRPr="00C043EA">
        <w:rPr>
          <w:rFonts w:cs="Times New Roman"/>
        </w:rPr>
        <w:lastRenderedPageBreak/>
        <w:t>tree and cut into sections of approximately 1</w:t>
      </w:r>
      <w:r>
        <w:rPr>
          <w:rFonts w:cs="Times New Roman"/>
        </w:rPr>
        <w:t xml:space="preserve"> </w:t>
      </w:r>
      <w:r w:rsidRPr="00C043EA">
        <w:rPr>
          <w:rFonts w:cs="Times New Roman"/>
        </w:rPr>
        <w:t xml:space="preserve">cm. To visualise colonisation of roots by mycorrhiza a staining technique was used according to </w:t>
      </w:r>
      <w:r w:rsidRPr="00C043EA">
        <w:rPr>
          <w:rFonts w:cs="Times New Roman"/>
        </w:rPr>
        <w:fldChar w:fldCharType="begin"/>
      </w:r>
      <w:r w:rsidR="00954B3D">
        <w:rPr>
          <w:rFonts w:cs="Times New Roman"/>
        </w:rPr>
        <w:instrText xml:space="preserve"> ADDIN ZOTERO_ITEM CSL_CITATION {"citationID":"1c0rcb6si8","properties":{"formattedCitation":"(Brundrett, M.C. &amp; Bougher, N., 1996)","plainCitation":"(Brundrett, M.C. &amp; Bougher, N., 1996)"},"citationItems":[{"id":215,"uris":["http://zotero.org/users/local/d1gJDEOw/items/T2FMNU3X"],"uri":["http://zotero.org/users/local/d1gJDEOw/items/T2FMNU3X"],"itemData":{"id":215,"type":"article-journal","title":"Working with Mycorrhizas in Forestry and Agriculture","container-title":"Austrailian Centre for International Agricultural Research","author":[{"literal":"Brundrett, M.C."},{"literal":"Bougher, N."}],"issued":{"date-parts":[["1996"]]}}}],"schema":"https://github.com/citation-style-language/schema/raw/master/csl-citation.json"} </w:instrText>
      </w:r>
      <w:r w:rsidRPr="00C043EA">
        <w:rPr>
          <w:rFonts w:cs="Times New Roman"/>
        </w:rPr>
        <w:fldChar w:fldCharType="separate"/>
      </w:r>
      <w:r w:rsidR="00954B3D" w:rsidRPr="00954B3D">
        <w:rPr>
          <w:rFonts w:cs="Times New Roman"/>
        </w:rPr>
        <w:t>(</w:t>
      </w:r>
      <w:proofErr w:type="spellStart"/>
      <w:r w:rsidR="00954B3D" w:rsidRPr="00954B3D">
        <w:rPr>
          <w:rFonts w:cs="Times New Roman"/>
        </w:rPr>
        <w:t>Brundrett</w:t>
      </w:r>
      <w:proofErr w:type="spellEnd"/>
      <w:r w:rsidR="00954B3D" w:rsidRPr="00954B3D">
        <w:rPr>
          <w:rFonts w:cs="Times New Roman"/>
        </w:rPr>
        <w:t xml:space="preserve">, M.C. &amp; </w:t>
      </w:r>
      <w:proofErr w:type="spellStart"/>
      <w:r w:rsidR="00954B3D" w:rsidRPr="00954B3D">
        <w:rPr>
          <w:rFonts w:cs="Times New Roman"/>
        </w:rPr>
        <w:t>Bougher</w:t>
      </w:r>
      <w:proofErr w:type="spellEnd"/>
      <w:r w:rsidR="00954B3D" w:rsidRPr="00954B3D">
        <w:rPr>
          <w:rFonts w:cs="Times New Roman"/>
        </w:rPr>
        <w:t>, N., 1996)</w:t>
      </w:r>
      <w:r w:rsidRPr="00C043EA">
        <w:rPr>
          <w:rFonts w:cs="Times New Roman"/>
        </w:rPr>
        <w:fldChar w:fldCharType="end"/>
      </w:r>
      <w:r w:rsidRPr="00C043EA">
        <w:rPr>
          <w:rFonts w:cs="Times New Roman"/>
        </w:rPr>
        <w:t>. For each tree 15</w:t>
      </w:r>
      <w:r>
        <w:rPr>
          <w:rFonts w:cs="Times New Roman"/>
        </w:rPr>
        <w:t xml:space="preserve"> </w:t>
      </w:r>
      <w:r w:rsidRPr="00C043EA">
        <w:rPr>
          <w:rFonts w:cs="Times New Roman"/>
        </w:rPr>
        <w:t>cm of root was cleared in 10% (w/v) KOH at 80</w:t>
      </w:r>
      <w:r>
        <w:rPr>
          <w:rFonts w:cs="Times New Roman"/>
        </w:rPr>
        <w:t>°</w:t>
      </w:r>
      <w:r w:rsidRPr="00C043EA">
        <w:rPr>
          <w:rFonts w:cs="Times New Roman"/>
        </w:rPr>
        <w:t>C for 4.5</w:t>
      </w:r>
      <w:r>
        <w:rPr>
          <w:rFonts w:cs="Times New Roman"/>
        </w:rPr>
        <w:t xml:space="preserve"> </w:t>
      </w:r>
      <w:r w:rsidRPr="00C043EA">
        <w:rPr>
          <w:rFonts w:cs="Times New Roman"/>
        </w:rPr>
        <w:t>hours, rinsed in d.H</w:t>
      </w:r>
      <w:r w:rsidRPr="00C043EA">
        <w:rPr>
          <w:rFonts w:cs="Times New Roman"/>
          <w:vertAlign w:val="subscript"/>
        </w:rPr>
        <w:t>2</w:t>
      </w:r>
      <w:r w:rsidRPr="00C043EA">
        <w:rPr>
          <w:rFonts w:cs="Times New Roman"/>
        </w:rPr>
        <w:t xml:space="preserve">0 and acidified with 10% (v/v) </w:t>
      </w:r>
      <w:proofErr w:type="spellStart"/>
      <w:r w:rsidRPr="00C043EA">
        <w:rPr>
          <w:rFonts w:cs="Times New Roman"/>
        </w:rPr>
        <w:t>HCl</w:t>
      </w:r>
      <w:proofErr w:type="spellEnd"/>
      <w:r w:rsidRPr="00C043EA">
        <w:rPr>
          <w:rFonts w:cs="Times New Roman"/>
        </w:rPr>
        <w:t xml:space="preserve"> for 10 minutes. Roots were then stained in Trypan Blue for 20 minutes before de-staining in 50% (v/v) glycerol for 30 minutes. Mycorrhizal colonisation was quantified using a magnified intersection method according to </w:t>
      </w:r>
      <w:r w:rsidRPr="00C043EA">
        <w:rPr>
          <w:rFonts w:cs="Times New Roman"/>
        </w:rPr>
        <w:fldChar w:fldCharType="begin"/>
      </w:r>
      <w:r w:rsidR="00954B3D">
        <w:rPr>
          <w:rFonts w:cs="Times New Roman"/>
        </w:rPr>
        <w:instrText xml:space="preserve"> ADDIN ZOTERO_ITEM CSL_CITATION {"citationID":"39gso7nqq","properties":{"formattedCitation":"{\\rtf (Mcgonigle {\\i{}et al.}, 1990)}","plainCitation":"(Mcgonigle et al., 1990)"},"citationItems":[{"id":171,"uris":["http://zotero.org/users/local/d1gJDEOw/items/JJRPATJG"],"uri":["http://zotero.org/users/local/d1gJDEOw/items/JJRPATJG"],"itemData":{"id":171,"type":"article-journal","title":"A New Method Which Gives an Objective-Measure of Colonization of Roots","container-title":"New Phytologist","page":"495-501","volume":"115","issue":"3","source":"Web of Science","DOI":"10.1111/j.1469-8137.1990.tb00476.x","ISSN":"0028-646X","note":"WOS:A1990DR97900011","journalAbbreviation":"New Phytol.","language":"English","author":[{"family":"Mcgonigle","given":"Tp"},{"family":"Miller","given":"Mh"},{"family":"Evans","given":"Dg"},{"family":"Fairchild","given":"Gl"},{"family":"Swan","given":"Ja"}],"issued":{"date-parts":[["1990",7]]}}}],"schema":"https://github.com/citation-style-language/schema/raw/master/csl-citation.json"} </w:instrText>
      </w:r>
      <w:r w:rsidRPr="00C043EA">
        <w:rPr>
          <w:rFonts w:cs="Times New Roman"/>
        </w:rPr>
        <w:fldChar w:fldCharType="separate"/>
      </w:r>
      <w:r w:rsidR="00954B3D" w:rsidRPr="00954B3D">
        <w:rPr>
          <w:rFonts w:cs="Times New Roman"/>
          <w:szCs w:val="24"/>
        </w:rPr>
        <w:t>(</w:t>
      </w:r>
      <w:proofErr w:type="spellStart"/>
      <w:r w:rsidR="00954B3D" w:rsidRPr="00954B3D">
        <w:rPr>
          <w:rFonts w:cs="Times New Roman"/>
          <w:szCs w:val="24"/>
        </w:rPr>
        <w:t>Mcgonigle</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1990)</w:t>
      </w:r>
      <w:r w:rsidRPr="00C043EA">
        <w:rPr>
          <w:rFonts w:cs="Times New Roman"/>
        </w:rPr>
        <w:fldChar w:fldCharType="end"/>
      </w:r>
      <w:r w:rsidRPr="00C043EA">
        <w:rPr>
          <w:rFonts w:cs="Times New Roman"/>
        </w:rPr>
        <w:t>. For this 15 x 1</w:t>
      </w:r>
      <w:r>
        <w:rPr>
          <w:rFonts w:cs="Times New Roman"/>
        </w:rPr>
        <w:t xml:space="preserve"> </w:t>
      </w:r>
      <w:r w:rsidRPr="00C043EA">
        <w:rPr>
          <w:rFonts w:cs="Times New Roman"/>
        </w:rPr>
        <w:t xml:space="preserve">cm root sections were laid parallel on a slide and a microscope with an eye piece crosshair is used to scan across the slide and at each intersection of the crosshair with a root the presence of hyphae, </w:t>
      </w:r>
      <w:proofErr w:type="spellStart"/>
      <w:r w:rsidRPr="00C043EA">
        <w:rPr>
          <w:rFonts w:cs="Times New Roman"/>
        </w:rPr>
        <w:t>arbuscules</w:t>
      </w:r>
      <w:proofErr w:type="spellEnd"/>
      <w:r w:rsidRPr="00C043EA">
        <w:rPr>
          <w:rFonts w:cs="Times New Roman"/>
        </w:rPr>
        <w:t>, vesicles or absence of fungal structures is recorded. A total of 100 observations are made per slide and allowing proportion root colonisation by mycorrhiza to be estimated.</w:t>
      </w:r>
    </w:p>
    <w:p w:rsidR="00A57540" w:rsidRPr="00C043EA" w:rsidRDefault="00A57540" w:rsidP="00A57540">
      <w:pPr>
        <w:pStyle w:val="Heading4"/>
        <w:numPr>
          <w:ilvl w:val="3"/>
          <w:numId w:val="1"/>
        </w:numPr>
      </w:pPr>
      <w:r w:rsidRPr="00C043EA">
        <w:t>Tree nutrient status</w:t>
      </w:r>
    </w:p>
    <w:p w:rsidR="00A57540" w:rsidRDefault="00A57540" w:rsidP="00A57540">
      <w:pPr>
        <w:rPr>
          <w:rFonts w:cs="Times New Roman"/>
        </w:rPr>
      </w:pPr>
      <w:r w:rsidRPr="00C043EA">
        <w:rPr>
          <w:rFonts w:cs="Times New Roman"/>
        </w:rPr>
        <w:t>To quantify tree nutrient status five newly developed leaves were randomly collected per tree during July of each experimental year (2013, 2014 and 2015). Leaves were oven dried (80°C, 24hrs) before being homogenised using an analytical grinder. To quantify total phosphorus</w:t>
      </w:r>
      <w:r w:rsidR="002E0B83">
        <w:rPr>
          <w:rFonts w:cs="Times New Roman"/>
        </w:rPr>
        <w:t>,</w:t>
      </w:r>
      <w:r w:rsidRPr="00C043EA">
        <w:rPr>
          <w:rFonts w:cs="Times New Roman"/>
        </w:rPr>
        <w:t xml:space="preserve"> a 25</w:t>
      </w:r>
      <w:r>
        <w:rPr>
          <w:rFonts w:cs="Times New Roman"/>
        </w:rPr>
        <w:t xml:space="preserve"> </w:t>
      </w:r>
      <w:r w:rsidRPr="00C043EA">
        <w:rPr>
          <w:rFonts w:cs="Times New Roman"/>
        </w:rPr>
        <w:t xml:space="preserve">mg </w:t>
      </w:r>
      <w:r w:rsidR="002E0B83">
        <w:rPr>
          <w:rFonts w:cs="Times New Roman"/>
        </w:rPr>
        <w:t xml:space="preserve">subsample </w:t>
      </w:r>
      <w:r w:rsidRPr="00C043EA">
        <w:rPr>
          <w:rFonts w:cs="Times New Roman"/>
        </w:rPr>
        <w:t>was digested in sulphuric acid and hydrogen peroxide according to Allen (1974).  After dilution (N=1:10 d.H20) Murphy-Riley colorimetric P-determination (A</w:t>
      </w:r>
      <w:r w:rsidR="002E0B83">
        <w:rPr>
          <w:rFonts w:cs="Times New Roman"/>
        </w:rPr>
        <w:t xml:space="preserve">llen, 1989) was performed at 882 </w:t>
      </w:r>
      <w:r w:rsidRPr="00C043EA">
        <w:rPr>
          <w:rFonts w:cs="Times New Roman"/>
        </w:rPr>
        <w:t>nm using a Cecil Ce 1020 spectrophotometer (Cecil Instruments Ltd, Cambridge, UK</w:t>
      </w:r>
      <w:r w:rsidRPr="00D653CB">
        <w:rPr>
          <w:rFonts w:cs="Times New Roman"/>
        </w:rPr>
        <w:t>) (</w:t>
      </w:r>
      <w:r w:rsidR="00D653CB" w:rsidRPr="00D653CB">
        <w:rPr>
          <w:rFonts w:cs="Times New Roman"/>
        </w:rPr>
        <w:t>Appendix A.2</w:t>
      </w:r>
      <w:r w:rsidRPr="00D653CB">
        <w:rPr>
          <w:rFonts w:cs="Times New Roman"/>
        </w:rPr>
        <w:t>).</w:t>
      </w:r>
      <w:r w:rsidRPr="00C043EA">
        <w:rPr>
          <w:rFonts w:cs="Times New Roman"/>
        </w:rPr>
        <w:t xml:space="preserve">  Total nitrogen </w:t>
      </w:r>
      <w:r>
        <w:rPr>
          <w:rFonts w:cs="Times New Roman"/>
        </w:rPr>
        <w:t xml:space="preserve">and carbon </w:t>
      </w:r>
      <w:r w:rsidRPr="00C043EA">
        <w:rPr>
          <w:rFonts w:cs="Times New Roman"/>
        </w:rPr>
        <w:t>was measured for homogenised leaf tissue subsamples of approximately 5mg per tree using an elementary analyser (</w:t>
      </w:r>
      <w:proofErr w:type="spellStart"/>
      <w:r w:rsidRPr="00C043EA">
        <w:rPr>
          <w:rFonts w:cs="Times New Roman"/>
        </w:rPr>
        <w:t>VarioEl</w:t>
      </w:r>
      <w:proofErr w:type="spellEnd"/>
      <w:r w:rsidRPr="00C043EA">
        <w:rPr>
          <w:rFonts w:cs="Times New Roman"/>
        </w:rPr>
        <w:t xml:space="preserve"> Cube; </w:t>
      </w:r>
      <w:proofErr w:type="spellStart"/>
      <w:r w:rsidRPr="00C043EA">
        <w:rPr>
          <w:rFonts w:cs="Times New Roman"/>
        </w:rPr>
        <w:t>Isoprime</w:t>
      </w:r>
      <w:proofErr w:type="spellEnd"/>
      <w:r w:rsidRPr="00C043EA">
        <w:rPr>
          <w:rFonts w:cs="Times New Roman"/>
        </w:rPr>
        <w:t>, Hanau, Germany</w:t>
      </w:r>
      <w:r w:rsidRPr="00B2264B">
        <w:rPr>
          <w:rFonts w:cs="Times New Roman"/>
        </w:rPr>
        <w:t xml:space="preserve">). </w:t>
      </w:r>
      <w:r>
        <w:rPr>
          <w:rFonts w:cs="Times New Roman"/>
        </w:rPr>
        <w:t xml:space="preserve"> Leaf tissue c</w:t>
      </w:r>
      <w:r w:rsidRPr="00B2264B">
        <w:rPr>
          <w:rFonts w:cs="Times New Roman"/>
        </w:rPr>
        <w:t xml:space="preserve">arbon and  C:N ratios were </w:t>
      </w:r>
      <w:r>
        <w:rPr>
          <w:rFonts w:cs="Times New Roman"/>
        </w:rPr>
        <w:t>measured as both</w:t>
      </w:r>
      <w:r w:rsidRPr="00B2264B">
        <w:rPr>
          <w:rFonts w:cs="Times New Roman"/>
        </w:rPr>
        <w:t xml:space="preserve"> are known to be </w:t>
      </w:r>
      <w:r>
        <w:rPr>
          <w:rFonts w:cs="Times New Roman"/>
        </w:rPr>
        <w:t>useful</w:t>
      </w:r>
      <w:r w:rsidRPr="00B2264B">
        <w:rPr>
          <w:rFonts w:cs="Times New Roman"/>
        </w:rPr>
        <w:t xml:space="preserve"> indicator</w:t>
      </w:r>
      <w:r>
        <w:rPr>
          <w:rFonts w:cs="Times New Roman"/>
        </w:rPr>
        <w:t>s</w:t>
      </w:r>
      <w:r w:rsidRPr="00B2264B">
        <w:rPr>
          <w:rFonts w:cs="Times New Roman"/>
        </w:rPr>
        <w:t xml:space="preserve"> of plant nutrition and investment into defence </w:t>
      </w:r>
      <w:r w:rsidRPr="00B2264B">
        <w:rPr>
          <w:rFonts w:cs="Times New Roman"/>
        </w:rPr>
        <w:fldChar w:fldCharType="begin"/>
      </w:r>
      <w:r w:rsidR="00954B3D">
        <w:rPr>
          <w:rFonts w:cs="Times New Roman"/>
        </w:rPr>
        <w:instrText xml:space="preserve"> ADDIN ZOTERO_ITEM CSL_CITATION {"citationID":"1pnpdliebu","properties":{"formattedCitation":"{\\rtf (Royer {\\i{}et al.}, 2013)}","plainCitation":"(Royer et al., 2013)"},"citationItems":[{"id":222,"uris":["http://zotero.org/users/local/d1gJDEOw/items/NDHZR9XJ"],"uri":["http://zotero.org/users/local/d1gJDEOw/items/NDHZR9XJ"],"itemData":{"id":222,"type":"article-journal","title":"Is the C:N ratio a reliable indicator of C allocation to primary and defence-related metabolisms in tomato?","container-title":"Phytochemistry","page":"25-33","volume":"88","source":"ScienceDirect","abstract":"Plant growth and defence are both fuelled by compounds synthesized from a common pool of carbon and nitrogen, implying the existence of a competition for carbon and nitrogen allocation to both metabolisms.\n\nThe ratio of carbon to nitrogen (C:N) of an organ is often regarded as a convenient indicator of growth and quality. The purpose of this work was to assess whether or not it is possible to extend its use to characterize the trade-off between growth and defence processes. Therefore, we calculated C:N ratios in the pool of resources and in the total plant, and correlated them to the concentrations of diverse compounds of the primary and secondary metabolisms in young tomatoes.\n\nPlants were grown hydroponically at N availabilities either limiting (0.1 mM) or not (7 mM) for growth in two glasshouses maintained either under ambient or enriched (700 vpm) air CO2. These conditions yielded a large array of C:N in fully developed leaves, developing leaves, stem and roots, sampled 27, 35 and 47 days after sowing. Growth parameters and tissue concentrations of primary metabolites (carbohydrates, starch), defence-related compounds (polyphenols, glycoalkaloids), lignin, nitrate, ammonium, C and N were analyzed. Net CO2 exchange rate was also measured at the last sampling date.\n\nLow N limited plant growth more than photosynthesis. The C:N in the resource pool was far higher than the total C:N. Starch was the most responsive compound, attaining high concentration under high C:N, whereas lignin remained stable. Chlorogenic acid, rutin, kaempferol-rutinoside and tomatine concentrations correlated positively to C:N. The same patterns were observed for most organs and molecules, except soluble carbohydrates in fully developed leaves whose concentration was not influenced. Among the organs, developing leaves showed the highest concentrations of secondary compounds and were the most responsive to C:N variations. Neither the biochemical nature of the compounds (C-based or N- containing metabolites) nor the calculation mode of C:N, influenced the patterns observed.\n\nWithin the range of N availabilities considered (up to N limitation but not deficiency), the C:N can be considered as a good indicator of the secondary compounds concentrations in organs, especially for those involved in the chemical defence.","DOI":"10.1016/j.phytochem.2012.12.003","ISSN":"0031-9422","shortTitle":"Is the C","journalAbbreviation":"Phytochemistry","author":[{"family":"Royer","given":"Mathilde"},{"family":"Larbat","given":"Romain"},{"family":"Le Bot","given":"Jacques"},{"family":"Adamowicz","given":"Stéphane"},{"family":"Robin","given":"Christophe"}],"issued":{"date-parts":[["2013",4]]}}}],"schema":"https://github.com/citation-style-language/schema/raw/master/csl-citation.json"} </w:instrText>
      </w:r>
      <w:r w:rsidRPr="00B2264B">
        <w:rPr>
          <w:rFonts w:cs="Times New Roman"/>
        </w:rPr>
        <w:fldChar w:fldCharType="separate"/>
      </w:r>
      <w:r w:rsidR="00954B3D" w:rsidRPr="00954B3D">
        <w:rPr>
          <w:rFonts w:cs="Times New Roman"/>
          <w:szCs w:val="24"/>
        </w:rPr>
        <w:t xml:space="preserve">(Royer </w:t>
      </w:r>
      <w:r w:rsidR="00954B3D" w:rsidRPr="00954B3D">
        <w:rPr>
          <w:rFonts w:cs="Times New Roman"/>
          <w:i/>
          <w:iCs/>
          <w:szCs w:val="24"/>
        </w:rPr>
        <w:t>et al.</w:t>
      </w:r>
      <w:r w:rsidR="00954B3D" w:rsidRPr="00954B3D">
        <w:rPr>
          <w:rFonts w:cs="Times New Roman"/>
          <w:szCs w:val="24"/>
        </w:rPr>
        <w:t>, 2013)</w:t>
      </w:r>
      <w:r w:rsidRPr="00B2264B">
        <w:rPr>
          <w:rFonts w:cs="Times New Roman"/>
        </w:rPr>
        <w:fldChar w:fldCharType="end"/>
      </w:r>
      <w:r w:rsidRPr="00B2264B">
        <w:rPr>
          <w:rFonts w:cs="Times New Roman"/>
        </w:rPr>
        <w:t>.</w:t>
      </w:r>
    </w:p>
    <w:p w:rsidR="00A57540" w:rsidRPr="00C043EA" w:rsidRDefault="00A57540" w:rsidP="0057058E">
      <w:pPr>
        <w:pStyle w:val="Heading4"/>
        <w:numPr>
          <w:ilvl w:val="3"/>
          <w:numId w:val="1"/>
        </w:numPr>
      </w:pPr>
      <w:r>
        <w:t>Leaf chlorophyll content</w:t>
      </w:r>
    </w:p>
    <w:p w:rsidR="00A57540" w:rsidRDefault="00A57540" w:rsidP="00A57540">
      <w:pPr>
        <w:rPr>
          <w:rFonts w:cs="Times New Roman"/>
        </w:rPr>
      </w:pPr>
      <w:r w:rsidRPr="00C043EA">
        <w:rPr>
          <w:rFonts w:cs="Times New Roman"/>
        </w:rPr>
        <w:t>As a physiological indicator of health, leaf chlorophyll was measured monthly over the growing season (April – September) of each year (2013, 2014 and 2015). At each time point a SPAD-502 chlorophyll meter (Minolta Camera Ltd, Japan) was used to quantify mean chlorophyll content per tree using measurements taken</w:t>
      </w:r>
      <w:r w:rsidR="00861E0B">
        <w:rPr>
          <w:rFonts w:cs="Times New Roman"/>
        </w:rPr>
        <w:t xml:space="preserve"> from 5 young leaves per tree. </w:t>
      </w:r>
      <w:r>
        <w:rPr>
          <w:rFonts w:cs="Times New Roman"/>
        </w:rPr>
        <w:t>To calculate actual chlorophyll (mg g</w:t>
      </w:r>
      <w:r w:rsidRPr="0034620C">
        <w:rPr>
          <w:rFonts w:cs="Times New Roman"/>
          <w:vertAlign w:val="superscript"/>
        </w:rPr>
        <w:t>-1</w:t>
      </w:r>
      <w:r>
        <w:rPr>
          <w:rFonts w:cs="Times New Roman"/>
        </w:rPr>
        <w:t xml:space="preserve"> dry leaf tissue) values for corresponding SPAD readings, acetone extraction and quantification of chlorophyll was used according to (Cameron et al. 2009). </w:t>
      </w:r>
    </w:p>
    <w:p w:rsidR="00A57540" w:rsidRPr="000F2F83" w:rsidRDefault="00A57540" w:rsidP="00A57540">
      <w:pPr>
        <w:rPr>
          <w:rFonts w:cs="Times New Roman"/>
        </w:rPr>
      </w:pPr>
      <w:r>
        <w:rPr>
          <w:rFonts w:cs="Times New Roman"/>
        </w:rPr>
        <w:t>Twenty chlorophyll readings were recorded per leaf for six apple tree leaves. Leaves</w:t>
      </w:r>
      <w:r w:rsidRPr="00EB338B">
        <w:rPr>
          <w:rFonts w:cs="Times New Roman"/>
        </w:rPr>
        <w:t xml:space="preserve"> </w:t>
      </w:r>
      <w:r>
        <w:rPr>
          <w:rFonts w:cs="Times New Roman"/>
        </w:rPr>
        <w:t xml:space="preserve">were harvested and kept on ice in the dark prior to chlorophyll extraction which was performed within 1hr of picking to prevent degradation. Leaves were cut into 5mm squares and a subsample of 25-50mg was weighed. At this stage a further subsample of fresh leaf was weighed then oven dried at 82°C for 48hrs before re-weighing to allow chlorophyll quantification per g of dry tissue weight. Subsamples for extraction were ground in a chilled pestle and mortar before adding 5ml of ice cold acetone transferring to a 25ml centrifuge tube. The pestle and mortar was rinsed twice with 2ml 80% ice cold acetone and transferred to the same centrifuge tube.  Each tube was then diluted to 10ml with ice cold acetone before samples were centrifuged at 8000g for 5 mins.  </w:t>
      </w:r>
      <w:r>
        <w:rPr>
          <w:rFonts w:cs="Times New Roman"/>
        </w:rPr>
        <w:lastRenderedPageBreak/>
        <w:t xml:space="preserve">Absorbance was then measured at 645 and 663nm using a Cecil Ce 1020 spectrophotometer (Cecil Instruments Ltd, UK). This was repeated in batches for a total of twenty leaves to reduce holding time due to rapid degradation of chlorophyll. </w:t>
      </w:r>
      <w:r w:rsidRPr="000F2F83">
        <w:rPr>
          <w:rFonts w:cs="Times New Roman"/>
        </w:rPr>
        <w:t xml:space="preserve">Chlorophyll content </w:t>
      </w:r>
      <w:r>
        <w:rPr>
          <w:rFonts w:cs="Times New Roman"/>
        </w:rPr>
        <w:t xml:space="preserve">was </w:t>
      </w:r>
      <w:r w:rsidRPr="000F2F83">
        <w:rPr>
          <w:rFonts w:cs="Times New Roman"/>
        </w:rPr>
        <w:t>calculated using the following equations acco</w:t>
      </w:r>
      <w:r>
        <w:rPr>
          <w:rFonts w:cs="Times New Roman"/>
        </w:rPr>
        <w:t xml:space="preserve">rding to </w:t>
      </w:r>
      <w:r>
        <w:rPr>
          <w:rFonts w:cs="Times New Roman"/>
        </w:rPr>
        <w:fldChar w:fldCharType="begin"/>
      </w:r>
      <w:r w:rsidR="00954B3D">
        <w:rPr>
          <w:rFonts w:cs="Times New Roman"/>
        </w:rPr>
        <w:instrText xml:space="preserve"> ADDIN ZOTERO_ITEM CSL_CITATION {"citationID":"1q1q7i6cps","properties":{"formattedCitation":"(Arnon, 1949)","plainCitation":"(Arnon, 1949)"},"citationItems":[{"id":767,"uris":["http://zotero.org/users/local/d1gJDEOw/items/P5BWZ8NW"],"uri":["http://zotero.org/users/local/d1gJDEOw/items/P5BWZ8NW"],"itemData":{"id":767,"type":"article-journal","title":"Copper Enzymes in Isolated Chloroplasts. Polyphenoloxidase in Beta Vulgaris","container-title":"Plant Physiology","page":"1-15","volume":"24","issue":"1","source":"www.plantphysiol.org","DOI":"10.1104/pp.24.1.1","ISSN":", 1532-2548","note":"PMID: 16654194","journalAbbreviation":"Plant Physiol.","language":"en","author":[{"family":"Arnon","given":"Daniel I."}],"issued":{"date-parts":[["1949",1,1]]}}}],"schema":"https://github.com/citation-style-language/schema/raw/master/csl-citation.json"} </w:instrText>
      </w:r>
      <w:r>
        <w:rPr>
          <w:rFonts w:cs="Times New Roman"/>
        </w:rPr>
        <w:fldChar w:fldCharType="separate"/>
      </w:r>
      <w:r w:rsidR="00954B3D" w:rsidRPr="00954B3D">
        <w:rPr>
          <w:rFonts w:cs="Times New Roman"/>
        </w:rPr>
        <w:t>(</w:t>
      </w:r>
      <w:proofErr w:type="spellStart"/>
      <w:r w:rsidR="00954B3D" w:rsidRPr="00954B3D">
        <w:rPr>
          <w:rFonts w:cs="Times New Roman"/>
        </w:rPr>
        <w:t>Arnon</w:t>
      </w:r>
      <w:proofErr w:type="spellEnd"/>
      <w:r w:rsidR="00954B3D" w:rsidRPr="00954B3D">
        <w:rPr>
          <w:rFonts w:cs="Times New Roman"/>
        </w:rPr>
        <w:t>, 1949)</w:t>
      </w:r>
      <w:r>
        <w:rPr>
          <w:rFonts w:cs="Times New Roman"/>
        </w:rPr>
        <w:fldChar w:fldCharType="end"/>
      </w:r>
      <w:r>
        <w:rPr>
          <w:rFonts w:cs="Times New Roman"/>
        </w:rPr>
        <w:t xml:space="preserve"> and expressed as mg chlorophyll per gram of dry leaf tissue.</w:t>
      </w:r>
    </w:p>
    <w:p w:rsidR="00A57540" w:rsidRPr="000F2F83" w:rsidRDefault="00A57540" w:rsidP="00A57540">
      <w:pPr>
        <w:rPr>
          <w:rFonts w:eastAsia="Times New Roman" w:cs="Times New Roman"/>
          <w:bCs/>
          <w:lang w:eastAsia="en-GB"/>
        </w:rPr>
      </w:pPr>
      <w:r>
        <w:rPr>
          <w:rFonts w:eastAsia="Times New Roman" w:cs="Times New Roman"/>
          <w:bCs/>
          <w:lang w:eastAsia="en-GB"/>
        </w:rPr>
        <w:t>Chlorophyll a (mg l</w:t>
      </w:r>
      <w:r w:rsidRPr="000F2F83">
        <w:rPr>
          <w:rFonts w:eastAsia="Times New Roman" w:cs="Times New Roman"/>
          <w:bCs/>
          <w:vertAlign w:val="superscript"/>
          <w:lang w:eastAsia="en-GB"/>
        </w:rPr>
        <w:t>-1</w:t>
      </w:r>
      <w:r w:rsidRPr="000F2F83">
        <w:rPr>
          <w:rFonts w:eastAsia="Times New Roman" w:cs="Times New Roman"/>
          <w:bCs/>
          <w:lang w:eastAsia="en-GB"/>
        </w:rPr>
        <w:t>) = (12.7 x OD</w:t>
      </w:r>
      <w:r w:rsidRPr="000F2F83">
        <w:rPr>
          <w:rFonts w:eastAsia="Times New Roman" w:cs="Times New Roman"/>
          <w:bCs/>
          <w:vertAlign w:val="subscript"/>
          <w:lang w:eastAsia="en-GB"/>
        </w:rPr>
        <w:t>663</w:t>
      </w:r>
      <w:r w:rsidRPr="000F2F83">
        <w:rPr>
          <w:rFonts w:eastAsia="Times New Roman" w:cs="Times New Roman"/>
          <w:bCs/>
          <w:lang w:eastAsia="en-GB"/>
        </w:rPr>
        <w:t>) - (2.69 x OD</w:t>
      </w:r>
      <w:r w:rsidRPr="000F2F83">
        <w:rPr>
          <w:rFonts w:eastAsia="Times New Roman" w:cs="Times New Roman"/>
          <w:bCs/>
          <w:vertAlign w:val="subscript"/>
          <w:lang w:eastAsia="en-GB"/>
        </w:rPr>
        <w:t>345</w:t>
      </w:r>
      <w:r w:rsidRPr="000F2F83">
        <w:rPr>
          <w:rFonts w:eastAsia="Times New Roman" w:cs="Times New Roman"/>
          <w:bCs/>
          <w:lang w:eastAsia="en-GB"/>
        </w:rPr>
        <w:t>)</w:t>
      </w:r>
    </w:p>
    <w:p w:rsidR="00A57540" w:rsidRPr="00062B0E" w:rsidRDefault="00A57540" w:rsidP="00A57540">
      <w:pPr>
        <w:rPr>
          <w:rFonts w:eastAsia="Times New Roman" w:cs="Times New Roman"/>
          <w:bCs/>
          <w:lang w:eastAsia="en-GB"/>
        </w:rPr>
      </w:pPr>
      <w:r>
        <w:rPr>
          <w:rFonts w:eastAsia="Times New Roman" w:cs="Times New Roman"/>
          <w:bCs/>
          <w:lang w:eastAsia="en-GB"/>
        </w:rPr>
        <w:t>Chlorophyll b (mg l</w:t>
      </w:r>
      <w:r w:rsidRPr="000F2F83">
        <w:rPr>
          <w:rFonts w:eastAsia="Times New Roman" w:cs="Times New Roman"/>
          <w:bCs/>
          <w:vertAlign w:val="superscript"/>
          <w:lang w:eastAsia="en-GB"/>
        </w:rPr>
        <w:t>-1</w:t>
      </w:r>
      <w:r w:rsidRPr="000F2F83">
        <w:rPr>
          <w:rFonts w:eastAsia="Times New Roman" w:cs="Times New Roman"/>
          <w:bCs/>
          <w:lang w:eastAsia="en-GB"/>
        </w:rPr>
        <w:t>) = (22.9 x OD</w:t>
      </w:r>
      <w:r w:rsidRPr="000F2F83">
        <w:rPr>
          <w:rFonts w:eastAsia="Times New Roman" w:cs="Times New Roman"/>
          <w:bCs/>
          <w:vertAlign w:val="subscript"/>
          <w:lang w:eastAsia="en-GB"/>
        </w:rPr>
        <w:t>645</w:t>
      </w:r>
      <w:r w:rsidRPr="000F2F83">
        <w:rPr>
          <w:rFonts w:eastAsia="Times New Roman" w:cs="Times New Roman"/>
          <w:bCs/>
          <w:lang w:eastAsia="en-GB"/>
        </w:rPr>
        <w:t>) - (4.68 x OD</w:t>
      </w:r>
      <w:r w:rsidRPr="000F2F83">
        <w:rPr>
          <w:rFonts w:eastAsia="Times New Roman" w:cs="Times New Roman"/>
          <w:bCs/>
          <w:vertAlign w:val="subscript"/>
          <w:lang w:eastAsia="en-GB"/>
        </w:rPr>
        <w:t>663</w:t>
      </w:r>
      <w:r w:rsidRPr="000F2F83">
        <w:rPr>
          <w:rFonts w:eastAsia="Times New Roman" w:cs="Times New Roman"/>
          <w:bCs/>
          <w:lang w:eastAsia="en-GB"/>
        </w:rPr>
        <w:t>)</w:t>
      </w:r>
    </w:p>
    <w:p w:rsidR="00A57540" w:rsidRPr="00C043EA" w:rsidRDefault="00A57540" w:rsidP="00A57540">
      <w:pPr>
        <w:pStyle w:val="Heading4"/>
        <w:numPr>
          <w:ilvl w:val="3"/>
          <w:numId w:val="1"/>
        </w:numPr>
      </w:pPr>
      <w:r w:rsidRPr="00C043EA">
        <w:t xml:space="preserve">Tree growth </w:t>
      </w:r>
    </w:p>
    <w:p w:rsidR="00A57540" w:rsidRDefault="00A57540" w:rsidP="00A57540">
      <w:pPr>
        <w:rPr>
          <w:rFonts w:cs="Times New Roman"/>
        </w:rPr>
      </w:pPr>
      <w:r w:rsidRPr="00C043EA">
        <w:rPr>
          <w:rFonts w:cs="Times New Roman"/>
        </w:rPr>
        <w:t xml:space="preserve">To quantify tree growth, height and trunk diameter measurements were recorded at the beginning of the growing season (pre bud burst) and following leaf senescence in autumn. Height was recorded from the base of the trunk vertically to the tip of the highest branch. Trunk diameter was recorded 20cm from the base of the trunk using </w:t>
      </w:r>
      <w:proofErr w:type="spellStart"/>
      <w:r w:rsidRPr="00C043EA">
        <w:rPr>
          <w:rFonts w:cs="Times New Roman"/>
        </w:rPr>
        <w:t>vernier</w:t>
      </w:r>
      <w:proofErr w:type="spellEnd"/>
      <w:r w:rsidRPr="00C043EA">
        <w:rPr>
          <w:rFonts w:cs="Times New Roman"/>
        </w:rPr>
        <w:t xml:space="preserve"> callipers. Mean diameter per tree was calculated from two diameter recordings per tree measured perpendicular one another to account for any irregularity in trunk shape. </w:t>
      </w:r>
    </w:p>
    <w:p w:rsidR="00A57540" w:rsidRPr="00C043EA" w:rsidRDefault="00A57540" w:rsidP="00A57540">
      <w:pPr>
        <w:pStyle w:val="Heading4"/>
        <w:numPr>
          <w:ilvl w:val="3"/>
          <w:numId w:val="1"/>
        </w:numPr>
      </w:pPr>
      <w:r>
        <w:t>Biomass</w:t>
      </w:r>
    </w:p>
    <w:p w:rsidR="00A57540" w:rsidRDefault="00A57540" w:rsidP="00A57540">
      <w:pPr>
        <w:rPr>
          <w:rFonts w:cs="Times New Roman"/>
        </w:rPr>
      </w:pPr>
      <w:r w:rsidRPr="00C043EA">
        <w:rPr>
          <w:rFonts w:cs="Times New Roman"/>
        </w:rPr>
        <w:t xml:space="preserve">Destructive biomass harvest was conducted for three blocks of trees (3 reps per treatment, 48 trees in total) in December 2015 after three growing seasons (34 months). Trees were removed from pots intact and root systems were thoroughly washed. Trees were separated into above and below ground material and fresh weights recorded.  To calculate dry biomass, above ground growth was chipped and a subsample of approximately 40g was weighed then oven dried at 98°C to a constant dry mass. Total dry biomass per tree was calculated based on the water content of the subsample. Roots were air dried at room temperature (fine roots are too friable for oven drying) to a constant mass before being re-weighed to obtain total root dry biomass. </w:t>
      </w:r>
    </w:p>
    <w:p w:rsidR="00A57540" w:rsidRPr="00C043EA" w:rsidRDefault="00A57540" w:rsidP="00A57540">
      <w:pPr>
        <w:pStyle w:val="Heading4"/>
        <w:numPr>
          <w:ilvl w:val="3"/>
          <w:numId w:val="1"/>
        </w:numPr>
      </w:pPr>
      <w:r>
        <w:t>Root growth</w:t>
      </w:r>
    </w:p>
    <w:p w:rsidR="00A57540" w:rsidRDefault="00A57540" w:rsidP="00A57540">
      <w:pPr>
        <w:rPr>
          <w:rFonts w:cs="Times New Roman"/>
        </w:rPr>
      </w:pPr>
      <w:r w:rsidRPr="00C043EA">
        <w:rPr>
          <w:rFonts w:cs="Times New Roman"/>
        </w:rPr>
        <w:t>Root growth was measured over the course of the experiment using the mini</w:t>
      </w:r>
      <w:r>
        <w:rPr>
          <w:rFonts w:cs="Times New Roman"/>
        </w:rPr>
        <w:t>-</w:t>
      </w:r>
      <w:proofErr w:type="spellStart"/>
      <w:r w:rsidRPr="00C043EA">
        <w:rPr>
          <w:rFonts w:cs="Times New Roman"/>
        </w:rPr>
        <w:t>rhizotron</w:t>
      </w:r>
      <w:proofErr w:type="spellEnd"/>
      <w:r w:rsidRPr="00C043EA">
        <w:rPr>
          <w:rFonts w:cs="Times New Roman"/>
        </w:rPr>
        <w:t xml:space="preserve"> technique. Immediately after planting 50 cm mini</w:t>
      </w:r>
      <w:r>
        <w:rPr>
          <w:rFonts w:cs="Times New Roman"/>
        </w:rPr>
        <w:t>-</w:t>
      </w:r>
      <w:proofErr w:type="spellStart"/>
      <w:r w:rsidRPr="00C043EA">
        <w:rPr>
          <w:rFonts w:cs="Times New Roman"/>
        </w:rPr>
        <w:t>rhizotron</w:t>
      </w:r>
      <w:proofErr w:type="spellEnd"/>
      <w:r w:rsidRPr="00C043EA">
        <w:rPr>
          <w:rFonts w:cs="Times New Roman"/>
        </w:rPr>
        <w:t xml:space="preserve"> tubes made of clear acrylic 7 cm in diameter and sealed at the lower end, were installed in each pot at 45° to the soil substrate surface. The above ground section of each tube was painted with a layer of black to exclude light, then white to reduce heat absorption and was sealed with a white cap to seal as protection from precipitation. At the end of each growing season (October) mini</w:t>
      </w:r>
      <w:r>
        <w:rPr>
          <w:rFonts w:cs="Times New Roman"/>
        </w:rPr>
        <w:t>-</w:t>
      </w:r>
      <w:proofErr w:type="spellStart"/>
      <w:r w:rsidRPr="00C043EA">
        <w:rPr>
          <w:rFonts w:cs="Times New Roman"/>
        </w:rPr>
        <w:t>rhizotron</w:t>
      </w:r>
      <w:proofErr w:type="spellEnd"/>
      <w:r w:rsidRPr="00C043EA">
        <w:rPr>
          <w:rFonts w:cs="Times New Roman"/>
        </w:rPr>
        <w:t xml:space="preserve"> tubes were scanned fully (2 images per tube, image size 19.55cm x 21.57cm, resolution 400dpi) using a CID-600 roots scanner (CID, Kansas, USA). </w:t>
      </w:r>
    </w:p>
    <w:p w:rsidR="00A57540" w:rsidRPr="00C043EA" w:rsidRDefault="00A57540" w:rsidP="00A57540">
      <w:pPr>
        <w:pStyle w:val="Heading4"/>
        <w:numPr>
          <w:ilvl w:val="3"/>
          <w:numId w:val="1"/>
        </w:numPr>
      </w:pPr>
      <w:r>
        <w:t>Fruit production</w:t>
      </w:r>
    </w:p>
    <w:p w:rsidR="00A57540" w:rsidRPr="00C043EA" w:rsidRDefault="00A57540" w:rsidP="00A57540">
      <w:pPr>
        <w:rPr>
          <w:rFonts w:cs="Times New Roman"/>
        </w:rPr>
      </w:pPr>
      <w:r w:rsidRPr="00C043EA">
        <w:rPr>
          <w:rFonts w:cs="Times New Roman"/>
        </w:rPr>
        <w:t>Both number of fruit and total fresh fruit biomass per tree was recorded a</w:t>
      </w:r>
      <w:r>
        <w:rPr>
          <w:rFonts w:cs="Times New Roman"/>
        </w:rPr>
        <w:t>t the end of the first growing season (2013).</w:t>
      </w:r>
      <w:r w:rsidRPr="00C043EA">
        <w:rPr>
          <w:rFonts w:cs="Times New Roman"/>
        </w:rPr>
        <w:t xml:space="preserve"> </w:t>
      </w:r>
      <w:r>
        <w:rPr>
          <w:rFonts w:cs="Times New Roman"/>
        </w:rPr>
        <w:t>Due</w:t>
      </w:r>
      <w:r w:rsidRPr="00C043EA">
        <w:rPr>
          <w:rFonts w:cs="Times New Roman"/>
        </w:rPr>
        <w:t xml:space="preserve"> to pathogen infection fruit yield was exceptionally low for year 2014 </w:t>
      </w:r>
      <w:r w:rsidRPr="00C043EA">
        <w:rPr>
          <w:rFonts w:cs="Times New Roman"/>
        </w:rPr>
        <w:lastRenderedPageBreak/>
        <w:t>and 2015 and therefore yiel</w:t>
      </w:r>
      <w:r>
        <w:rPr>
          <w:rFonts w:cs="Times New Roman"/>
        </w:rPr>
        <w:t>d is not reported for these years and instead flower counts for spring 2014 and 2015 as an indicator of potential crop production.</w:t>
      </w:r>
    </w:p>
    <w:p w:rsidR="00A57540" w:rsidRPr="00C043EA" w:rsidRDefault="00A57540" w:rsidP="00A57540">
      <w:pPr>
        <w:pStyle w:val="Heading4"/>
        <w:numPr>
          <w:ilvl w:val="3"/>
          <w:numId w:val="1"/>
        </w:numPr>
      </w:pPr>
      <w:r w:rsidRPr="00C043EA">
        <w:t>Leaf and flower phenology</w:t>
      </w:r>
    </w:p>
    <w:p w:rsidR="00A57540" w:rsidRPr="00C043EA" w:rsidRDefault="00A57540" w:rsidP="00A57540">
      <w:pPr>
        <w:rPr>
          <w:rFonts w:cs="Times New Roman"/>
        </w:rPr>
      </w:pPr>
      <w:r w:rsidRPr="00C043EA">
        <w:rPr>
          <w:rFonts w:cs="Times New Roman"/>
        </w:rPr>
        <w:t>Leaf phenology was recorded during year 2</w:t>
      </w:r>
      <w:r>
        <w:rPr>
          <w:rFonts w:cs="Times New Roman"/>
        </w:rPr>
        <w:t xml:space="preserve"> (2014)</w:t>
      </w:r>
      <w:r w:rsidRPr="00C043EA">
        <w:rPr>
          <w:rFonts w:cs="Times New Roman"/>
        </w:rPr>
        <w:t xml:space="preserve"> and </w:t>
      </w:r>
      <w:r>
        <w:rPr>
          <w:rFonts w:cs="Times New Roman"/>
        </w:rPr>
        <w:t xml:space="preserve">year </w:t>
      </w:r>
      <w:r w:rsidRPr="00C043EA">
        <w:rPr>
          <w:rFonts w:cs="Times New Roman"/>
        </w:rPr>
        <w:t>3</w:t>
      </w:r>
      <w:r>
        <w:rPr>
          <w:rFonts w:cs="Times New Roman"/>
        </w:rPr>
        <w:t xml:space="preserve"> (2015)</w:t>
      </w:r>
      <w:r w:rsidRPr="00C043EA">
        <w:rPr>
          <w:rFonts w:cs="Times New Roman"/>
        </w:rPr>
        <w:t xml:space="preserve"> of the experiment with tree leaf development was monitored closely from the 1</w:t>
      </w:r>
      <w:r w:rsidRPr="00C043EA">
        <w:rPr>
          <w:rFonts w:cs="Times New Roman"/>
          <w:vertAlign w:val="superscript"/>
        </w:rPr>
        <w:t>st</w:t>
      </w:r>
      <w:r w:rsidRPr="00C043EA">
        <w:rPr>
          <w:rFonts w:cs="Times New Roman"/>
        </w:rPr>
        <w:t xml:space="preserve"> of March each year. At approximately 5 day intervals the number of leaf buds to have reached each of the following developmental stages was estimated. In brief, developmental stages were defined as (</w:t>
      </w:r>
      <w:proofErr w:type="spellStart"/>
      <w:r w:rsidRPr="00C043EA">
        <w:rPr>
          <w:rFonts w:cs="Times New Roman"/>
        </w:rPr>
        <w:t>i</w:t>
      </w:r>
      <w:proofErr w:type="spellEnd"/>
      <w:r w:rsidRPr="00C043EA">
        <w:rPr>
          <w:rFonts w:cs="Times New Roman"/>
        </w:rPr>
        <w:t xml:space="preserve">) dormant, (ii) bud swollen heavily but no sign of opening, (iii) bud starting to open but less than 50% green, (iv) Over 50% bud is green but leaf tips are still inward pointing, (v) Leaf tips begin to point outward and leaf unrolling is clear, (vi) leaves are spreading and mostly unfurled, (vii) leaves are completely unfurled </w:t>
      </w:r>
      <w:r w:rsidRPr="00D653CB">
        <w:rPr>
          <w:rFonts w:cs="Times New Roman"/>
        </w:rPr>
        <w:t>(</w:t>
      </w:r>
      <w:r w:rsidR="00D653CB" w:rsidRPr="00D653CB">
        <w:rPr>
          <w:rFonts w:cs="Times New Roman"/>
        </w:rPr>
        <w:t>Appendix A.</w:t>
      </w:r>
      <w:r w:rsidRPr="00D653CB">
        <w:rPr>
          <w:rFonts w:cs="Times New Roman"/>
        </w:rPr>
        <w:t>C).</w:t>
      </w:r>
      <w:r w:rsidRPr="00C043EA">
        <w:rPr>
          <w:rFonts w:cs="Times New Roman"/>
        </w:rPr>
        <w:t xml:space="preserve"> Leaf bud burst date was defined as the date at which greater or equal to 50% of the flowers per tree reached stage six of development. </w:t>
      </w:r>
    </w:p>
    <w:p w:rsidR="00A57540" w:rsidRPr="00C043EA" w:rsidRDefault="00A57540" w:rsidP="00A57540">
      <w:pPr>
        <w:rPr>
          <w:rFonts w:cs="Times New Roman"/>
        </w:rPr>
      </w:pPr>
      <w:r w:rsidRPr="00C043EA">
        <w:rPr>
          <w:rFonts w:cs="Times New Roman"/>
        </w:rPr>
        <w:t>Flower phenology was</w:t>
      </w:r>
      <w:r>
        <w:rPr>
          <w:rFonts w:cs="Times New Roman"/>
        </w:rPr>
        <w:t xml:space="preserve"> also</w:t>
      </w:r>
      <w:r w:rsidRPr="00C043EA">
        <w:rPr>
          <w:rFonts w:cs="Times New Roman"/>
        </w:rPr>
        <w:t xml:space="preserve"> monitored over the second and third growing season of the </w:t>
      </w:r>
      <w:r>
        <w:rPr>
          <w:rFonts w:cs="Times New Roman"/>
        </w:rPr>
        <w:t>experiment (2014 and 2015)</w:t>
      </w:r>
      <w:r w:rsidRPr="00C043EA">
        <w:rPr>
          <w:rFonts w:cs="Times New Roman"/>
        </w:rPr>
        <w:t>. Trees were monitored closely from the beginning of March. From the date of first flower opening, trees were examined every 3 days and number of buds, flowers and senescent flowers were recorded according to the following definitions (</w:t>
      </w:r>
      <w:proofErr w:type="spellStart"/>
      <w:r w:rsidRPr="00C043EA">
        <w:rPr>
          <w:rFonts w:cs="Times New Roman"/>
        </w:rPr>
        <w:t>i</w:t>
      </w:r>
      <w:proofErr w:type="spellEnd"/>
      <w:r w:rsidRPr="00C043EA">
        <w:rPr>
          <w:rFonts w:cs="Times New Roman"/>
        </w:rPr>
        <w:t>) budding – petals are clearly visible but not distinctly unfurled (ii) flowering – when the corolla is separated sufficient for four distinct petals and the stamen of the flower to be clearly identified (in accord with Wagner et al. 2014), (iii) senescent – flower shows clear signs of senescence such as petal loss, discolouration and wilting</w:t>
      </w:r>
      <w:r>
        <w:rPr>
          <w:rFonts w:cs="Times New Roman"/>
        </w:rPr>
        <w:t xml:space="preserve">. </w:t>
      </w:r>
      <w:r w:rsidRPr="00C043EA">
        <w:rPr>
          <w:rFonts w:cs="Times New Roman"/>
        </w:rPr>
        <w:t xml:space="preserve">The day at which 50% of buds per tree were flowering/had flowered was then identified. </w:t>
      </w:r>
    </w:p>
    <w:p w:rsidR="00A57540" w:rsidRPr="00C043EA" w:rsidRDefault="00A57540" w:rsidP="00A57540">
      <w:pPr>
        <w:pStyle w:val="Heading4"/>
        <w:numPr>
          <w:ilvl w:val="3"/>
          <w:numId w:val="1"/>
        </w:numPr>
      </w:pPr>
      <w:r w:rsidRPr="00C043EA">
        <w:t>Pathogen incidence</w:t>
      </w:r>
    </w:p>
    <w:p w:rsidR="00A57540" w:rsidRPr="00C043EA" w:rsidRDefault="00A57540" w:rsidP="00A57540">
      <w:pPr>
        <w:rPr>
          <w:rFonts w:cs="Times New Roman"/>
        </w:rPr>
      </w:pPr>
      <w:r w:rsidRPr="00C043EA">
        <w:rPr>
          <w:rFonts w:cs="Times New Roman"/>
        </w:rPr>
        <w:t>Tree health was monitored over the duration of the experiment and a pathogen was observed in July 2014. Fresh tissue samples of infected plant material were outsourced to project collaborators for molecular identification</w:t>
      </w:r>
      <w:r>
        <w:rPr>
          <w:rFonts w:cs="Times New Roman"/>
        </w:rPr>
        <w:t xml:space="preserve"> </w:t>
      </w:r>
      <w:r w:rsidRPr="00C043EA">
        <w:rPr>
          <w:rFonts w:cs="Times New Roman"/>
        </w:rPr>
        <w:t xml:space="preserve">and were thus identified as apple canker </w:t>
      </w:r>
      <w:r w:rsidRPr="00C043EA">
        <w:rPr>
          <w:rFonts w:cs="Times New Roman"/>
          <w:i/>
        </w:rPr>
        <w:t>Neonectria ditissima</w:t>
      </w:r>
      <w:r w:rsidRPr="00C043EA">
        <w:rPr>
          <w:rFonts w:cs="Times New Roman"/>
        </w:rPr>
        <w:t>. In accord with agricultural management practices the infected branches were removed from each tree. Length and number of infected material sections per tree were recorded. Two episodes of pathogen removal were necessary during July 2014 and a further removal event during July 2015.</w:t>
      </w:r>
    </w:p>
    <w:p w:rsidR="00A57540" w:rsidRPr="00C043EA" w:rsidRDefault="00A57540" w:rsidP="00A57540">
      <w:pPr>
        <w:pStyle w:val="Heading3"/>
      </w:pPr>
      <w:bookmarkStart w:id="139" w:name="_Toc469855021"/>
      <w:bookmarkStart w:id="140" w:name="_Toc469856021"/>
      <w:bookmarkStart w:id="141" w:name="_Toc469931930"/>
      <w:bookmarkStart w:id="142" w:name="_Toc469982251"/>
      <w:r w:rsidRPr="00C043EA">
        <w:t>Statistical analyses</w:t>
      </w:r>
      <w:bookmarkEnd w:id="139"/>
      <w:bookmarkEnd w:id="140"/>
      <w:bookmarkEnd w:id="141"/>
      <w:bookmarkEnd w:id="142"/>
    </w:p>
    <w:p w:rsidR="00A57540" w:rsidRPr="00C043EA" w:rsidRDefault="00A57540" w:rsidP="00861E0B">
      <w:r w:rsidRPr="00C043EA">
        <w:t xml:space="preserve">To determine the effect of AMF, nutrient scion and rootstock treatments upon all parameters of tree growth (height, trunk diameter, </w:t>
      </w:r>
      <w:r>
        <w:t>above and below ground biomass and root length</w:t>
      </w:r>
      <w:r w:rsidRPr="00C043EA">
        <w:t xml:space="preserve">), health </w:t>
      </w:r>
      <w:r>
        <w:t xml:space="preserve">(leaf tissue P, N, </w:t>
      </w:r>
      <w:r w:rsidRPr="00C043EA">
        <w:t>C concentration,</w:t>
      </w:r>
      <w:r>
        <w:t xml:space="preserve"> C:N ratio, </w:t>
      </w:r>
      <w:r w:rsidRPr="00C043EA">
        <w:t xml:space="preserve">chlorophyll content and pathogen incidence) and productivity (fruit and flower production) </w:t>
      </w:r>
      <w:r w:rsidR="00385300">
        <w:t xml:space="preserve">reported in </w:t>
      </w:r>
      <w:r w:rsidR="00385300">
        <w:fldChar w:fldCharType="begin"/>
      </w:r>
      <w:r w:rsidR="00385300">
        <w:instrText xml:space="preserve"> REF _Ref469771779 \h </w:instrText>
      </w:r>
      <w:r w:rsidR="00385300">
        <w:fldChar w:fldCharType="separate"/>
      </w:r>
      <w:r w:rsidR="00E0714D" w:rsidRPr="00E55365">
        <w:t xml:space="preserve">Table </w:t>
      </w:r>
      <w:r w:rsidR="00E0714D">
        <w:rPr>
          <w:noProof/>
        </w:rPr>
        <w:t>2</w:t>
      </w:r>
      <w:r w:rsidR="00E0714D" w:rsidRPr="00E55365">
        <w:t>.</w:t>
      </w:r>
      <w:r w:rsidR="00E0714D">
        <w:rPr>
          <w:noProof/>
        </w:rPr>
        <w:t>1</w:t>
      </w:r>
      <w:r w:rsidR="00385300">
        <w:fldChar w:fldCharType="end"/>
      </w:r>
      <w:r w:rsidR="00385300">
        <w:t xml:space="preserve"> and </w:t>
      </w:r>
      <w:r w:rsidR="00385300">
        <w:fldChar w:fldCharType="begin"/>
      </w:r>
      <w:r w:rsidR="00385300">
        <w:instrText xml:space="preserve"> REF _Ref469771782 \h </w:instrText>
      </w:r>
      <w:r w:rsidR="00385300">
        <w:fldChar w:fldCharType="separate"/>
      </w:r>
      <w:r w:rsidR="00E0714D" w:rsidRPr="00861E0B">
        <w:t xml:space="preserve">Table </w:t>
      </w:r>
      <w:r w:rsidR="00E0714D">
        <w:rPr>
          <w:noProof/>
        </w:rPr>
        <w:t>2</w:t>
      </w:r>
      <w:r w:rsidR="00E0714D" w:rsidRPr="00861E0B">
        <w:t>.</w:t>
      </w:r>
      <w:r w:rsidR="00E0714D">
        <w:rPr>
          <w:noProof/>
        </w:rPr>
        <w:t>2</w:t>
      </w:r>
      <w:r w:rsidR="00385300">
        <w:fldChar w:fldCharType="end"/>
      </w:r>
      <w:r w:rsidRPr="00C043EA">
        <w:t xml:space="preserve">, four -way ANOVA tests were used with ‘block’ nested as a random factor and including all two-way interactions between mycorrhizal inoculation with rootstock, scion and nutrient treatments. To determine the effects of treatment levels upon leaf and flower phenology Generalized Linear Models were used </w:t>
      </w:r>
      <w:r w:rsidRPr="00C043EA">
        <w:lastRenderedPageBreak/>
        <w:t xml:space="preserve">with Poisson distribution to account for the data being integer and having variances equal to means. </w:t>
      </w:r>
      <w:r>
        <w:t>Analysis was</w:t>
      </w:r>
      <w:r w:rsidRPr="00C043EA">
        <w:t xml:space="preserve"> performed </w:t>
      </w:r>
      <w:r>
        <w:t xml:space="preserve">in R studio version 3.3.1 </w:t>
      </w:r>
      <w:r w:rsidRPr="00C043EA">
        <w:t xml:space="preserve">(R Core </w:t>
      </w:r>
      <w:r>
        <w:t>Team, 2016</w:t>
      </w:r>
      <w:r w:rsidRPr="00C043EA">
        <w:t>).</w:t>
      </w:r>
    </w:p>
    <w:p w:rsidR="00A57540" w:rsidRPr="00C043EA" w:rsidRDefault="00A57540" w:rsidP="00892881">
      <w:pPr>
        <w:pStyle w:val="Heading2"/>
      </w:pPr>
      <w:bookmarkStart w:id="143" w:name="_Toc469855022"/>
      <w:bookmarkStart w:id="144" w:name="_Toc469856022"/>
      <w:bookmarkStart w:id="145" w:name="_Toc469931931"/>
      <w:bookmarkStart w:id="146" w:name="_Toc469982252"/>
      <w:r w:rsidRPr="00892881">
        <w:t>Results</w:t>
      </w:r>
      <w:bookmarkEnd w:id="143"/>
      <w:bookmarkEnd w:id="144"/>
      <w:bookmarkEnd w:id="145"/>
      <w:bookmarkEnd w:id="146"/>
      <w:r w:rsidRPr="00C043EA">
        <w:fldChar w:fldCharType="begin"/>
      </w:r>
      <w:r w:rsidRPr="00C043EA">
        <w:instrText xml:space="preserve"> ADDIN ZOTERO_ITEM CSL_CITATION {"citationID":"vbovigfhm","properties":{"formattedCitation":"(Brundrett M C &amp; Bougher N, 1996)","plainCitation":"(Brundrett M C &amp; Bougher N, 1996)","dontUpdate":true},"citationItems":[{"id":215,"uris":["http://zotero.org/users/local/d1gJDEOw/items/T2FMNU3X"],"uri":["http://zotero.org/users/local/d1gJDEOw/items/T2FMNU3X"],"itemData":{"id":215,"type":"article-journal","title":"Working with Mycorrhizas in Forestry and Agriculture","container-title":"Austrailian Centre for International Agricultural Research","author":[{"literal":"Brundrett, M.C."},{"literal":"Bougher, N."}],"issued":{"date-parts":[["1996"]]}}}],"schema":"https://github.com/citation-style-language/schema/raw/master/csl-citation.json"} </w:instrText>
      </w:r>
      <w:r w:rsidRPr="00C043EA">
        <w:fldChar w:fldCharType="end"/>
      </w:r>
    </w:p>
    <w:p w:rsidR="00A57540" w:rsidRPr="00C043EA" w:rsidRDefault="00A57540" w:rsidP="00A57540">
      <w:pPr>
        <w:pStyle w:val="Heading3"/>
      </w:pPr>
      <w:bookmarkStart w:id="147" w:name="_Toc469855023"/>
      <w:bookmarkStart w:id="148" w:name="_Toc469856023"/>
      <w:bookmarkStart w:id="149" w:name="_Toc469931932"/>
      <w:bookmarkStart w:id="150" w:name="_Toc469982253"/>
      <w:r w:rsidRPr="00C043EA">
        <w:t>Mycorrhizal colonisation</w:t>
      </w:r>
      <w:bookmarkEnd w:id="147"/>
      <w:bookmarkEnd w:id="148"/>
      <w:bookmarkEnd w:id="149"/>
      <w:bookmarkEnd w:id="150"/>
    </w:p>
    <w:p w:rsidR="00A57540" w:rsidRPr="00C043EA" w:rsidRDefault="00A57540" w:rsidP="00A57540">
      <w:pPr>
        <w:rPr>
          <w:rFonts w:cs="Times New Roman"/>
        </w:rPr>
      </w:pPr>
      <w:r w:rsidRPr="00C043EA">
        <w:rPr>
          <w:rFonts w:cs="Times New Roman"/>
        </w:rPr>
        <w:t xml:space="preserve">AMF inoculation was successful with all inoculated trees showing AMF root colonisation </w:t>
      </w:r>
      <w:r>
        <w:rPr>
          <w:rFonts w:cs="Times New Roman"/>
        </w:rPr>
        <w:t xml:space="preserve">ranging </w:t>
      </w:r>
      <w:r w:rsidRPr="00C043EA">
        <w:rPr>
          <w:rFonts w:cs="Times New Roman"/>
        </w:rPr>
        <w:t xml:space="preserve">from 11 </w:t>
      </w:r>
      <w:r>
        <w:rPr>
          <w:rFonts w:cs="Times New Roman"/>
        </w:rPr>
        <w:t>to</w:t>
      </w:r>
      <w:r w:rsidRPr="00C043EA">
        <w:rPr>
          <w:rFonts w:cs="Times New Roman"/>
        </w:rPr>
        <w:t xml:space="preserve"> 54%.  In comparison all non-inoculated treatments remained free of AMF. AMF colonisation</w:t>
      </w:r>
      <w:r>
        <w:rPr>
          <w:rFonts w:cs="Times New Roman"/>
        </w:rPr>
        <w:t xml:space="preserve"> within inoculated trees</w:t>
      </w:r>
      <w:r w:rsidRPr="00C043EA">
        <w:rPr>
          <w:rFonts w:cs="Times New Roman"/>
        </w:rPr>
        <w:t xml:space="preserve"> was significantly reduced by high nutrient treatment (</w:t>
      </w:r>
      <w:r w:rsidR="00F67658">
        <w:rPr>
          <w:rFonts w:cs="Times New Roman"/>
        </w:rPr>
        <w:fldChar w:fldCharType="begin"/>
      </w:r>
      <w:r w:rsidR="00F67658">
        <w:rPr>
          <w:rFonts w:cs="Times New Roman"/>
        </w:rPr>
        <w:instrText xml:space="preserve"> REF _Ref469771779 \h </w:instrText>
      </w:r>
      <w:r w:rsidR="00F67658">
        <w:rPr>
          <w:rFonts w:cs="Times New Roman"/>
        </w:rPr>
      </w:r>
      <w:r w:rsidR="00F67658">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7658">
        <w:rPr>
          <w:rFonts w:cs="Times New Roman"/>
        </w:rPr>
        <w:fldChar w:fldCharType="end"/>
      </w:r>
      <w:r w:rsidRPr="00C043EA">
        <w:rPr>
          <w:rFonts w:cs="Times New Roman"/>
        </w:rPr>
        <w:t>,</w:t>
      </w:r>
      <w:r w:rsidR="00385300">
        <w:rPr>
          <w:rFonts w:cs="Times New Roman"/>
        </w:rPr>
        <w:t xml:space="preserve"> </w:t>
      </w:r>
      <w:r w:rsidR="00385300">
        <w:rPr>
          <w:rFonts w:cs="Times New Roman"/>
        </w:rPr>
        <w:fldChar w:fldCharType="begin"/>
      </w:r>
      <w:r w:rsidR="00385300">
        <w:rPr>
          <w:rFonts w:cs="Times New Roman"/>
        </w:rPr>
        <w:instrText xml:space="preserve"> REF _Ref469771782 \h </w:instrText>
      </w:r>
      <w:r w:rsidR="00385300">
        <w:rPr>
          <w:rFonts w:cs="Times New Roman"/>
        </w:rPr>
      </w:r>
      <w:r w:rsidR="00385300">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385300">
        <w:rPr>
          <w:rFonts w:cs="Times New Roman"/>
        </w:rPr>
        <w:fldChar w:fldCharType="end"/>
      </w:r>
      <w:r w:rsidRPr="00C043EA">
        <w:rPr>
          <w:rFonts w:cs="Times New Roman"/>
        </w:rPr>
        <w:t>) with colonisation averaging at 19.7% and 42.3% under high and low n</w:t>
      </w:r>
      <w:r>
        <w:rPr>
          <w:rFonts w:cs="Times New Roman"/>
        </w:rPr>
        <w:t>utrient treatments respectively</w:t>
      </w:r>
      <w:r w:rsidRPr="00C043EA">
        <w:rPr>
          <w:rFonts w:cs="Times New Roman"/>
        </w:rPr>
        <w:t>. Scion type also significantly affected mycorrhizal colonisation (</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385300">
        <w:rPr>
          <w:rFonts w:cs="Times New Roman"/>
        </w:rPr>
        <w:t xml:space="preserve">, </w:t>
      </w:r>
      <w:r w:rsidR="00385300">
        <w:rPr>
          <w:rFonts w:cs="Times New Roman"/>
        </w:rPr>
        <w:fldChar w:fldCharType="begin"/>
      </w:r>
      <w:r w:rsidR="00385300">
        <w:rPr>
          <w:rFonts w:cs="Times New Roman"/>
        </w:rPr>
        <w:instrText xml:space="preserve"> REF _Ref469771782 \h </w:instrText>
      </w:r>
      <w:r w:rsidR="00385300">
        <w:rPr>
          <w:rFonts w:cs="Times New Roman"/>
        </w:rPr>
      </w:r>
      <w:r w:rsidR="00385300">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385300">
        <w:rPr>
          <w:rFonts w:cs="Times New Roman"/>
        </w:rPr>
        <w:fldChar w:fldCharType="end"/>
      </w:r>
      <w:r w:rsidRPr="00C043EA">
        <w:rPr>
          <w:rFonts w:cs="Times New Roman"/>
        </w:rPr>
        <w:t>) with Michelin trees on average showing 32.3% root colonisation compared to 29.7% i</w:t>
      </w:r>
      <w:r w:rsidR="00385300">
        <w:rPr>
          <w:rFonts w:cs="Times New Roman"/>
        </w:rPr>
        <w:t>n Dabinett trees (</w:t>
      </w:r>
      <w:r w:rsidR="00385300">
        <w:rPr>
          <w:rFonts w:cs="Times New Roman"/>
        </w:rPr>
        <w:fldChar w:fldCharType="begin"/>
      </w:r>
      <w:r w:rsidR="00385300">
        <w:rPr>
          <w:rFonts w:cs="Times New Roman"/>
        </w:rPr>
        <w:instrText xml:space="preserve"> REF _Ref469771779 \h </w:instrText>
      </w:r>
      <w:r w:rsidR="00385300">
        <w:rPr>
          <w:rFonts w:cs="Times New Roman"/>
        </w:rPr>
      </w:r>
      <w:r w:rsidR="00385300">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385300">
        <w:rPr>
          <w:rFonts w:cs="Times New Roman"/>
        </w:rPr>
        <w:fldChar w:fldCharType="end"/>
      </w:r>
      <w:r w:rsidR="00385300">
        <w:rPr>
          <w:rFonts w:cs="Times New Roman"/>
        </w:rPr>
        <w:t xml:space="preserve">, </w:t>
      </w:r>
      <w:r w:rsidR="00385300">
        <w:rPr>
          <w:rFonts w:cs="Times New Roman"/>
        </w:rPr>
        <w:fldChar w:fldCharType="begin"/>
      </w:r>
      <w:r w:rsidR="00385300">
        <w:rPr>
          <w:rFonts w:cs="Times New Roman"/>
        </w:rPr>
        <w:instrText xml:space="preserve"> REF _Ref469771782 \h </w:instrText>
      </w:r>
      <w:r w:rsidR="00385300">
        <w:rPr>
          <w:rFonts w:cs="Times New Roman"/>
        </w:rPr>
      </w:r>
      <w:r w:rsidR="00385300">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385300">
        <w:rPr>
          <w:rFonts w:cs="Times New Roman"/>
        </w:rPr>
        <w:fldChar w:fldCharType="end"/>
      </w:r>
      <w:r w:rsidRPr="00C043EA">
        <w:rPr>
          <w:rFonts w:cs="Times New Roman"/>
        </w:rPr>
        <w:t>). No differences between colonisation</w:t>
      </w:r>
      <w:r w:rsidR="00385300">
        <w:rPr>
          <w:rFonts w:cs="Times New Roman"/>
        </w:rPr>
        <w:t xml:space="preserve"> of rootstock types were found.</w:t>
      </w:r>
    </w:p>
    <w:p w:rsidR="00A57540" w:rsidRDefault="00A57540" w:rsidP="00A57540">
      <w:pPr>
        <w:pStyle w:val="Heading3"/>
      </w:pPr>
      <w:bookmarkStart w:id="151" w:name="_Toc469855024"/>
      <w:bookmarkStart w:id="152" w:name="_Toc469856024"/>
      <w:bookmarkStart w:id="153" w:name="_Toc469931933"/>
      <w:bookmarkStart w:id="154" w:name="_Toc469982254"/>
      <w:r w:rsidRPr="00C043EA">
        <w:t>Tree nutrient status</w:t>
      </w:r>
      <w:bookmarkEnd w:id="151"/>
      <w:bookmarkEnd w:id="152"/>
      <w:bookmarkEnd w:id="153"/>
      <w:bookmarkEnd w:id="154"/>
    </w:p>
    <w:p w:rsidR="00A57540" w:rsidRPr="00376A0B" w:rsidRDefault="00A57540" w:rsidP="00A57540">
      <w:pPr>
        <w:pStyle w:val="Heading4"/>
        <w:numPr>
          <w:ilvl w:val="3"/>
          <w:numId w:val="1"/>
        </w:numPr>
      </w:pPr>
      <w:r>
        <w:t xml:space="preserve">Leaf Nitrogen </w:t>
      </w:r>
    </w:p>
    <w:p w:rsidR="00A57540" w:rsidRDefault="00A57540" w:rsidP="00A57540">
      <w:pPr>
        <w:rPr>
          <w:rFonts w:cs="Times New Roman"/>
        </w:rPr>
      </w:pPr>
      <w:r w:rsidRPr="00C043EA">
        <w:rPr>
          <w:rFonts w:cs="Times New Roman"/>
        </w:rPr>
        <w:t xml:space="preserve">High nutrient treatment significantly increased leaf N concentration </w:t>
      </w:r>
      <w:r>
        <w:rPr>
          <w:rFonts w:cs="Times New Roman"/>
        </w:rPr>
        <w:t>from 22.1 to 23.0 mg g</w:t>
      </w:r>
      <w:r w:rsidRPr="00AA35DB">
        <w:rPr>
          <w:rFonts w:cs="Times New Roman"/>
          <w:vertAlign w:val="superscript"/>
        </w:rPr>
        <w:t>-1</w:t>
      </w:r>
      <w:r>
        <w:rPr>
          <w:rFonts w:cs="Times New Roman"/>
        </w:rPr>
        <w:t xml:space="preserve"> </w:t>
      </w:r>
      <w:r w:rsidRPr="00C043EA">
        <w:rPr>
          <w:rFonts w:cs="Times New Roman"/>
        </w:rPr>
        <w:t xml:space="preserve">in year 2 </w:t>
      </w:r>
      <w:r>
        <w:rPr>
          <w:rFonts w:cs="Times New Roman"/>
        </w:rPr>
        <w:t xml:space="preserve">(4% increase) </w:t>
      </w:r>
      <w:r w:rsidRPr="00C043EA">
        <w:rPr>
          <w:rFonts w:cs="Times New Roman"/>
        </w:rPr>
        <w:t>and</w:t>
      </w:r>
      <w:r>
        <w:rPr>
          <w:rFonts w:cs="Times New Roman"/>
        </w:rPr>
        <w:t xml:space="preserve"> from 18.8 to 24.2 mg g</w:t>
      </w:r>
      <w:r w:rsidRPr="00AA35DB">
        <w:rPr>
          <w:rFonts w:cs="Times New Roman"/>
          <w:vertAlign w:val="superscript"/>
        </w:rPr>
        <w:t>-1</w:t>
      </w:r>
      <w:r w:rsidRPr="00C043EA">
        <w:rPr>
          <w:rFonts w:cs="Times New Roman"/>
        </w:rPr>
        <w:t xml:space="preserve"> in year 3 </w:t>
      </w:r>
      <w:r>
        <w:rPr>
          <w:rFonts w:cs="Times New Roman"/>
        </w:rPr>
        <w:t>(</w:t>
      </w:r>
      <w:r w:rsidRPr="00C043EA">
        <w:rPr>
          <w:rFonts w:cs="Times New Roman"/>
        </w:rPr>
        <w:t xml:space="preserve">28% </w:t>
      </w:r>
      <w:r>
        <w:rPr>
          <w:rFonts w:cs="Times New Roman"/>
        </w:rPr>
        <w:t xml:space="preserve">increase), </w:t>
      </w:r>
      <w:r w:rsidRPr="00C043EA">
        <w:rPr>
          <w:rFonts w:cs="Times New Roman"/>
        </w:rPr>
        <w:t>(</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C043EA">
        <w:rPr>
          <w:rFonts w:cs="Times New Roman"/>
        </w:rPr>
        <w:t xml:space="preserve">). </w:t>
      </w:r>
      <w:r>
        <w:rPr>
          <w:rFonts w:cs="Times New Roman"/>
        </w:rPr>
        <w:t>A significant effect of rootstock upon leaf N concentration was shown for both years 2 and 3 with MM111 rootstocks showing higher leaf N concentrations in both years (year 2: MM111 23.0 mg g</w:t>
      </w:r>
      <w:r w:rsidRPr="00AA35DB">
        <w:rPr>
          <w:rFonts w:cs="Times New Roman"/>
          <w:vertAlign w:val="superscript"/>
        </w:rPr>
        <w:t>-1</w:t>
      </w:r>
      <w:r w:rsidRPr="00C043EA">
        <w:rPr>
          <w:rFonts w:cs="Times New Roman"/>
        </w:rPr>
        <w:t xml:space="preserve"> </w:t>
      </w:r>
      <w:r>
        <w:rPr>
          <w:rFonts w:cs="Times New Roman"/>
        </w:rPr>
        <w:t xml:space="preserve">compared to MM106 </w:t>
      </w:r>
      <w:r w:rsidRPr="008757BC">
        <w:rPr>
          <w:rFonts w:cs="Times New Roman"/>
        </w:rPr>
        <w:t>22.2</w:t>
      </w:r>
      <w:r>
        <w:rPr>
          <w:rFonts w:cs="Times New Roman"/>
        </w:rPr>
        <w:t xml:space="preserve"> mg g</w:t>
      </w:r>
      <w:r w:rsidRPr="00AA35DB">
        <w:rPr>
          <w:rFonts w:cs="Times New Roman"/>
          <w:vertAlign w:val="superscript"/>
        </w:rPr>
        <w:t>-1</w:t>
      </w:r>
      <w:r>
        <w:rPr>
          <w:rFonts w:cs="Times New Roman"/>
        </w:rPr>
        <w:t xml:space="preserve"> and year 3: MM111 22.2 mg g</w:t>
      </w:r>
      <w:r w:rsidRPr="00AA35DB">
        <w:rPr>
          <w:rFonts w:cs="Times New Roman"/>
          <w:vertAlign w:val="superscript"/>
        </w:rPr>
        <w:t>-1</w:t>
      </w:r>
      <w:r w:rsidRPr="00C043EA">
        <w:rPr>
          <w:rFonts w:cs="Times New Roman"/>
        </w:rPr>
        <w:t xml:space="preserve"> </w:t>
      </w:r>
      <w:r>
        <w:rPr>
          <w:rFonts w:cs="Times New Roman"/>
        </w:rPr>
        <w:t>compared to MM106 20.7</w:t>
      </w:r>
      <w:r w:rsidRPr="008757BC">
        <w:rPr>
          <w:rFonts w:cs="Times New Roman"/>
        </w:rPr>
        <w:t xml:space="preserve"> </w:t>
      </w:r>
      <w:r>
        <w:rPr>
          <w:rFonts w:cs="Times New Roman"/>
        </w:rPr>
        <w:t>mg g</w:t>
      </w:r>
      <w:r w:rsidRPr="00AA35DB">
        <w:rPr>
          <w:rFonts w:cs="Times New Roman"/>
          <w:vertAlign w:val="superscript"/>
        </w:rPr>
        <w:t>-1</w:t>
      </w:r>
      <w:r>
        <w:rPr>
          <w:rFonts w:cs="Times New Roman"/>
          <w:vertAlign w:val="superscript"/>
        </w:rPr>
        <w:t xml:space="preserve"> </w:t>
      </w:r>
      <w:r w:rsidRPr="001B3C9E">
        <w:rPr>
          <w:rFonts w:cs="Times New Roman"/>
        </w:rPr>
        <w:t>)</w:t>
      </w:r>
      <w:r>
        <w:rPr>
          <w:rFonts w:cs="Times New Roman"/>
        </w:rPr>
        <w:t>,</w:t>
      </w:r>
      <w:r w:rsidRPr="00C043EA">
        <w:rPr>
          <w:rFonts w:cs="Times New Roman"/>
        </w:rPr>
        <w:t xml:space="preserve"> </w:t>
      </w:r>
      <w:r w:rsidRPr="008757BC">
        <w:rPr>
          <w:rFonts w:cs="Times New Roman"/>
        </w:rPr>
        <w:t>(</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8757BC">
        <w:rPr>
          <w:rFonts w:cs="Times New Roman"/>
        </w:rPr>
        <w:t>).</w:t>
      </w:r>
      <w:r>
        <w:rPr>
          <w:rFonts w:cs="Times New Roman"/>
        </w:rPr>
        <w:t xml:space="preserve">  Scion type had a small but significant effect upon leaf N in year 2 with leaf concentration of Dabinett trees averaging at 21.8 mg g</w:t>
      </w:r>
      <w:r w:rsidRPr="00AA35DB">
        <w:rPr>
          <w:rFonts w:cs="Times New Roman"/>
          <w:vertAlign w:val="superscript"/>
        </w:rPr>
        <w:t>-1</w:t>
      </w:r>
      <w:r>
        <w:rPr>
          <w:rFonts w:cs="Times New Roman"/>
        </w:rPr>
        <w:t xml:space="preserve"> compared to 21.1 mg g</w:t>
      </w:r>
      <w:r w:rsidRPr="00AA35DB">
        <w:rPr>
          <w:rFonts w:cs="Times New Roman"/>
          <w:vertAlign w:val="superscript"/>
        </w:rPr>
        <w:t>-1</w:t>
      </w:r>
      <w:r>
        <w:rPr>
          <w:rFonts w:cs="Times New Roman"/>
        </w:rPr>
        <w:t xml:space="preserve"> in Michelin trees. No significant difference between inoculated and non-inoculated trees was shown for leaf N concentration for any year of the experiment.</w:t>
      </w:r>
    </w:p>
    <w:p w:rsidR="00A57540" w:rsidRDefault="00A57540" w:rsidP="00A57540">
      <w:pPr>
        <w:pStyle w:val="Heading4"/>
        <w:numPr>
          <w:ilvl w:val="3"/>
          <w:numId w:val="1"/>
        </w:numPr>
      </w:pPr>
      <w:r>
        <w:t>Leaf Phosphorus</w:t>
      </w:r>
    </w:p>
    <w:p w:rsidR="00A57540" w:rsidRDefault="00A57540" w:rsidP="00A57540">
      <w:pPr>
        <w:rPr>
          <w:rFonts w:cs="Times New Roman"/>
        </w:rPr>
      </w:pPr>
      <w:r w:rsidRPr="00C043EA">
        <w:rPr>
          <w:rFonts w:cs="Times New Roman"/>
        </w:rPr>
        <w:t xml:space="preserve">No significant effect of </w:t>
      </w:r>
      <w:r>
        <w:rPr>
          <w:rFonts w:cs="Times New Roman"/>
        </w:rPr>
        <w:t>AMF inoculation, or scion or</w:t>
      </w:r>
      <w:r w:rsidRPr="00C043EA">
        <w:rPr>
          <w:rFonts w:cs="Times New Roman"/>
        </w:rPr>
        <w:t xml:space="preserve"> rootstock</w:t>
      </w:r>
      <w:r>
        <w:rPr>
          <w:rFonts w:cs="Times New Roman"/>
        </w:rPr>
        <w:t xml:space="preserve"> type upon </w:t>
      </w:r>
      <w:r w:rsidRPr="00C043EA">
        <w:rPr>
          <w:rFonts w:cs="Times New Roman"/>
        </w:rPr>
        <w:t>leaf phosphorus concentration</w:t>
      </w:r>
      <w:r>
        <w:rPr>
          <w:rFonts w:cs="Times New Roman"/>
        </w:rPr>
        <w:t xml:space="preserve"> was shown. In year 3 trees receiving high nutrient treatments showed a significantly increased leaf P concentration of 2.8 mg g</w:t>
      </w:r>
      <w:r w:rsidRPr="00AA35DB">
        <w:rPr>
          <w:rFonts w:cs="Times New Roman"/>
          <w:vertAlign w:val="superscript"/>
        </w:rPr>
        <w:t>-1</w:t>
      </w:r>
      <w:r>
        <w:rPr>
          <w:rFonts w:cs="Times New Roman"/>
        </w:rPr>
        <w:t xml:space="preserve"> compared to 1.8 mg g</w:t>
      </w:r>
      <w:r w:rsidRPr="00AA35DB">
        <w:rPr>
          <w:rFonts w:cs="Times New Roman"/>
          <w:vertAlign w:val="superscript"/>
        </w:rPr>
        <w:t>-1</w:t>
      </w:r>
      <w:r>
        <w:rPr>
          <w:rFonts w:cs="Times New Roman"/>
        </w:rPr>
        <w:t xml:space="preserve"> in low nutrient trees </w:t>
      </w:r>
      <w:r w:rsidRPr="00D41101">
        <w:rPr>
          <w:rFonts w:cs="Times New Roman"/>
        </w:rPr>
        <w:t>(</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F71A92">
        <w:rPr>
          <w:rFonts w:cs="Times New Roman"/>
        </w:rPr>
        <w:t>).</w:t>
      </w:r>
      <w:r>
        <w:rPr>
          <w:rFonts w:cs="Times New Roman"/>
        </w:rPr>
        <w:t xml:space="preserve"> </w:t>
      </w:r>
    </w:p>
    <w:p w:rsidR="00A57540" w:rsidRPr="004A3212" w:rsidRDefault="00A57540" w:rsidP="00A57540">
      <w:pPr>
        <w:pStyle w:val="Heading4"/>
        <w:numPr>
          <w:ilvl w:val="3"/>
          <w:numId w:val="1"/>
        </w:numPr>
      </w:pPr>
      <w:r w:rsidRPr="004A3212">
        <w:t>Leaf carbon and C:</w:t>
      </w:r>
      <w:r>
        <w:t xml:space="preserve"> </w:t>
      </w:r>
      <w:r w:rsidRPr="004A3212">
        <w:t xml:space="preserve">N </w:t>
      </w:r>
      <w:r>
        <w:t>ratio</w:t>
      </w:r>
    </w:p>
    <w:p w:rsidR="00A57540" w:rsidRPr="00376A0B" w:rsidRDefault="00A57540" w:rsidP="00A57540">
      <w:r>
        <w:t>Trees inoculated with AMF showed no differences in leaf C or C: N ratio compared to non-inoculated trees (</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C62D64">
        <w:t>)</w:t>
      </w:r>
      <w:r>
        <w:t>. In the third year of the experiment t</w:t>
      </w:r>
      <w:r w:rsidRPr="00C62D64">
        <w:t>rees receiving high nutrient treatment showed a reduced C:</w:t>
      </w:r>
      <w:r>
        <w:t xml:space="preserve"> </w:t>
      </w:r>
      <w:r w:rsidRPr="00C62D64">
        <w:t>N ratio compared to low nutrient trees which corresponded with increased leaf N and reduced leaf C compared to low nutrient trees (</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C62D64">
        <w:t>).</w:t>
      </w:r>
      <w:r>
        <w:t xml:space="preserve"> Some differences in leaf C and C: N were shown between rootstock and scions although these effects were not constant across the three years of the experiment.</w:t>
      </w:r>
    </w:p>
    <w:p w:rsidR="00A57540" w:rsidRDefault="00A57540" w:rsidP="00A57540">
      <w:pPr>
        <w:pStyle w:val="Heading4"/>
        <w:numPr>
          <w:ilvl w:val="3"/>
          <w:numId w:val="1"/>
        </w:numPr>
      </w:pPr>
      <w:r>
        <w:lastRenderedPageBreak/>
        <w:t xml:space="preserve">Leaf Chlorophyll </w:t>
      </w:r>
    </w:p>
    <w:p w:rsidR="00A57540" w:rsidRPr="00C043EA" w:rsidRDefault="00A57540" w:rsidP="00A57540">
      <w:pPr>
        <w:rPr>
          <w:rFonts w:cs="Times New Roman"/>
        </w:rPr>
      </w:pPr>
      <w:r>
        <w:rPr>
          <w:rFonts w:cs="Times New Roman"/>
        </w:rPr>
        <w:t>No effect of AMF upon leaf chlorophyll was reported however consistent effects of rootstock and scion were shown across all years of the experiment. Michelin trees showed higher chlorophyll content than Dabinett and trees with MM106 showed on average higher leaf chlorophyll than those on MM111 rootstocks. For year 3 only, trees receiving high nutrient application showed higher leaf chlorophyll (2.40 mg g</w:t>
      </w:r>
      <w:r w:rsidRPr="00AA35DB">
        <w:rPr>
          <w:rFonts w:cs="Times New Roman"/>
          <w:vertAlign w:val="superscript"/>
        </w:rPr>
        <w:t>-1</w:t>
      </w:r>
      <w:r>
        <w:rPr>
          <w:rFonts w:cs="Times New Roman"/>
        </w:rPr>
        <w:t>) compared to trees receiving low nutrient treatment (2.53 mg g</w:t>
      </w:r>
      <w:r w:rsidRPr="00AA35DB">
        <w:rPr>
          <w:rFonts w:cs="Times New Roman"/>
          <w:vertAlign w:val="superscript"/>
        </w:rPr>
        <w:t>-</w:t>
      </w:r>
      <w:r>
        <w:rPr>
          <w:rFonts w:cs="Times New Roman"/>
          <w:vertAlign w:val="superscript"/>
        </w:rPr>
        <w:t xml:space="preserve">1  </w:t>
      </w:r>
      <w:r>
        <w:rPr>
          <w:rFonts w:cs="Times New Roman"/>
        </w:rPr>
        <w:t>).</w:t>
      </w:r>
    </w:p>
    <w:p w:rsidR="00A57540" w:rsidRDefault="00A57540" w:rsidP="00A57540">
      <w:pPr>
        <w:pStyle w:val="Heading3"/>
      </w:pPr>
      <w:bookmarkStart w:id="155" w:name="_Toc469855025"/>
      <w:bookmarkStart w:id="156" w:name="_Toc469856025"/>
      <w:bookmarkStart w:id="157" w:name="_Toc469931934"/>
      <w:bookmarkStart w:id="158" w:name="_Toc469982255"/>
      <w:r w:rsidRPr="00C043EA">
        <w:t>Tree growth</w:t>
      </w:r>
      <w:bookmarkEnd w:id="155"/>
      <w:bookmarkEnd w:id="156"/>
      <w:bookmarkEnd w:id="157"/>
      <w:bookmarkEnd w:id="158"/>
      <w:r w:rsidRPr="00C043EA">
        <w:t xml:space="preserve"> </w:t>
      </w:r>
    </w:p>
    <w:p w:rsidR="00A57540" w:rsidRPr="00056C9C" w:rsidRDefault="00A57540" w:rsidP="00A57540">
      <w:pPr>
        <w:pStyle w:val="Heading4"/>
        <w:numPr>
          <w:ilvl w:val="3"/>
          <w:numId w:val="1"/>
        </w:numPr>
      </w:pPr>
      <w:r>
        <w:t>Growth</w:t>
      </w:r>
    </w:p>
    <w:p w:rsidR="00A57540" w:rsidRPr="00C043EA" w:rsidRDefault="00A57540" w:rsidP="00A57540">
      <w:pPr>
        <w:rPr>
          <w:rFonts w:cs="Times New Roman"/>
        </w:rPr>
      </w:pPr>
      <w:r w:rsidRPr="00C043EA">
        <w:rPr>
          <w:rFonts w:cs="Times New Roman"/>
        </w:rPr>
        <w:t>AMF inoculated trees showed</w:t>
      </w:r>
      <w:r>
        <w:rPr>
          <w:rFonts w:cs="Times New Roman"/>
        </w:rPr>
        <w:t xml:space="preserve"> a significant increase in height (8% increase) compared to non-inoculated trees during year 2 (193 cm compared to 179 cm respectively) (</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Pr>
          <w:rFonts w:cs="Times New Roman"/>
        </w:rPr>
        <w:t>)</w:t>
      </w:r>
      <w:r w:rsidR="00F6521E">
        <w:rPr>
          <w:rFonts w:cs="Times New Roman"/>
        </w:rPr>
        <w:t>,</w:t>
      </w:r>
      <w:r w:rsidRPr="00C043EA">
        <w:rPr>
          <w:rFonts w:cs="Times New Roman"/>
        </w:rPr>
        <w:t xml:space="preserve"> however this positive effect on growth was not shown for year one or three.  </w:t>
      </w:r>
      <w:r>
        <w:rPr>
          <w:rFonts w:cs="Times New Roman"/>
        </w:rPr>
        <w:t>No effect of nutrient application was found for tree height</w:t>
      </w:r>
      <w:r w:rsidRPr="00C043EA">
        <w:rPr>
          <w:rFonts w:cs="Times New Roman"/>
        </w:rPr>
        <w:t>. Rootstock and scion type both significantly affected tree height; trees with Michelin scions were on average taller for all years of the experiment (</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C043EA">
        <w:rPr>
          <w:rFonts w:cs="Times New Roman"/>
        </w:rPr>
        <w:t xml:space="preserve">) and trees with MM106 rootstocks were significantly taller in year two and three </w:t>
      </w:r>
      <w:r>
        <w:rPr>
          <w:rFonts w:cs="Times New Roman"/>
        </w:rPr>
        <w:t>although</w:t>
      </w:r>
      <w:r w:rsidRPr="00C043EA">
        <w:rPr>
          <w:rFonts w:cs="Times New Roman"/>
        </w:rPr>
        <w:t xml:space="preserve"> significantly shorte</w:t>
      </w:r>
      <w:r>
        <w:rPr>
          <w:rFonts w:cs="Times New Roman"/>
        </w:rPr>
        <w:t>r</w:t>
      </w:r>
      <w:r w:rsidRPr="00C043EA">
        <w:rPr>
          <w:rFonts w:cs="Times New Roman"/>
        </w:rPr>
        <w:t xml:space="preserve"> than MM111 during year 1 </w:t>
      </w:r>
      <w:r w:rsidRPr="00056C9C">
        <w:rPr>
          <w:rFonts w:cs="Times New Roman"/>
        </w:rPr>
        <w:t>(</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056C9C">
        <w:rPr>
          <w:rFonts w:cs="Times New Roman"/>
        </w:rPr>
        <w:t>).</w:t>
      </w:r>
      <w:r w:rsidRPr="00C043EA">
        <w:rPr>
          <w:rFonts w:cs="Times New Roman"/>
        </w:rPr>
        <w:t xml:space="preserve"> </w:t>
      </w:r>
    </w:p>
    <w:p w:rsidR="00A57540" w:rsidRDefault="00A57540" w:rsidP="00A57540">
      <w:pPr>
        <w:rPr>
          <w:rFonts w:cs="Times New Roman"/>
        </w:rPr>
      </w:pPr>
      <w:r w:rsidRPr="00C043EA">
        <w:rPr>
          <w:rFonts w:cs="Times New Roman"/>
        </w:rPr>
        <w:t>Trunk diameter was significantly affected by scion type with Michelin trees consistently larger than Dabinett trees for all years (</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C043EA">
        <w:rPr>
          <w:rFonts w:cs="Times New Roman"/>
        </w:rPr>
        <w:t>). Rootstock also had a significant effect with M111 rootstock trees showing larger trunk diameter in year two and three of the experiment (</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C043EA">
        <w:rPr>
          <w:rFonts w:cs="Times New Roman"/>
        </w:rPr>
        <w:t>). There was no significant effect of</w:t>
      </w:r>
      <w:r>
        <w:rPr>
          <w:rFonts w:cs="Times New Roman"/>
        </w:rPr>
        <w:t xml:space="preserve"> mycorrhizal inoculation or</w:t>
      </w:r>
      <w:r w:rsidRPr="00C043EA">
        <w:rPr>
          <w:rFonts w:cs="Times New Roman"/>
        </w:rPr>
        <w:t xml:space="preserve"> nutrient treatment </w:t>
      </w:r>
      <w:r>
        <w:rPr>
          <w:rFonts w:cs="Times New Roman"/>
        </w:rPr>
        <w:t>up</w:t>
      </w:r>
      <w:r w:rsidRPr="00C043EA">
        <w:rPr>
          <w:rFonts w:cs="Times New Roman"/>
        </w:rPr>
        <w:t xml:space="preserve">on trunk diameter. </w:t>
      </w:r>
    </w:p>
    <w:p w:rsidR="00A57540" w:rsidRPr="00C043EA" w:rsidRDefault="00A57540" w:rsidP="00A57540">
      <w:pPr>
        <w:pStyle w:val="Heading4"/>
        <w:numPr>
          <w:ilvl w:val="3"/>
          <w:numId w:val="1"/>
        </w:numPr>
      </w:pPr>
      <w:r>
        <w:t>Biomass</w:t>
      </w:r>
    </w:p>
    <w:p w:rsidR="00A57540" w:rsidRDefault="00A57540" w:rsidP="00A57540">
      <w:pPr>
        <w:rPr>
          <w:rFonts w:cs="Times New Roman"/>
        </w:rPr>
      </w:pPr>
      <w:r w:rsidRPr="00C043EA">
        <w:rPr>
          <w:rFonts w:cs="Times New Roman"/>
        </w:rPr>
        <w:t>There was no significant effect of nutrient, scion or mycorrhizal treatment on tree above ground biomass (</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C043EA">
        <w:rPr>
          <w:rFonts w:cs="Times New Roman"/>
        </w:rPr>
        <w:t>) however above ground biomass was significantly affected by rootstock with trees on MM106 rootstock on average of 14% greater biomass than those on MM111 (</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C043EA">
        <w:rPr>
          <w:rFonts w:cs="Times New Roman"/>
        </w:rPr>
        <w:t>). Root biomass was no effected by AMF treatment but was significantly reduced by 17% with high nutrient application in comparison to low nutrient application (</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C043EA">
        <w:rPr>
          <w:rFonts w:cs="Times New Roman"/>
        </w:rPr>
        <w:t>).  Scion and rootstock type also significantly affected root biomass with on average larger root systems found for trees with the Michelin scion in comparison to Dabinett and for trees with MM111 rootstock in comparison to MM106 (</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C043EA">
        <w:rPr>
          <w:rFonts w:cs="Times New Roman"/>
        </w:rPr>
        <w:t>).</w:t>
      </w:r>
    </w:p>
    <w:p w:rsidR="00A57540" w:rsidRDefault="00A57540" w:rsidP="00A57540">
      <w:pPr>
        <w:pStyle w:val="Heading4"/>
        <w:numPr>
          <w:ilvl w:val="3"/>
          <w:numId w:val="1"/>
        </w:numPr>
      </w:pPr>
      <w:r>
        <w:t>Root length</w:t>
      </w:r>
    </w:p>
    <w:p w:rsidR="00A57540" w:rsidRPr="004A3212" w:rsidRDefault="00A57540" w:rsidP="00A57540">
      <w:pPr>
        <w:rPr>
          <w:rFonts w:cs="Times New Roman"/>
        </w:rPr>
      </w:pPr>
      <w:r>
        <w:rPr>
          <w:rFonts w:cs="Times New Roman"/>
        </w:rPr>
        <w:t>Mycorrhizal inoculation reduced root length by 19% compared to non-inoculated trees. Colonised trees showed on average 119 cm of root over a surface area of 860 cm</w:t>
      </w:r>
      <w:r w:rsidRPr="00B629B7">
        <w:rPr>
          <w:rFonts w:cs="Times New Roman"/>
          <w:vertAlign w:val="superscript"/>
        </w:rPr>
        <w:t>2</w:t>
      </w:r>
      <w:r>
        <w:rPr>
          <w:rFonts w:cs="Times New Roman"/>
        </w:rPr>
        <w:t xml:space="preserve"> compared to non-inoculated trees which showed on average 96 cm of root over the same area. Scion type also affected root length with trees with Dabinett scion showing on average 97 cm of root over the </w:t>
      </w:r>
      <w:r>
        <w:rPr>
          <w:rFonts w:cs="Times New Roman"/>
        </w:rPr>
        <w:lastRenderedPageBreak/>
        <w:t>measured soil area compared to Michelin trees which showed 118 cm of root</w:t>
      </w:r>
      <w:r w:rsidR="00E52B3A">
        <w:rPr>
          <w:rFonts w:cs="Times New Roman"/>
        </w:rPr>
        <w:t xml:space="preserve"> (</w:t>
      </w:r>
      <w:r w:rsidR="00E52B3A">
        <w:rPr>
          <w:rFonts w:cs="Times New Roman"/>
        </w:rPr>
        <w:fldChar w:fldCharType="begin"/>
      </w:r>
      <w:r w:rsidR="00E52B3A">
        <w:rPr>
          <w:rFonts w:cs="Times New Roman"/>
        </w:rPr>
        <w:instrText xml:space="preserve"> REF _Ref469771779 \h </w:instrText>
      </w:r>
      <w:r w:rsidR="00E52B3A">
        <w:rPr>
          <w:rFonts w:cs="Times New Roman"/>
        </w:rPr>
      </w:r>
      <w:r w:rsidR="00E52B3A">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E52B3A">
        <w:rPr>
          <w:rFonts w:cs="Times New Roman"/>
        </w:rPr>
        <w:fldChar w:fldCharType="end"/>
      </w:r>
      <w:r w:rsidR="00E52B3A">
        <w:rPr>
          <w:rFonts w:cs="Times New Roman"/>
        </w:rPr>
        <w:t xml:space="preserve">, </w:t>
      </w:r>
      <w:r w:rsidR="00E52B3A">
        <w:rPr>
          <w:rFonts w:cs="Times New Roman"/>
        </w:rPr>
        <w:fldChar w:fldCharType="begin"/>
      </w:r>
      <w:r w:rsidR="00E52B3A">
        <w:rPr>
          <w:rFonts w:cs="Times New Roman"/>
        </w:rPr>
        <w:instrText xml:space="preserve"> REF _Ref469771782 \h </w:instrText>
      </w:r>
      <w:r w:rsidR="00E52B3A">
        <w:rPr>
          <w:rFonts w:cs="Times New Roman"/>
        </w:rPr>
      </w:r>
      <w:r w:rsidR="00E52B3A">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E52B3A">
        <w:rPr>
          <w:rFonts w:cs="Times New Roman"/>
        </w:rPr>
        <w:fldChar w:fldCharType="end"/>
      </w:r>
      <w:r w:rsidR="00E52B3A">
        <w:rPr>
          <w:rFonts w:cs="Times New Roman"/>
        </w:rPr>
        <w:t>)</w:t>
      </w:r>
      <w:r>
        <w:rPr>
          <w:rFonts w:cs="Times New Roman"/>
        </w:rPr>
        <w:t xml:space="preserve">. </w:t>
      </w:r>
    </w:p>
    <w:p w:rsidR="00A57540" w:rsidRPr="00C043EA" w:rsidRDefault="00A57540" w:rsidP="00A57540">
      <w:pPr>
        <w:pStyle w:val="Heading4"/>
        <w:numPr>
          <w:ilvl w:val="3"/>
          <w:numId w:val="1"/>
        </w:numPr>
      </w:pPr>
      <w:r>
        <w:t>Leaf and flower phenology</w:t>
      </w:r>
    </w:p>
    <w:p w:rsidR="00A57540" w:rsidRDefault="00A57540" w:rsidP="00A57540">
      <w:pPr>
        <w:rPr>
          <w:rFonts w:cs="Times New Roman"/>
        </w:rPr>
      </w:pPr>
      <w:r w:rsidRPr="00C043EA">
        <w:rPr>
          <w:rFonts w:cs="Times New Roman"/>
        </w:rPr>
        <w:t>Rootstock had a significant effect upon leaf phenology in year 2 with MM106 trees coming into leaf on average 2 days earlier than MM111 trees (</w:t>
      </w:r>
      <w:r w:rsidRPr="00C043EA">
        <w:rPr>
          <w:rFonts w:cs="Times New Roman"/>
          <w:i/>
        </w:rPr>
        <w:t>F</w:t>
      </w:r>
      <w:r w:rsidRPr="00056C9C">
        <w:rPr>
          <w:rFonts w:cs="Times New Roman"/>
          <w:i/>
          <w:vertAlign w:val="subscript"/>
        </w:rPr>
        <w:t>1,143</w:t>
      </w:r>
      <w:r w:rsidRPr="00C043EA">
        <w:rPr>
          <w:rFonts w:cs="Times New Roman"/>
        </w:rPr>
        <w:t xml:space="preserve">=4.208, </w:t>
      </w:r>
      <w:r w:rsidRPr="00C043EA">
        <w:rPr>
          <w:rFonts w:cs="Times New Roman"/>
          <w:i/>
        </w:rPr>
        <w:t>P</w:t>
      </w:r>
      <w:r w:rsidRPr="00C043EA">
        <w:rPr>
          <w:rFonts w:cs="Times New Roman"/>
        </w:rPr>
        <w:t>&lt;0.001) however this effect was not shown the following year. No effect of mycorrhiza, nutrient or scion was found for either year. On average trees came i</w:t>
      </w:r>
      <w:r>
        <w:rPr>
          <w:rFonts w:cs="Times New Roman"/>
        </w:rPr>
        <w:t>nto leaf after 59.6 days in y</w:t>
      </w:r>
      <w:r w:rsidRPr="00C043EA">
        <w:rPr>
          <w:rFonts w:cs="Times New Roman"/>
        </w:rPr>
        <w:t>ear 2 (60</w:t>
      </w:r>
      <w:r w:rsidRPr="00C043EA">
        <w:rPr>
          <w:rFonts w:cs="Times New Roman"/>
          <w:vertAlign w:val="superscript"/>
        </w:rPr>
        <w:t>th</w:t>
      </w:r>
      <w:r w:rsidRPr="00C043EA">
        <w:rPr>
          <w:rFonts w:cs="Times New Roman"/>
        </w:rPr>
        <w:t xml:space="preserve"> day = 29</w:t>
      </w:r>
      <w:r w:rsidRPr="00C043EA">
        <w:rPr>
          <w:rFonts w:cs="Times New Roman"/>
          <w:vertAlign w:val="superscript"/>
        </w:rPr>
        <w:t>th</w:t>
      </w:r>
      <w:r w:rsidRPr="00C043EA">
        <w:rPr>
          <w:rFonts w:cs="Times New Roman"/>
        </w:rPr>
        <w:t xml:space="preserve"> March 201</w:t>
      </w:r>
      <w:r>
        <w:rPr>
          <w:rFonts w:cs="Times New Roman"/>
        </w:rPr>
        <w:t>4) and 76.7 days in year 3</w:t>
      </w:r>
      <w:r w:rsidRPr="00C043EA">
        <w:rPr>
          <w:rFonts w:cs="Times New Roman"/>
        </w:rPr>
        <w:t xml:space="preserve"> (77</w:t>
      </w:r>
      <w:r w:rsidRPr="00C043EA">
        <w:rPr>
          <w:rFonts w:cs="Times New Roman"/>
          <w:vertAlign w:val="superscript"/>
        </w:rPr>
        <w:t>th</w:t>
      </w:r>
      <w:r w:rsidRPr="00C043EA">
        <w:rPr>
          <w:rFonts w:cs="Times New Roman"/>
        </w:rPr>
        <w:t xml:space="preserve"> day = 16</w:t>
      </w:r>
      <w:r w:rsidRPr="00C043EA">
        <w:rPr>
          <w:rFonts w:cs="Times New Roman"/>
          <w:vertAlign w:val="superscript"/>
        </w:rPr>
        <w:t>th</w:t>
      </w:r>
      <w:r w:rsidRPr="00C043EA">
        <w:rPr>
          <w:rFonts w:cs="Times New Roman"/>
        </w:rPr>
        <w:t xml:space="preserve"> May 2015) reflecting the colder spring temperatures of 2015. No significant effect of treatment was found upon flowering date </w:t>
      </w:r>
      <w:r>
        <w:rPr>
          <w:rFonts w:cs="Times New Roman"/>
        </w:rPr>
        <w:t>for any year of this experiment.</w:t>
      </w:r>
    </w:p>
    <w:p w:rsidR="00A57540" w:rsidRDefault="00A57540" w:rsidP="00A57540">
      <w:pPr>
        <w:pStyle w:val="Heading3"/>
      </w:pPr>
      <w:bookmarkStart w:id="159" w:name="_Toc469855026"/>
      <w:bookmarkStart w:id="160" w:name="_Toc469856026"/>
      <w:bookmarkStart w:id="161" w:name="_Toc469931935"/>
      <w:bookmarkStart w:id="162" w:name="_Toc469982256"/>
      <w:r>
        <w:t>Tree productivity</w:t>
      </w:r>
      <w:bookmarkEnd w:id="159"/>
      <w:bookmarkEnd w:id="160"/>
      <w:bookmarkEnd w:id="161"/>
      <w:bookmarkEnd w:id="162"/>
    </w:p>
    <w:p w:rsidR="00A57540" w:rsidRPr="00C043EA" w:rsidRDefault="00A57540" w:rsidP="00A57540">
      <w:pPr>
        <w:pStyle w:val="Heading4"/>
        <w:numPr>
          <w:ilvl w:val="3"/>
          <w:numId w:val="1"/>
        </w:numPr>
      </w:pPr>
      <w:r w:rsidRPr="00764E10">
        <w:t>Fruit</w:t>
      </w:r>
      <w:r>
        <w:t xml:space="preserve"> and flower production</w:t>
      </w:r>
    </w:p>
    <w:p w:rsidR="00A57540" w:rsidRDefault="00A57540" w:rsidP="00A57540">
      <w:pPr>
        <w:rPr>
          <w:rFonts w:cs="Times New Roman"/>
        </w:rPr>
      </w:pPr>
      <w:r>
        <w:rPr>
          <w:rFonts w:cs="Times New Roman"/>
        </w:rPr>
        <w:t xml:space="preserve">The first crop of fruit produced by trees in autumn 2013 after the first season of growth was very low however this is to be expected from newly planted trees due to their young age and recent plant date </w:t>
      </w:r>
      <w:r>
        <w:rPr>
          <w:rFonts w:cs="Times New Roman"/>
        </w:rPr>
        <w:fldChar w:fldCharType="begin"/>
      </w:r>
      <w:r w:rsidR="00954B3D">
        <w:rPr>
          <w:rFonts w:cs="Times New Roman"/>
        </w:rPr>
        <w:instrText xml:space="preserve"> ADDIN ZOTERO_ITEM CSL_CITATION {"citationID":"1esi45vgmg","properties":{"formattedCitation":"(Williams, 1996)","plainCitation":"(Williams, 1996)"},"citationItems":[{"id":625,"uris":["http://zotero.org/users/local/d1gJDEOw/items/DTKWXZGH"],"uri":["http://zotero.org/users/local/d1gJDEOw/items/DTKWXZGH"],"itemData":{"id":625,"type":"book","title":"Cider and Juice Apples: Growing and Processing","publisher":"Unviersity of Bristol Printing Unit","author":[{"family":"Williams","given":"R.R"}],"issued":{"date-parts":[["1996"]]}}}],"schema":"https://github.com/citation-style-language/schema/raw/master/csl-citation.json"} </w:instrText>
      </w:r>
      <w:r>
        <w:rPr>
          <w:rFonts w:cs="Times New Roman"/>
        </w:rPr>
        <w:fldChar w:fldCharType="separate"/>
      </w:r>
      <w:r w:rsidR="00954B3D" w:rsidRPr="00954B3D">
        <w:rPr>
          <w:rFonts w:cs="Times New Roman"/>
        </w:rPr>
        <w:t>(Williams, 1996)</w:t>
      </w:r>
      <w:r>
        <w:rPr>
          <w:rFonts w:cs="Times New Roman"/>
        </w:rPr>
        <w:fldChar w:fldCharType="end"/>
      </w:r>
      <w:r>
        <w:rPr>
          <w:rFonts w:cs="Times New Roman"/>
        </w:rPr>
        <w:t>.</w:t>
      </w:r>
      <w:r w:rsidRPr="00C043EA">
        <w:rPr>
          <w:rFonts w:cs="Times New Roman"/>
        </w:rPr>
        <w:t>Trees without myc</w:t>
      </w:r>
      <w:r>
        <w:rPr>
          <w:rFonts w:cs="Times New Roman"/>
        </w:rPr>
        <w:t xml:space="preserve">orrhiza yielded on average 133g of fruit which was a significant 35% increase compared to the 85g yielded on average by mycorrhizal trees </w:t>
      </w:r>
      <w:r w:rsidRPr="00C043EA">
        <w:rPr>
          <w:rFonts w:cs="Times New Roman"/>
        </w:rPr>
        <w:t>(</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C043EA">
        <w:rPr>
          <w:rFonts w:cs="Times New Roman"/>
        </w:rPr>
        <w:t>)</w:t>
      </w:r>
      <w:r>
        <w:rPr>
          <w:rFonts w:cs="Times New Roman"/>
        </w:rPr>
        <w:t>.  However no significant difference was shown in fruit number produced for mycorrhizal and non-mycorrhizal trees with all trees yielding on average one fruit per tree.</w:t>
      </w:r>
    </w:p>
    <w:p w:rsidR="00A57540" w:rsidRDefault="00A57540" w:rsidP="00A57540">
      <w:pPr>
        <w:rPr>
          <w:rFonts w:cs="Times New Roman"/>
        </w:rPr>
      </w:pPr>
      <w:r>
        <w:rPr>
          <w:rFonts w:cs="Times New Roman"/>
        </w:rPr>
        <w:t xml:space="preserve"> </w:t>
      </w:r>
      <w:r w:rsidRPr="00C043EA">
        <w:rPr>
          <w:rFonts w:cs="Times New Roman"/>
        </w:rPr>
        <w:t>First year fruit biomass was also significantly affected by tree scion and rootstock type with 83% greater fruit biomass produced by Dabinett scions in comparison to Michelin and</w:t>
      </w:r>
      <w:r>
        <w:rPr>
          <w:rFonts w:cs="Times New Roman"/>
        </w:rPr>
        <w:t xml:space="preserve"> 56% greater fruit biomass</w:t>
      </w:r>
      <w:r w:rsidRPr="00C043EA">
        <w:rPr>
          <w:rFonts w:cs="Times New Roman"/>
        </w:rPr>
        <w:t xml:space="preserve"> produced by MM106 rootstock in </w:t>
      </w:r>
      <w:r>
        <w:rPr>
          <w:rFonts w:cs="Times New Roman"/>
        </w:rPr>
        <w:t>comparison to MM111 (</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535033">
        <w:rPr>
          <w:rFonts w:cs="Times New Roman"/>
        </w:rPr>
        <w:t>).</w:t>
      </w:r>
      <w:r>
        <w:rPr>
          <w:rFonts w:cs="Times New Roman"/>
        </w:rPr>
        <w:t xml:space="preserve">  The same patterns of significance were shown from analysis of fruit number as for fruit biomass for scions and rootstock effects (</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C23CD1">
        <w:rPr>
          <w:rFonts w:cs="Times New Roman"/>
        </w:rPr>
        <w:t>)</w:t>
      </w:r>
      <w:r w:rsidR="00E62933">
        <w:rPr>
          <w:rFonts w:cs="Times New Roman"/>
        </w:rPr>
        <w:t xml:space="preserve"> </w:t>
      </w:r>
      <w:r>
        <w:rPr>
          <w:rFonts w:cs="Times New Roman"/>
        </w:rPr>
        <w:t>No significant effect of mycorrhizal inoculation or nutrient treatment upon flower production was shown (</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314B83">
        <w:rPr>
          <w:rFonts w:cs="Times New Roman"/>
        </w:rPr>
        <w:t>).</w:t>
      </w:r>
      <w:r>
        <w:rPr>
          <w:rFonts w:cs="Times New Roman"/>
        </w:rPr>
        <w:t xml:space="preserve"> Rootstock type significantly affected flower number</w:t>
      </w:r>
      <w:r w:rsidRPr="00C043EA">
        <w:rPr>
          <w:rFonts w:cs="Times New Roman"/>
        </w:rPr>
        <w:t xml:space="preserve"> during both year 2 and year 3 (</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C043EA">
        <w:rPr>
          <w:rFonts w:cs="Times New Roman"/>
        </w:rPr>
        <w:t xml:space="preserve">) with MM106 rootstock trees producing 77 and 65% more flowers than MM111 rootstock trees during </w:t>
      </w:r>
      <w:r>
        <w:rPr>
          <w:rFonts w:cs="Times New Roman"/>
        </w:rPr>
        <w:t>year 2 and year 3 respectively.</w:t>
      </w:r>
      <w:r w:rsidRPr="00C043EA">
        <w:rPr>
          <w:rFonts w:cs="Times New Roman"/>
        </w:rPr>
        <w:t xml:space="preserve"> </w:t>
      </w:r>
    </w:p>
    <w:p w:rsidR="00A57540" w:rsidRPr="00C043EA" w:rsidRDefault="00A57540" w:rsidP="00A57540">
      <w:pPr>
        <w:pStyle w:val="Heading3"/>
      </w:pPr>
      <w:bookmarkStart w:id="163" w:name="_Toc469855027"/>
      <w:bookmarkStart w:id="164" w:name="_Toc469856027"/>
      <w:bookmarkStart w:id="165" w:name="_Toc469931936"/>
      <w:bookmarkStart w:id="166" w:name="_Toc469982257"/>
      <w:r w:rsidRPr="00C043EA">
        <w:t xml:space="preserve">Disease </w:t>
      </w:r>
      <w:r w:rsidRPr="000A7848">
        <w:t>resistance</w:t>
      </w:r>
      <w:bookmarkEnd w:id="163"/>
      <w:bookmarkEnd w:id="164"/>
      <w:bookmarkEnd w:id="165"/>
      <w:bookmarkEnd w:id="166"/>
    </w:p>
    <w:p w:rsidR="00E62933" w:rsidRDefault="00A57540" w:rsidP="00A57540">
      <w:pPr>
        <w:rPr>
          <w:rFonts w:cs="Times New Roman"/>
        </w:rPr>
      </w:pPr>
      <w:r w:rsidRPr="00057323">
        <w:rPr>
          <w:rFonts w:cs="Times New Roman"/>
        </w:rPr>
        <w:t xml:space="preserve">AMF inoculation significantly reduced the amount of plant material infected by the fungal pathogen </w:t>
      </w:r>
      <w:r w:rsidRPr="00057323">
        <w:rPr>
          <w:rFonts w:cs="Times New Roman"/>
          <w:i/>
        </w:rPr>
        <w:t>N.</w:t>
      </w:r>
      <w:r>
        <w:rPr>
          <w:rFonts w:cs="Times New Roman"/>
          <w:i/>
        </w:rPr>
        <w:t xml:space="preserve"> </w:t>
      </w:r>
      <w:r w:rsidRPr="00057323">
        <w:rPr>
          <w:rFonts w:cs="Times New Roman"/>
          <w:i/>
        </w:rPr>
        <w:t>ditissima</w:t>
      </w:r>
      <w:r w:rsidRPr="00057323">
        <w:rPr>
          <w:rFonts w:cs="Times New Roman"/>
        </w:rPr>
        <w:t xml:space="preserve"> by 18%</w:t>
      </w:r>
      <w:r>
        <w:rPr>
          <w:rFonts w:cs="Times New Roman"/>
        </w:rPr>
        <w:t>, with n</w:t>
      </w:r>
      <w:r w:rsidRPr="00057323">
        <w:rPr>
          <w:rFonts w:cs="Times New Roman"/>
        </w:rPr>
        <w:t>on-ino</w:t>
      </w:r>
      <w:r>
        <w:rPr>
          <w:rFonts w:cs="Times New Roman"/>
        </w:rPr>
        <w:t>culated trees showing on</w:t>
      </w:r>
      <w:r w:rsidRPr="00057323">
        <w:rPr>
          <w:rFonts w:cs="Times New Roman"/>
        </w:rPr>
        <w:t xml:space="preserve"> average 570 cm of infected material compared to 465 cm</w:t>
      </w:r>
      <w:r>
        <w:rPr>
          <w:rFonts w:cs="Times New Roman"/>
        </w:rPr>
        <w:t xml:space="preserve"> of</w:t>
      </w:r>
      <w:r w:rsidRPr="00057323">
        <w:rPr>
          <w:rFonts w:cs="Times New Roman"/>
        </w:rPr>
        <w:t xml:space="preserve"> inoculated trees (</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057323">
        <w:rPr>
          <w:rFonts w:cs="Times New Roman"/>
        </w:rPr>
        <w:t>).</w:t>
      </w:r>
      <w:r>
        <w:rPr>
          <w:rFonts w:cs="Times New Roman"/>
        </w:rPr>
        <w:t xml:space="preserve"> Differences in pathogen susceptibility between scion types were also found with </w:t>
      </w:r>
      <w:r w:rsidRPr="00057323">
        <w:rPr>
          <w:rFonts w:cs="Times New Roman"/>
        </w:rPr>
        <w:t xml:space="preserve">27% </w:t>
      </w:r>
      <w:r>
        <w:rPr>
          <w:rFonts w:cs="Times New Roman"/>
        </w:rPr>
        <w:t xml:space="preserve">lower canker incidence shown by </w:t>
      </w:r>
      <w:r w:rsidRPr="00057323">
        <w:rPr>
          <w:rFonts w:cs="Times New Roman"/>
        </w:rPr>
        <w:t>Michelin scion type</w:t>
      </w:r>
      <w:r>
        <w:rPr>
          <w:rFonts w:cs="Times New Roman"/>
        </w:rPr>
        <w:t>s (average of 434 cm infected material)</w:t>
      </w:r>
      <w:r w:rsidRPr="00057323">
        <w:rPr>
          <w:rFonts w:cs="Times New Roman"/>
        </w:rPr>
        <w:t xml:space="preserve"> in comparison to Dabinett</w:t>
      </w:r>
      <w:r>
        <w:rPr>
          <w:rFonts w:cs="Times New Roman"/>
        </w:rPr>
        <w:t xml:space="preserve"> (600 cm infected material). Furthermore, trees with MM106 rootstock has significantly lower pathogen damage compared to MM111 trees with on average 578cm and 456 cm of infected material shown for MM111 and MM106 rootstocks respectively </w:t>
      </w:r>
      <w:r w:rsidRPr="004A3212">
        <w:rPr>
          <w:rFonts w:cs="Times New Roman"/>
        </w:rPr>
        <w:t>(</w:t>
      </w:r>
      <w:r w:rsidR="00F6521E">
        <w:rPr>
          <w:rFonts w:cs="Times New Roman"/>
        </w:rPr>
        <w:fldChar w:fldCharType="begin"/>
      </w:r>
      <w:r w:rsidR="00F6521E">
        <w:rPr>
          <w:rFonts w:cs="Times New Roman"/>
        </w:rPr>
        <w:instrText xml:space="preserve"> REF _Ref469771779 \h </w:instrText>
      </w:r>
      <w:r w:rsidR="00F6521E">
        <w:rPr>
          <w:rFonts w:cs="Times New Roman"/>
        </w:rPr>
      </w:r>
      <w:r w:rsidR="00F6521E">
        <w:rPr>
          <w:rFonts w:cs="Times New Roman"/>
        </w:rPr>
        <w:fldChar w:fldCharType="separate"/>
      </w:r>
      <w:r w:rsidR="00E0714D" w:rsidRPr="00E55365">
        <w:t xml:space="preserve">Table </w:t>
      </w:r>
      <w:r w:rsidR="00E0714D">
        <w:rPr>
          <w:noProof/>
        </w:rPr>
        <w:t>2</w:t>
      </w:r>
      <w:r w:rsidR="00E0714D" w:rsidRPr="00E55365">
        <w:t>.</w:t>
      </w:r>
      <w:r w:rsidR="00E0714D">
        <w:rPr>
          <w:noProof/>
        </w:rPr>
        <w:t>1</w:t>
      </w:r>
      <w:r w:rsidR="00F6521E">
        <w:rPr>
          <w:rFonts w:cs="Times New Roman"/>
        </w:rPr>
        <w:fldChar w:fldCharType="end"/>
      </w:r>
      <w:r w:rsidR="00F6521E">
        <w:rPr>
          <w:rFonts w:cs="Times New Roman"/>
        </w:rPr>
        <w:t xml:space="preserve">, </w:t>
      </w:r>
      <w:r w:rsidR="00F6521E">
        <w:rPr>
          <w:rFonts w:cs="Times New Roman"/>
        </w:rPr>
        <w:fldChar w:fldCharType="begin"/>
      </w:r>
      <w:r w:rsidR="00F6521E">
        <w:rPr>
          <w:rFonts w:cs="Times New Roman"/>
        </w:rPr>
        <w:instrText xml:space="preserve"> REF _Ref469771782 \h </w:instrText>
      </w:r>
      <w:r w:rsidR="00F6521E">
        <w:rPr>
          <w:rFonts w:cs="Times New Roman"/>
        </w:rPr>
      </w:r>
      <w:r w:rsidR="00F6521E">
        <w:rPr>
          <w:rFonts w:cs="Times New Roman"/>
        </w:rPr>
        <w:fldChar w:fldCharType="separate"/>
      </w:r>
      <w:r w:rsidR="00E0714D" w:rsidRPr="00861E0B">
        <w:t xml:space="preserve">Table </w:t>
      </w:r>
      <w:r w:rsidR="00E0714D">
        <w:rPr>
          <w:noProof/>
        </w:rPr>
        <w:t>2</w:t>
      </w:r>
      <w:r w:rsidR="00E0714D" w:rsidRPr="00861E0B">
        <w:t>.</w:t>
      </w:r>
      <w:r w:rsidR="00E0714D">
        <w:rPr>
          <w:noProof/>
        </w:rPr>
        <w:t>2</w:t>
      </w:r>
      <w:r w:rsidR="00F6521E">
        <w:rPr>
          <w:rFonts w:cs="Times New Roman"/>
        </w:rPr>
        <w:fldChar w:fldCharType="end"/>
      </w:r>
      <w:r w:rsidRPr="00EA5EE3">
        <w:rPr>
          <w:rFonts w:cs="Times New Roman"/>
        </w:rPr>
        <w:t xml:space="preserve">, </w:t>
      </w:r>
      <w:r w:rsidRPr="00EA5EE3">
        <w:rPr>
          <w:rFonts w:cs="Times New Roman"/>
        </w:rPr>
        <w:fldChar w:fldCharType="begin"/>
      </w:r>
      <w:r w:rsidRPr="00EA5EE3">
        <w:rPr>
          <w:rFonts w:cs="Times New Roman"/>
        </w:rPr>
        <w:instrText xml:space="preserve"> REF _Ref469733564 \h  \* MERGEFORMAT </w:instrText>
      </w:r>
      <w:r w:rsidRPr="00EA5EE3">
        <w:rPr>
          <w:rFonts w:cs="Times New Roman"/>
        </w:rPr>
      </w:r>
      <w:r w:rsidRPr="00EA5EE3">
        <w:rPr>
          <w:rFonts w:cs="Times New Roman"/>
        </w:rPr>
        <w:fldChar w:fldCharType="separate"/>
      </w:r>
      <w:r w:rsidR="00E0714D" w:rsidRPr="00D6785D">
        <w:rPr>
          <w:rFonts w:cs="Times New Roman"/>
        </w:rPr>
        <w:t xml:space="preserve">Figure </w:t>
      </w:r>
      <w:r w:rsidR="00E0714D" w:rsidRPr="00D6785D">
        <w:rPr>
          <w:rFonts w:cs="Times New Roman"/>
          <w:noProof/>
        </w:rPr>
        <w:t>2</w:t>
      </w:r>
      <w:r w:rsidR="00E0714D" w:rsidRPr="00F00459">
        <w:rPr>
          <w:rFonts w:cs="Times New Roman"/>
          <w:noProof/>
        </w:rPr>
        <w:t>.</w:t>
      </w:r>
      <w:r w:rsidR="00E0714D" w:rsidRPr="003C4E2F">
        <w:rPr>
          <w:rFonts w:cs="Times New Roman"/>
          <w:noProof/>
        </w:rPr>
        <w:t>3</w:t>
      </w:r>
      <w:r w:rsidRPr="00EA5EE3">
        <w:rPr>
          <w:rFonts w:cs="Times New Roman"/>
        </w:rPr>
        <w:fldChar w:fldCharType="end"/>
      </w:r>
      <w:r w:rsidRPr="004A3212">
        <w:rPr>
          <w:rFonts w:cs="Times New Roman"/>
        </w:rPr>
        <w:t xml:space="preserve">). </w:t>
      </w:r>
      <w:r>
        <w:rPr>
          <w:rFonts w:cs="Times New Roman"/>
        </w:rPr>
        <w:t xml:space="preserve">No effect of nutrient treatment on the amount of pathogen infected material was shown. </w:t>
      </w:r>
    </w:p>
    <w:p w:rsidR="00E62933" w:rsidRDefault="00E62933" w:rsidP="00E62933">
      <w:r>
        <w:lastRenderedPageBreak/>
        <w:br w:type="page"/>
      </w:r>
    </w:p>
    <w:p w:rsidR="00A57540" w:rsidRDefault="00A57540" w:rsidP="00A57540">
      <w:pPr>
        <w:rPr>
          <w:rFonts w:cs="Times New Roman"/>
        </w:rPr>
      </w:pPr>
    </w:p>
    <w:p w:rsidR="00A57540" w:rsidRDefault="00E62933" w:rsidP="00E62933">
      <w:pPr>
        <w:pStyle w:val="NormalWeb"/>
        <w:spacing w:after="0"/>
        <w:rPr>
          <w:noProof/>
          <w:color w:val="222222"/>
          <w:sz w:val="22"/>
          <w:szCs w:val="22"/>
        </w:rPr>
      </w:pPr>
      <w:r>
        <w:rPr>
          <w:noProof/>
          <w:color w:val="222222"/>
          <w:sz w:val="22"/>
          <w:szCs w:val="22"/>
        </w:rPr>
        <w:drawing>
          <wp:inline distT="0" distB="0" distL="0" distR="0" wp14:anchorId="7CA47BE7" wp14:editId="4D323B10">
            <wp:extent cx="5205730" cy="31711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yc_colonisation.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05730" cy="3171190"/>
                    </a:xfrm>
                    <a:prstGeom prst="rect">
                      <a:avLst/>
                    </a:prstGeom>
                  </pic:spPr>
                </pic:pic>
              </a:graphicData>
            </a:graphic>
          </wp:inline>
        </w:drawing>
      </w:r>
    </w:p>
    <w:p w:rsidR="00A57540" w:rsidRDefault="00A57540" w:rsidP="00A57540">
      <w:pPr>
        <w:pStyle w:val="NormalWeb"/>
        <w:spacing w:after="0"/>
        <w:ind w:left="720" w:hanging="720"/>
        <w:rPr>
          <w:noProof/>
          <w:color w:val="222222"/>
          <w:sz w:val="22"/>
          <w:szCs w:val="22"/>
        </w:rPr>
      </w:pPr>
    </w:p>
    <w:p w:rsidR="00A57540" w:rsidRPr="00F65F5C" w:rsidRDefault="00A57540" w:rsidP="00861E0B">
      <w:pPr>
        <w:pStyle w:val="Caption"/>
        <w:rPr>
          <w:noProof/>
        </w:rPr>
      </w:pPr>
      <w:bookmarkStart w:id="167" w:name="_Ref469858303"/>
      <w:bookmarkStart w:id="168" w:name="_Toc469982763"/>
      <w:r w:rsidRPr="00C043EA">
        <w:t xml:space="preserve">Figure </w:t>
      </w:r>
      <w:r w:rsidR="00C44EF5">
        <w:fldChar w:fldCharType="begin"/>
      </w:r>
      <w:r w:rsidR="00C44EF5">
        <w:instrText xml:space="preserve"> STYLEREF 1 \s </w:instrText>
      </w:r>
      <w:r w:rsidR="00C44EF5">
        <w:fldChar w:fldCharType="separate"/>
      </w:r>
      <w:r w:rsidR="00E0714D">
        <w:rPr>
          <w:noProof/>
        </w:rPr>
        <w:t>2</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2</w:t>
      </w:r>
      <w:r w:rsidR="00C44EF5">
        <w:rPr>
          <w:noProof/>
        </w:rPr>
        <w:fldChar w:fldCharType="end"/>
      </w:r>
      <w:bookmarkEnd w:id="167"/>
      <w:r w:rsidRPr="00C043EA">
        <w:t xml:space="preserve"> </w:t>
      </w:r>
      <w:r w:rsidRPr="00C043EA">
        <w:rPr>
          <w:noProof/>
        </w:rPr>
        <w:t>Root colonisa</w:t>
      </w:r>
      <w:r>
        <w:rPr>
          <w:noProof/>
        </w:rPr>
        <w:t>t</w:t>
      </w:r>
      <w:r w:rsidRPr="00C043EA">
        <w:rPr>
          <w:noProof/>
        </w:rPr>
        <w:t>ion of apple trees inocluated with two species of arbuscular mycorrhizal fungi after three years of growth. Mean colonisation under high and low nutrient treatments and with Dabinett and Michelin scions are presented. Error bars show SE of mean (n = 20). Treatments with the same letter do not differ significantly from one another (Tukey, HSD p&lt;0.05).</w:t>
      </w:r>
      <w:bookmarkEnd w:id="168"/>
    </w:p>
    <w:p w:rsidR="00A57540" w:rsidRPr="00C043EA" w:rsidRDefault="00A57540" w:rsidP="00913AEC">
      <w:pPr>
        <w:pStyle w:val="NormalWeb"/>
        <w:ind w:left="720" w:hanging="720"/>
        <w:rPr>
          <w:noProof/>
          <w:color w:val="222222"/>
          <w:sz w:val="22"/>
          <w:szCs w:val="22"/>
        </w:rPr>
      </w:pPr>
      <w:r>
        <w:rPr>
          <w:noProof/>
          <w:color w:val="222222"/>
          <w:sz w:val="22"/>
          <w:szCs w:val="22"/>
        </w:rPr>
        <w:drawing>
          <wp:inline distT="0" distB="0" distL="0" distR="0" wp14:anchorId="0745767F" wp14:editId="0EDF9053">
            <wp:extent cx="4681738" cy="291694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thogen infection_final.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81738" cy="2916942"/>
                    </a:xfrm>
                    <a:prstGeom prst="rect">
                      <a:avLst/>
                    </a:prstGeom>
                  </pic:spPr>
                </pic:pic>
              </a:graphicData>
            </a:graphic>
          </wp:inline>
        </w:drawing>
      </w:r>
    </w:p>
    <w:p w:rsidR="00A57540" w:rsidRPr="00E37CE6" w:rsidRDefault="00A57540" w:rsidP="00861E0B">
      <w:pPr>
        <w:pStyle w:val="Caption"/>
        <w:rPr>
          <w:noProof/>
        </w:rPr>
      </w:pPr>
      <w:bookmarkStart w:id="169" w:name="_Ref469733564"/>
      <w:bookmarkStart w:id="170" w:name="_Toc469982764"/>
      <w:r w:rsidRPr="00E37CE6">
        <w:t xml:space="preserve">Figure </w:t>
      </w:r>
      <w:r w:rsidR="00C44EF5">
        <w:fldChar w:fldCharType="begin"/>
      </w:r>
      <w:r w:rsidR="00C44EF5">
        <w:instrText xml:space="preserve"> STYLEREF 1 \s </w:instrText>
      </w:r>
      <w:r w:rsidR="00C44EF5">
        <w:fldChar w:fldCharType="separate"/>
      </w:r>
      <w:r w:rsidR="00E0714D">
        <w:rPr>
          <w:noProof/>
        </w:rPr>
        <w:t>2</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3</w:t>
      </w:r>
      <w:r w:rsidR="00C44EF5">
        <w:rPr>
          <w:noProof/>
        </w:rPr>
        <w:fldChar w:fldCharType="end"/>
      </w:r>
      <w:bookmarkEnd w:id="169"/>
      <w:r>
        <w:t xml:space="preserve"> </w:t>
      </w:r>
      <w:r w:rsidRPr="00E37CE6">
        <w:rPr>
          <w:noProof/>
        </w:rPr>
        <w:t>Total tree material</w:t>
      </w:r>
      <w:r w:rsidR="004930C5">
        <w:rPr>
          <w:noProof/>
        </w:rPr>
        <w:t xml:space="preserve"> infected</w:t>
      </w:r>
      <w:r w:rsidRPr="00E37CE6">
        <w:rPr>
          <w:noProof/>
        </w:rPr>
        <w:t xml:space="preserve"> by the fungal pathogen </w:t>
      </w:r>
      <w:r w:rsidRPr="00F00459">
        <w:rPr>
          <w:i/>
          <w:noProof/>
        </w:rPr>
        <w:t>Neonectria ditissima</w:t>
      </w:r>
      <w:r w:rsidRPr="00E37CE6">
        <w:rPr>
          <w:noProof/>
        </w:rPr>
        <w:t>. Trees were grown with and without AMF inoculation</w:t>
      </w:r>
      <w:r w:rsidR="002F26C5">
        <w:rPr>
          <w:noProof/>
        </w:rPr>
        <w:t>.</w:t>
      </w:r>
      <w:r w:rsidRPr="00E37CE6">
        <w:rPr>
          <w:noProof/>
        </w:rPr>
        <w:t xml:space="preserve"> Error bars show SE of mean (n = 20).</w:t>
      </w:r>
      <w:r>
        <w:rPr>
          <w:noProof/>
        </w:rPr>
        <w:t xml:space="preserve"> Treatments with different letters diffe</w:t>
      </w:r>
      <w:r w:rsidR="004930C5">
        <w:rPr>
          <w:noProof/>
        </w:rPr>
        <w:t>r</w:t>
      </w:r>
      <w:r>
        <w:rPr>
          <w:noProof/>
        </w:rPr>
        <w:t xml:space="preserve"> significantly from one another (Tukey HSD, p&lt;0.05)</w:t>
      </w:r>
      <w:r w:rsidR="00385300">
        <w:rPr>
          <w:noProof/>
        </w:rPr>
        <w:t>.</w:t>
      </w:r>
      <w:bookmarkEnd w:id="170"/>
    </w:p>
    <w:p w:rsidR="00A57540" w:rsidRPr="00FA061A" w:rsidRDefault="00A57540" w:rsidP="002D314A">
      <w:r>
        <w:rPr>
          <w:noProof/>
          <w:lang w:eastAsia="en-GB"/>
        </w:rPr>
        <w:lastRenderedPageBreak/>
        <w:drawing>
          <wp:inline distT="0" distB="0" distL="0" distR="0" wp14:anchorId="31B07DBF" wp14:editId="5AD4C7B3">
            <wp:extent cx="5205730" cy="29178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otal_dry_biomass_NEW.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05730" cy="2917825"/>
                    </a:xfrm>
                    <a:prstGeom prst="rect">
                      <a:avLst/>
                    </a:prstGeom>
                  </pic:spPr>
                </pic:pic>
              </a:graphicData>
            </a:graphic>
          </wp:inline>
        </w:drawing>
      </w:r>
    </w:p>
    <w:p w:rsidR="00892881" w:rsidRDefault="00A57540" w:rsidP="00861E0B">
      <w:pPr>
        <w:pStyle w:val="Caption"/>
        <w:rPr>
          <w:noProof/>
        </w:rPr>
        <w:sectPr w:rsidR="00892881" w:rsidSect="00892881">
          <w:type w:val="oddPage"/>
          <w:pgSz w:w="11906" w:h="16838"/>
          <w:pgMar w:top="1134" w:right="1134" w:bottom="1134" w:left="2268" w:header="709" w:footer="709" w:gutter="0"/>
          <w:cols w:space="708"/>
          <w:docGrid w:linePitch="360"/>
        </w:sectPr>
      </w:pPr>
      <w:bookmarkStart w:id="171" w:name="_Ref469858258"/>
      <w:bookmarkStart w:id="172" w:name="_Toc469982765"/>
      <w:r w:rsidRPr="00275F25">
        <w:t xml:space="preserve">Figure </w:t>
      </w:r>
      <w:r w:rsidR="00C44EF5">
        <w:fldChar w:fldCharType="begin"/>
      </w:r>
      <w:r w:rsidR="00C44EF5">
        <w:instrText xml:space="preserve"> STYLEREF 1 \s </w:instrText>
      </w:r>
      <w:r w:rsidR="00C44EF5">
        <w:fldChar w:fldCharType="separate"/>
      </w:r>
      <w:r w:rsidR="00E0714D">
        <w:rPr>
          <w:noProof/>
        </w:rPr>
        <w:t>2</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4</w:t>
      </w:r>
      <w:r w:rsidR="00C44EF5">
        <w:rPr>
          <w:noProof/>
        </w:rPr>
        <w:fldChar w:fldCharType="end"/>
      </w:r>
      <w:bookmarkEnd w:id="171"/>
      <w:r w:rsidRPr="00275F25">
        <w:t xml:space="preserve"> </w:t>
      </w:r>
      <w:r w:rsidRPr="00275F25">
        <w:rPr>
          <w:noProof/>
        </w:rPr>
        <w:t>Mean t</w:t>
      </w:r>
      <w:r w:rsidR="00861E0B">
        <w:rPr>
          <w:noProof/>
        </w:rPr>
        <w:t>otal above</w:t>
      </w:r>
      <w:r>
        <w:rPr>
          <w:noProof/>
        </w:rPr>
        <w:t xml:space="preserve"> ground dry biomass </w:t>
      </w:r>
      <w:r w:rsidRPr="00275F25">
        <w:rPr>
          <w:noProof/>
        </w:rPr>
        <w:t>and below ground biomass for apple trees grown under high and low nutrient applications.</w:t>
      </w:r>
      <w:r>
        <w:rPr>
          <w:noProof/>
        </w:rPr>
        <w:t xml:space="preserve"> Error</w:t>
      </w:r>
      <w:r w:rsidR="00861E0B">
        <w:rPr>
          <w:noProof/>
        </w:rPr>
        <w:t xml:space="preserve"> bars show SE of mean (n=24). </w:t>
      </w:r>
      <w:r>
        <w:rPr>
          <w:noProof/>
        </w:rPr>
        <w:t>Treatments with different letters show a signfiicant difference btween nutrient applications (Tukey HSD,  p&lt;0.05).</w:t>
      </w:r>
      <w:bookmarkEnd w:id="172"/>
    </w:p>
    <w:p w:rsidR="00A57540" w:rsidRDefault="00A57540" w:rsidP="00A57540"/>
    <w:tbl>
      <w:tblPr>
        <w:tblStyle w:val="TableGrid"/>
        <w:tblpPr w:leftFromText="180" w:rightFromText="180" w:vertAnchor="page" w:horzAnchor="margin" w:tblpXSpec="center" w:tblpY="1549"/>
        <w:tblOverlap w:val="never"/>
        <w:tblW w:w="133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5"/>
        <w:gridCol w:w="713"/>
        <w:gridCol w:w="907"/>
        <w:gridCol w:w="850"/>
        <w:gridCol w:w="850"/>
        <w:gridCol w:w="850"/>
        <w:gridCol w:w="850"/>
        <w:gridCol w:w="850"/>
        <w:gridCol w:w="850"/>
        <w:gridCol w:w="850"/>
        <w:gridCol w:w="850"/>
        <w:gridCol w:w="850"/>
        <w:gridCol w:w="850"/>
        <w:gridCol w:w="850"/>
        <w:gridCol w:w="800"/>
        <w:gridCol w:w="50"/>
      </w:tblGrid>
      <w:tr w:rsidR="00A57540" w:rsidRPr="00E55365" w:rsidTr="00385300">
        <w:trPr>
          <w:gridAfter w:val="1"/>
          <w:wAfter w:w="50" w:type="dxa"/>
          <w:trHeight w:val="983"/>
        </w:trPr>
        <w:tc>
          <w:tcPr>
            <w:tcW w:w="13335" w:type="dxa"/>
            <w:gridSpan w:val="15"/>
          </w:tcPr>
          <w:p w:rsidR="00A57540" w:rsidRPr="00E55365" w:rsidRDefault="00A57540" w:rsidP="00861E0B">
            <w:pPr>
              <w:pStyle w:val="Caption"/>
              <w:rPr>
                <w:b/>
              </w:rPr>
            </w:pPr>
            <w:bookmarkStart w:id="173" w:name="_Ref469771779"/>
            <w:bookmarkStart w:id="174" w:name="_Toc469868573"/>
            <w:r w:rsidRPr="00E55365">
              <w:t xml:space="preserve">Table </w:t>
            </w:r>
            <w:r w:rsidR="00C44EF5">
              <w:fldChar w:fldCharType="begin"/>
            </w:r>
            <w:r w:rsidR="00C44EF5">
              <w:instrText xml:space="preserve"> STYLEREF 1 \s </w:instrText>
            </w:r>
            <w:r w:rsidR="00C44EF5">
              <w:fldChar w:fldCharType="separate"/>
            </w:r>
            <w:r w:rsidR="00E0714D">
              <w:rPr>
                <w:noProof/>
              </w:rPr>
              <w:t>2</w:t>
            </w:r>
            <w:r w:rsidR="00C44EF5">
              <w:rPr>
                <w:noProof/>
              </w:rPr>
              <w:fldChar w:fldCharType="end"/>
            </w:r>
            <w:r w:rsidRPr="00E55365">
              <w:t>.</w:t>
            </w:r>
            <w:r w:rsidR="00C44EF5">
              <w:fldChar w:fldCharType="begin"/>
            </w:r>
            <w:r w:rsidR="00C44EF5">
              <w:instrText xml:space="preserve"> SEQ Table \* ARABIC \s 1 </w:instrText>
            </w:r>
            <w:r w:rsidR="00C44EF5">
              <w:fldChar w:fldCharType="separate"/>
            </w:r>
            <w:r w:rsidR="00E0714D">
              <w:rPr>
                <w:noProof/>
              </w:rPr>
              <w:t>1</w:t>
            </w:r>
            <w:r w:rsidR="00C44EF5">
              <w:rPr>
                <w:noProof/>
              </w:rPr>
              <w:fldChar w:fldCharType="end"/>
            </w:r>
            <w:bookmarkEnd w:id="173"/>
            <w:r w:rsidRPr="00E55365">
              <w:rPr>
                <w:b/>
              </w:rPr>
              <w:t xml:space="preserve"> </w:t>
            </w:r>
            <w:r w:rsidRPr="00E55365">
              <w:t>Four-Way ANOVA results for apple performance over three years. Main factor effects and all significant interactions with mycorrhiza are reported. Significant results (P&lt;0.05) are in bold</w:t>
            </w:r>
            <w:r w:rsidR="00861E0B">
              <w:t>.</w:t>
            </w:r>
            <w:bookmarkEnd w:id="174"/>
          </w:p>
        </w:tc>
      </w:tr>
      <w:tr w:rsidR="00A57540" w:rsidRPr="00385300" w:rsidTr="00385300">
        <w:tc>
          <w:tcPr>
            <w:tcW w:w="1565" w:type="dxa"/>
            <w:tcBorders>
              <w:top w:val="single" w:sz="4" w:space="0" w:color="auto"/>
              <w:bottom w:val="single" w:sz="4" w:space="0" w:color="auto"/>
            </w:tcBorders>
          </w:tcPr>
          <w:p w:rsidR="00A57540" w:rsidRPr="00385300" w:rsidRDefault="00A57540" w:rsidP="00A57540">
            <w:pPr>
              <w:rPr>
                <w:rFonts w:cs="Times New Roman"/>
                <w:b/>
                <w:sz w:val="18"/>
                <w:szCs w:val="18"/>
              </w:rPr>
            </w:pPr>
            <w:r w:rsidRPr="00385300">
              <w:rPr>
                <w:rFonts w:cs="Times New Roman"/>
                <w:b/>
                <w:sz w:val="18"/>
                <w:szCs w:val="18"/>
              </w:rPr>
              <w:t>Response</w:t>
            </w:r>
          </w:p>
        </w:tc>
        <w:tc>
          <w:tcPr>
            <w:tcW w:w="713" w:type="dxa"/>
            <w:tcBorders>
              <w:top w:val="single" w:sz="4" w:space="0" w:color="auto"/>
              <w:bottom w:val="single" w:sz="4" w:space="0" w:color="auto"/>
            </w:tcBorders>
          </w:tcPr>
          <w:p w:rsidR="00A57540" w:rsidRPr="00385300" w:rsidRDefault="00A57540" w:rsidP="00A57540">
            <w:pPr>
              <w:rPr>
                <w:rFonts w:cs="Times New Roman"/>
                <w:b/>
                <w:sz w:val="18"/>
                <w:szCs w:val="18"/>
              </w:rPr>
            </w:pPr>
          </w:p>
        </w:tc>
        <w:tc>
          <w:tcPr>
            <w:tcW w:w="907" w:type="dxa"/>
            <w:tcBorders>
              <w:top w:val="single" w:sz="4" w:space="0" w:color="auto"/>
              <w:bottom w:val="single" w:sz="4" w:space="0" w:color="auto"/>
            </w:tcBorders>
          </w:tcPr>
          <w:p w:rsidR="00A57540" w:rsidRPr="00385300" w:rsidRDefault="00A57540" w:rsidP="00A57540">
            <w:pPr>
              <w:jc w:val="center"/>
              <w:rPr>
                <w:rFonts w:cs="Times New Roman"/>
                <w:b/>
                <w:sz w:val="18"/>
                <w:szCs w:val="18"/>
              </w:rPr>
            </w:pPr>
          </w:p>
        </w:tc>
        <w:tc>
          <w:tcPr>
            <w:tcW w:w="1700" w:type="dxa"/>
            <w:gridSpan w:val="2"/>
            <w:tcBorders>
              <w:top w:val="single" w:sz="4" w:space="0" w:color="auto"/>
              <w:bottom w:val="single" w:sz="4" w:space="0" w:color="auto"/>
            </w:tcBorders>
          </w:tcPr>
          <w:p w:rsidR="00A57540" w:rsidRPr="00385300" w:rsidRDefault="00A57540" w:rsidP="00A57540">
            <w:pPr>
              <w:jc w:val="center"/>
              <w:rPr>
                <w:rFonts w:cs="Times New Roman"/>
                <w:b/>
                <w:sz w:val="18"/>
                <w:szCs w:val="18"/>
              </w:rPr>
            </w:pPr>
            <w:r w:rsidRPr="00385300">
              <w:rPr>
                <w:rFonts w:cs="Times New Roman"/>
                <w:b/>
                <w:sz w:val="18"/>
                <w:szCs w:val="18"/>
              </w:rPr>
              <w:t>Mycorrhiza</w:t>
            </w:r>
          </w:p>
        </w:tc>
        <w:tc>
          <w:tcPr>
            <w:tcW w:w="1700" w:type="dxa"/>
            <w:gridSpan w:val="2"/>
            <w:tcBorders>
              <w:top w:val="single" w:sz="4" w:space="0" w:color="auto"/>
              <w:bottom w:val="single" w:sz="4" w:space="0" w:color="auto"/>
            </w:tcBorders>
          </w:tcPr>
          <w:p w:rsidR="00A57540" w:rsidRPr="00385300" w:rsidRDefault="00A57540" w:rsidP="00A57540">
            <w:pPr>
              <w:jc w:val="center"/>
              <w:rPr>
                <w:rFonts w:cs="Times New Roman"/>
                <w:b/>
                <w:sz w:val="18"/>
                <w:szCs w:val="18"/>
              </w:rPr>
            </w:pPr>
            <w:r w:rsidRPr="00385300">
              <w:rPr>
                <w:rFonts w:cs="Times New Roman"/>
                <w:b/>
                <w:sz w:val="18"/>
                <w:szCs w:val="18"/>
              </w:rPr>
              <w:t>Nutrient</w:t>
            </w:r>
          </w:p>
        </w:tc>
        <w:tc>
          <w:tcPr>
            <w:tcW w:w="1700" w:type="dxa"/>
            <w:gridSpan w:val="2"/>
            <w:tcBorders>
              <w:top w:val="single" w:sz="4" w:space="0" w:color="auto"/>
              <w:bottom w:val="single" w:sz="4" w:space="0" w:color="auto"/>
            </w:tcBorders>
          </w:tcPr>
          <w:p w:rsidR="00A57540" w:rsidRPr="00385300" w:rsidRDefault="00A57540" w:rsidP="00A57540">
            <w:pPr>
              <w:jc w:val="center"/>
              <w:rPr>
                <w:rFonts w:cs="Times New Roman"/>
                <w:b/>
                <w:sz w:val="18"/>
                <w:szCs w:val="18"/>
              </w:rPr>
            </w:pPr>
            <w:r w:rsidRPr="00385300">
              <w:rPr>
                <w:rFonts w:cs="Times New Roman"/>
                <w:b/>
                <w:sz w:val="18"/>
                <w:szCs w:val="18"/>
              </w:rPr>
              <w:t>Scion</w:t>
            </w:r>
          </w:p>
        </w:tc>
        <w:tc>
          <w:tcPr>
            <w:tcW w:w="1700" w:type="dxa"/>
            <w:gridSpan w:val="2"/>
            <w:tcBorders>
              <w:top w:val="single" w:sz="4" w:space="0" w:color="auto"/>
              <w:bottom w:val="single" w:sz="4" w:space="0" w:color="auto"/>
            </w:tcBorders>
          </w:tcPr>
          <w:p w:rsidR="00A57540" w:rsidRPr="00385300" w:rsidRDefault="00A57540" w:rsidP="00A57540">
            <w:pPr>
              <w:jc w:val="center"/>
              <w:rPr>
                <w:rFonts w:cs="Times New Roman"/>
                <w:b/>
                <w:sz w:val="18"/>
                <w:szCs w:val="18"/>
              </w:rPr>
            </w:pPr>
            <w:r w:rsidRPr="00385300">
              <w:rPr>
                <w:rFonts w:cs="Times New Roman"/>
                <w:b/>
                <w:sz w:val="18"/>
                <w:szCs w:val="18"/>
              </w:rPr>
              <w:t>Rootstock</w:t>
            </w:r>
          </w:p>
        </w:tc>
        <w:tc>
          <w:tcPr>
            <w:tcW w:w="1700" w:type="dxa"/>
            <w:gridSpan w:val="2"/>
            <w:tcBorders>
              <w:top w:val="single" w:sz="4" w:space="0" w:color="auto"/>
              <w:bottom w:val="single" w:sz="4" w:space="0" w:color="auto"/>
            </w:tcBorders>
          </w:tcPr>
          <w:p w:rsidR="00A57540" w:rsidRPr="00385300" w:rsidRDefault="00A57540" w:rsidP="00A57540">
            <w:pPr>
              <w:jc w:val="center"/>
              <w:rPr>
                <w:rFonts w:cs="Times New Roman"/>
                <w:b/>
                <w:sz w:val="18"/>
                <w:szCs w:val="18"/>
              </w:rPr>
            </w:pPr>
            <w:r w:rsidRPr="00385300">
              <w:rPr>
                <w:rFonts w:cs="Times New Roman"/>
                <w:b/>
                <w:sz w:val="18"/>
                <w:szCs w:val="18"/>
              </w:rPr>
              <w:t>Mycorrhiza x Nutrient</w:t>
            </w:r>
          </w:p>
        </w:tc>
        <w:tc>
          <w:tcPr>
            <w:tcW w:w="1700" w:type="dxa"/>
            <w:gridSpan w:val="3"/>
            <w:tcBorders>
              <w:top w:val="single" w:sz="4" w:space="0" w:color="auto"/>
              <w:bottom w:val="single" w:sz="4" w:space="0" w:color="auto"/>
            </w:tcBorders>
          </w:tcPr>
          <w:p w:rsidR="00A57540" w:rsidRPr="00385300" w:rsidRDefault="00A57540" w:rsidP="00A57540">
            <w:pPr>
              <w:jc w:val="center"/>
              <w:rPr>
                <w:rFonts w:cs="Times New Roman"/>
                <w:b/>
                <w:sz w:val="18"/>
                <w:szCs w:val="18"/>
              </w:rPr>
            </w:pPr>
            <w:r w:rsidRPr="00385300">
              <w:rPr>
                <w:rFonts w:cs="Times New Roman"/>
                <w:b/>
                <w:sz w:val="18"/>
                <w:szCs w:val="18"/>
              </w:rPr>
              <w:t>Mycorrhiza x Scion</w:t>
            </w:r>
          </w:p>
        </w:tc>
      </w:tr>
      <w:tr w:rsidR="00A57540" w:rsidRPr="002719B9" w:rsidTr="00385300">
        <w:tc>
          <w:tcPr>
            <w:tcW w:w="1565" w:type="dxa"/>
            <w:tcBorders>
              <w:top w:val="single" w:sz="4" w:space="0" w:color="auto"/>
            </w:tcBorders>
          </w:tcPr>
          <w:p w:rsidR="00A57540" w:rsidRPr="00E55365" w:rsidRDefault="00A57540" w:rsidP="00A57540">
            <w:pPr>
              <w:rPr>
                <w:rFonts w:cs="Times New Roman"/>
                <w:sz w:val="18"/>
                <w:szCs w:val="18"/>
              </w:rPr>
            </w:pPr>
          </w:p>
        </w:tc>
        <w:tc>
          <w:tcPr>
            <w:tcW w:w="713" w:type="dxa"/>
            <w:tcBorders>
              <w:top w:val="single" w:sz="4" w:space="0" w:color="auto"/>
            </w:tcBorders>
          </w:tcPr>
          <w:p w:rsidR="00A57540" w:rsidRPr="00E55365" w:rsidRDefault="00A57540" w:rsidP="00A57540">
            <w:pPr>
              <w:rPr>
                <w:rFonts w:cs="Times New Roman"/>
                <w:sz w:val="18"/>
                <w:szCs w:val="18"/>
              </w:rPr>
            </w:pPr>
            <w:r w:rsidRPr="00E55365">
              <w:rPr>
                <w:rFonts w:cs="Times New Roman"/>
                <w:sz w:val="18"/>
                <w:szCs w:val="18"/>
              </w:rPr>
              <w:t>Year</w:t>
            </w:r>
          </w:p>
        </w:tc>
        <w:tc>
          <w:tcPr>
            <w:tcW w:w="907" w:type="dxa"/>
            <w:tcBorders>
              <w:top w:val="single" w:sz="4" w:space="0" w:color="auto"/>
            </w:tcBorders>
          </w:tcPr>
          <w:p w:rsidR="00A57540" w:rsidRPr="00E55365" w:rsidRDefault="00A57540" w:rsidP="00A57540">
            <w:pPr>
              <w:jc w:val="center"/>
              <w:rPr>
                <w:rFonts w:cs="Times New Roman"/>
                <w:sz w:val="18"/>
                <w:szCs w:val="18"/>
              </w:rPr>
            </w:pPr>
            <w:proofErr w:type="spellStart"/>
            <w:r w:rsidRPr="00E55365">
              <w:rPr>
                <w:rFonts w:cs="Times New Roman"/>
                <w:sz w:val="18"/>
                <w:szCs w:val="18"/>
              </w:rPr>
              <w:t>df</w:t>
            </w:r>
            <w:proofErr w:type="spellEnd"/>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F</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P</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F</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P</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F</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P</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F</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P</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F</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P</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F</w:t>
            </w:r>
          </w:p>
        </w:tc>
        <w:tc>
          <w:tcPr>
            <w:tcW w:w="850" w:type="dxa"/>
            <w:gridSpan w:val="2"/>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P</w:t>
            </w:r>
          </w:p>
        </w:tc>
      </w:tr>
      <w:tr w:rsidR="00A57540" w:rsidRPr="002719B9" w:rsidTr="00385300">
        <w:tc>
          <w:tcPr>
            <w:tcW w:w="1565" w:type="dxa"/>
          </w:tcPr>
          <w:p w:rsidR="00A57540" w:rsidRPr="00E55365" w:rsidRDefault="00A57540" w:rsidP="00A57540">
            <w:pPr>
              <w:rPr>
                <w:rFonts w:cs="Times New Roman"/>
                <w:sz w:val="18"/>
                <w:szCs w:val="18"/>
              </w:rPr>
            </w:pPr>
            <w:r w:rsidRPr="00E55365">
              <w:rPr>
                <w:rFonts w:cs="Times New Roman"/>
                <w:sz w:val="18"/>
                <w:szCs w:val="18"/>
              </w:rPr>
              <w:t>Leaf P (mg g</w:t>
            </w:r>
            <w:r w:rsidRPr="00E55365">
              <w:rPr>
                <w:rFonts w:cs="Times New Roman"/>
                <w:sz w:val="18"/>
                <w:szCs w:val="18"/>
                <w:vertAlign w:val="superscript"/>
              </w:rPr>
              <w:t>-1</w:t>
            </w:r>
            <w:r w:rsidRPr="00E55365">
              <w:rPr>
                <w:rFonts w:cs="Times New Roman"/>
                <w:sz w:val="18"/>
                <w:szCs w:val="18"/>
              </w:rPr>
              <w:t>)</w:t>
            </w:r>
          </w:p>
        </w:tc>
        <w:tc>
          <w:tcPr>
            <w:tcW w:w="713" w:type="dxa"/>
          </w:tcPr>
          <w:p w:rsidR="00A57540" w:rsidRPr="00E55365" w:rsidRDefault="00A57540" w:rsidP="00A57540">
            <w:pPr>
              <w:rPr>
                <w:rFonts w:cs="Times New Roman"/>
                <w:sz w:val="18"/>
                <w:szCs w:val="18"/>
              </w:rPr>
            </w:pPr>
            <w:r w:rsidRPr="00E55365">
              <w:rPr>
                <w:rFonts w:cs="Times New Roman"/>
                <w:sz w:val="18"/>
                <w:szCs w:val="18"/>
              </w:rPr>
              <w:t>1</w:t>
            </w:r>
          </w:p>
        </w:tc>
        <w:tc>
          <w:tcPr>
            <w:tcW w:w="907"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850" w:type="dxa"/>
            <w:shd w:val="clear" w:color="auto" w:fill="auto"/>
          </w:tcPr>
          <w:p w:rsidR="00A57540" w:rsidRPr="00E55365" w:rsidRDefault="00A57540" w:rsidP="00A575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rFonts w:eastAsia="Times New Roman" w:cs="Times New Roman"/>
                <w:color w:val="000000"/>
                <w:sz w:val="18"/>
                <w:szCs w:val="18"/>
                <w:shd w:val="clear" w:color="auto" w:fill="E1E2E5"/>
                <w:lang w:eastAsia="en-GB"/>
              </w:rPr>
            </w:pPr>
            <w:r w:rsidRPr="00E55365">
              <w:rPr>
                <w:rFonts w:cs="Times New Roman"/>
                <w:sz w:val="18"/>
                <w:szCs w:val="18"/>
              </w:rPr>
              <w:t>1.206</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0.274</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0.232</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0.631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0.479</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0.490</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0.975</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gridSpan w:val="2"/>
          </w:tcPr>
          <w:p w:rsidR="00A57540" w:rsidRPr="00E55365" w:rsidRDefault="00A57540" w:rsidP="00A57540">
            <w:pPr>
              <w:jc w:val="center"/>
              <w:rPr>
                <w:rFonts w:cs="Times New Roman"/>
                <w:sz w:val="18"/>
                <w:szCs w:val="18"/>
              </w:rPr>
            </w:pPr>
            <w:r w:rsidRPr="00E55365">
              <w:rPr>
                <w:rFonts w:cs="Times New Roman"/>
                <w:sz w:val="18"/>
                <w:szCs w:val="18"/>
              </w:rPr>
              <w:t>-</w:t>
            </w:r>
          </w:p>
        </w:tc>
      </w:tr>
      <w:tr w:rsidR="00A57540" w:rsidRPr="002719B9" w:rsidTr="00385300">
        <w:tc>
          <w:tcPr>
            <w:tcW w:w="1565" w:type="dxa"/>
          </w:tcPr>
          <w:p w:rsidR="00A57540" w:rsidRPr="00E55365" w:rsidRDefault="00A57540" w:rsidP="00A57540">
            <w:pPr>
              <w:rPr>
                <w:rFonts w:cs="Times New Roman"/>
                <w:sz w:val="18"/>
                <w:szCs w:val="18"/>
              </w:rPr>
            </w:pPr>
          </w:p>
        </w:tc>
        <w:tc>
          <w:tcPr>
            <w:tcW w:w="713" w:type="dxa"/>
          </w:tcPr>
          <w:p w:rsidR="00A57540" w:rsidRPr="00E55365" w:rsidRDefault="00A57540" w:rsidP="00A57540">
            <w:pPr>
              <w:rPr>
                <w:rFonts w:cs="Times New Roman"/>
                <w:sz w:val="18"/>
                <w:szCs w:val="18"/>
              </w:rPr>
            </w:pPr>
            <w:r w:rsidRPr="00E55365">
              <w:rPr>
                <w:rFonts w:cs="Times New Roman"/>
                <w:sz w:val="18"/>
                <w:szCs w:val="18"/>
              </w:rPr>
              <w:t>2</w:t>
            </w:r>
          </w:p>
        </w:tc>
        <w:tc>
          <w:tcPr>
            <w:tcW w:w="907"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0.425</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0.516</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0.137</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0.712</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1.551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0.215</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1.337</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0.249</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gridSpan w:val="2"/>
          </w:tcPr>
          <w:p w:rsidR="00A57540" w:rsidRPr="00E55365" w:rsidRDefault="00A57540" w:rsidP="00A57540">
            <w:pPr>
              <w:jc w:val="center"/>
              <w:rPr>
                <w:rFonts w:cs="Times New Roman"/>
                <w:sz w:val="18"/>
                <w:szCs w:val="18"/>
              </w:rPr>
            </w:pPr>
            <w:r w:rsidRPr="00E55365">
              <w:rPr>
                <w:rFonts w:cs="Times New Roman"/>
                <w:sz w:val="18"/>
                <w:szCs w:val="18"/>
              </w:rPr>
              <w:t>-</w:t>
            </w:r>
          </w:p>
        </w:tc>
      </w:tr>
      <w:tr w:rsidR="00A57540" w:rsidRPr="002719B9" w:rsidTr="00385300">
        <w:tc>
          <w:tcPr>
            <w:tcW w:w="1565" w:type="dxa"/>
          </w:tcPr>
          <w:p w:rsidR="00A57540" w:rsidRPr="00E55365" w:rsidRDefault="00A57540" w:rsidP="00A57540">
            <w:pPr>
              <w:rPr>
                <w:rFonts w:cs="Times New Roman"/>
                <w:sz w:val="18"/>
                <w:szCs w:val="18"/>
              </w:rPr>
            </w:pPr>
          </w:p>
        </w:tc>
        <w:tc>
          <w:tcPr>
            <w:tcW w:w="713" w:type="dxa"/>
          </w:tcPr>
          <w:p w:rsidR="00A57540" w:rsidRPr="00E55365" w:rsidRDefault="00A57540" w:rsidP="00A57540">
            <w:pPr>
              <w:rPr>
                <w:rFonts w:cs="Times New Roman"/>
                <w:sz w:val="18"/>
                <w:szCs w:val="18"/>
              </w:rPr>
            </w:pPr>
            <w:r w:rsidRPr="00E55365">
              <w:rPr>
                <w:rFonts w:cs="Times New Roman"/>
                <w:sz w:val="18"/>
                <w:szCs w:val="18"/>
              </w:rPr>
              <w:t>3</w:t>
            </w:r>
          </w:p>
        </w:tc>
        <w:tc>
          <w:tcPr>
            <w:tcW w:w="907"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2.581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0.110</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111.64</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3.039</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0.083</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1.699</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0.194</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gridSpan w:val="2"/>
          </w:tcPr>
          <w:p w:rsidR="00A57540" w:rsidRPr="00E55365" w:rsidRDefault="00A57540" w:rsidP="00A57540">
            <w:pPr>
              <w:jc w:val="center"/>
              <w:rPr>
                <w:rFonts w:cs="Times New Roman"/>
                <w:sz w:val="18"/>
                <w:szCs w:val="18"/>
              </w:rPr>
            </w:pPr>
            <w:r w:rsidRPr="00E55365">
              <w:rPr>
                <w:rFonts w:cs="Times New Roman"/>
                <w:sz w:val="18"/>
                <w:szCs w:val="18"/>
              </w:rPr>
              <w:t>-</w:t>
            </w:r>
          </w:p>
        </w:tc>
      </w:tr>
      <w:tr w:rsidR="00A57540" w:rsidRPr="002719B9" w:rsidTr="00385300">
        <w:tc>
          <w:tcPr>
            <w:tcW w:w="1565" w:type="dxa"/>
          </w:tcPr>
          <w:p w:rsidR="00A57540" w:rsidRPr="00E55365" w:rsidRDefault="00A57540" w:rsidP="00A57540">
            <w:pPr>
              <w:rPr>
                <w:rFonts w:cs="Times New Roman"/>
                <w:sz w:val="18"/>
                <w:szCs w:val="18"/>
              </w:rPr>
            </w:pPr>
            <w:r w:rsidRPr="00E55365">
              <w:rPr>
                <w:rFonts w:cs="Times New Roman"/>
                <w:sz w:val="18"/>
                <w:szCs w:val="18"/>
              </w:rPr>
              <w:t>Leaf N (mg g</w:t>
            </w:r>
            <w:r w:rsidRPr="00E55365">
              <w:rPr>
                <w:rFonts w:cs="Times New Roman"/>
                <w:sz w:val="18"/>
                <w:szCs w:val="18"/>
                <w:vertAlign w:val="superscript"/>
              </w:rPr>
              <w:t>-1</w:t>
            </w:r>
            <w:r w:rsidRPr="00E55365">
              <w:rPr>
                <w:rFonts w:cs="Times New Roman"/>
                <w:sz w:val="18"/>
                <w:szCs w:val="18"/>
              </w:rPr>
              <w:t>)</w:t>
            </w:r>
          </w:p>
        </w:tc>
        <w:tc>
          <w:tcPr>
            <w:tcW w:w="713" w:type="dxa"/>
          </w:tcPr>
          <w:p w:rsidR="00A57540" w:rsidRPr="00E55365" w:rsidRDefault="00A57540" w:rsidP="00A57540">
            <w:pPr>
              <w:rPr>
                <w:rFonts w:cs="Times New Roman"/>
                <w:sz w:val="18"/>
                <w:szCs w:val="18"/>
              </w:rPr>
            </w:pPr>
            <w:r w:rsidRPr="00E55365">
              <w:rPr>
                <w:rFonts w:cs="Times New Roman"/>
                <w:sz w:val="18"/>
                <w:szCs w:val="18"/>
              </w:rPr>
              <w:t>1</w:t>
            </w:r>
          </w:p>
        </w:tc>
        <w:tc>
          <w:tcPr>
            <w:tcW w:w="907"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1.027</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0.313</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1.236</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0.268</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0.734</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0.393</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2.603</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0.109</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c>
          <w:tcPr>
            <w:tcW w:w="850" w:type="dxa"/>
            <w:gridSpan w:val="2"/>
          </w:tcPr>
          <w:p w:rsidR="00A57540" w:rsidRPr="00E55365" w:rsidRDefault="00A57540" w:rsidP="00A57540">
            <w:pPr>
              <w:jc w:val="center"/>
              <w:rPr>
                <w:rFonts w:cs="Times New Roman"/>
                <w:b/>
                <w:sz w:val="18"/>
                <w:szCs w:val="18"/>
              </w:rPr>
            </w:pPr>
            <w:r w:rsidRPr="00E55365">
              <w:rPr>
                <w:rFonts w:cs="Times New Roman"/>
                <w:b/>
                <w:sz w:val="18"/>
                <w:szCs w:val="18"/>
              </w:rPr>
              <w:t>-</w:t>
            </w:r>
          </w:p>
        </w:tc>
      </w:tr>
      <w:tr w:rsidR="00A57540" w:rsidRPr="002719B9" w:rsidTr="00385300">
        <w:tc>
          <w:tcPr>
            <w:tcW w:w="1565" w:type="dxa"/>
          </w:tcPr>
          <w:p w:rsidR="00A57540" w:rsidRPr="00E55365" w:rsidRDefault="00A57540" w:rsidP="00A57540">
            <w:pPr>
              <w:rPr>
                <w:rFonts w:cs="Times New Roman"/>
                <w:sz w:val="18"/>
                <w:szCs w:val="18"/>
              </w:rPr>
            </w:pPr>
          </w:p>
        </w:tc>
        <w:tc>
          <w:tcPr>
            <w:tcW w:w="713" w:type="dxa"/>
          </w:tcPr>
          <w:p w:rsidR="00A57540" w:rsidRPr="00E55365" w:rsidRDefault="00A57540" w:rsidP="00A57540">
            <w:pPr>
              <w:rPr>
                <w:rFonts w:cs="Times New Roman"/>
                <w:sz w:val="18"/>
                <w:szCs w:val="18"/>
              </w:rPr>
            </w:pPr>
            <w:r w:rsidRPr="00E55365">
              <w:rPr>
                <w:rFonts w:cs="Times New Roman"/>
                <w:sz w:val="18"/>
                <w:szCs w:val="18"/>
              </w:rPr>
              <w:t>2</w:t>
            </w:r>
          </w:p>
        </w:tc>
        <w:tc>
          <w:tcPr>
            <w:tcW w:w="907"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0.977</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5.132</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0.0249</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2.303</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0.131</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3.952</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0.048</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c>
          <w:tcPr>
            <w:tcW w:w="850" w:type="dxa"/>
            <w:gridSpan w:val="2"/>
          </w:tcPr>
          <w:p w:rsidR="00A57540" w:rsidRPr="00E55365" w:rsidRDefault="00A57540" w:rsidP="00A57540">
            <w:pPr>
              <w:jc w:val="center"/>
              <w:rPr>
                <w:rFonts w:cs="Times New Roman"/>
                <w:b/>
                <w:sz w:val="18"/>
                <w:szCs w:val="18"/>
              </w:rPr>
            </w:pPr>
            <w:r w:rsidRPr="00E55365">
              <w:rPr>
                <w:rFonts w:cs="Times New Roman"/>
                <w:b/>
                <w:sz w:val="18"/>
                <w:szCs w:val="18"/>
              </w:rPr>
              <w:t>-</w:t>
            </w:r>
          </w:p>
        </w:tc>
      </w:tr>
      <w:tr w:rsidR="00A57540" w:rsidRPr="002719B9" w:rsidTr="00385300">
        <w:tc>
          <w:tcPr>
            <w:tcW w:w="1565" w:type="dxa"/>
          </w:tcPr>
          <w:p w:rsidR="00A57540" w:rsidRPr="00E55365" w:rsidRDefault="00A57540" w:rsidP="00A57540">
            <w:pPr>
              <w:rPr>
                <w:rFonts w:cs="Times New Roman"/>
                <w:sz w:val="18"/>
                <w:szCs w:val="18"/>
              </w:rPr>
            </w:pPr>
          </w:p>
        </w:tc>
        <w:tc>
          <w:tcPr>
            <w:tcW w:w="713" w:type="dxa"/>
          </w:tcPr>
          <w:p w:rsidR="00A57540" w:rsidRPr="00E55365" w:rsidRDefault="00A57540" w:rsidP="00A57540">
            <w:pPr>
              <w:rPr>
                <w:rFonts w:cs="Times New Roman"/>
                <w:sz w:val="18"/>
                <w:szCs w:val="18"/>
              </w:rPr>
            </w:pPr>
            <w:r w:rsidRPr="00E55365">
              <w:rPr>
                <w:rFonts w:cs="Times New Roman"/>
                <w:sz w:val="18"/>
                <w:szCs w:val="18"/>
              </w:rPr>
              <w:t>3</w:t>
            </w:r>
          </w:p>
        </w:tc>
        <w:tc>
          <w:tcPr>
            <w:tcW w:w="907"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0.979</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236.709</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4.586</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0.033</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17.466</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gridSpan w:val="2"/>
          </w:tcPr>
          <w:p w:rsidR="00A57540" w:rsidRPr="00E55365" w:rsidRDefault="00A57540" w:rsidP="00A57540">
            <w:pPr>
              <w:jc w:val="center"/>
              <w:rPr>
                <w:rFonts w:cs="Times New Roman"/>
                <w:sz w:val="18"/>
                <w:szCs w:val="18"/>
              </w:rPr>
            </w:pPr>
            <w:r w:rsidRPr="00E55365">
              <w:rPr>
                <w:rFonts w:cs="Times New Roman"/>
                <w:sz w:val="18"/>
                <w:szCs w:val="18"/>
              </w:rPr>
              <w:t>-</w:t>
            </w:r>
          </w:p>
        </w:tc>
      </w:tr>
      <w:tr w:rsidR="00A57540" w:rsidRPr="002719B9" w:rsidTr="00385300">
        <w:tc>
          <w:tcPr>
            <w:tcW w:w="1565" w:type="dxa"/>
          </w:tcPr>
          <w:p w:rsidR="00A57540" w:rsidRPr="00E55365" w:rsidRDefault="00A57540" w:rsidP="00A57540">
            <w:pPr>
              <w:rPr>
                <w:rFonts w:cs="Times New Roman"/>
                <w:sz w:val="18"/>
                <w:szCs w:val="18"/>
              </w:rPr>
            </w:pPr>
            <w:r w:rsidRPr="00E55365">
              <w:rPr>
                <w:rFonts w:cs="Times New Roman"/>
                <w:sz w:val="18"/>
                <w:szCs w:val="18"/>
              </w:rPr>
              <w:t>Leaf C (mg g</w:t>
            </w:r>
            <w:r w:rsidRPr="00E55365">
              <w:rPr>
                <w:rFonts w:cs="Times New Roman"/>
                <w:sz w:val="18"/>
                <w:szCs w:val="18"/>
                <w:vertAlign w:val="superscript"/>
              </w:rPr>
              <w:t>-1</w:t>
            </w:r>
            <w:r w:rsidRPr="00E55365">
              <w:rPr>
                <w:rFonts w:cs="Times New Roman"/>
                <w:sz w:val="18"/>
                <w:szCs w:val="18"/>
              </w:rPr>
              <w:t xml:space="preserve">) </w:t>
            </w:r>
          </w:p>
        </w:tc>
        <w:tc>
          <w:tcPr>
            <w:tcW w:w="713" w:type="dxa"/>
          </w:tcPr>
          <w:p w:rsidR="00A57540" w:rsidRPr="00E55365" w:rsidRDefault="00A57540" w:rsidP="00A57540">
            <w:pPr>
              <w:rPr>
                <w:rFonts w:cs="Times New Roman"/>
                <w:sz w:val="18"/>
                <w:szCs w:val="18"/>
              </w:rPr>
            </w:pPr>
            <w:r w:rsidRPr="00E55365">
              <w:rPr>
                <w:rFonts w:cs="Times New Roman"/>
                <w:color w:val="000000" w:themeColor="text1"/>
                <w:sz w:val="18"/>
                <w:szCs w:val="18"/>
              </w:rPr>
              <w:t>1</w:t>
            </w:r>
          </w:p>
        </w:tc>
        <w:tc>
          <w:tcPr>
            <w:tcW w:w="907"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850" w:type="dxa"/>
          </w:tcPr>
          <w:p w:rsidR="00A57540" w:rsidRPr="00E55365" w:rsidRDefault="00A57540" w:rsidP="00A57540">
            <w:pPr>
              <w:jc w:val="center"/>
              <w:rPr>
                <w:rFonts w:cs="Times New Roman"/>
                <w:sz w:val="18"/>
                <w:szCs w:val="18"/>
              </w:rPr>
            </w:pPr>
            <w:r w:rsidRPr="00E55365">
              <w:rPr>
                <w:rFonts w:cs="Times New Roman"/>
                <w:color w:val="000000" w:themeColor="text1"/>
                <w:sz w:val="18"/>
                <w:szCs w:val="18"/>
              </w:rPr>
              <w:t>3.560</w:t>
            </w:r>
          </w:p>
        </w:tc>
        <w:tc>
          <w:tcPr>
            <w:tcW w:w="850" w:type="dxa"/>
          </w:tcPr>
          <w:p w:rsidR="00A57540" w:rsidRPr="00E55365" w:rsidRDefault="00A57540" w:rsidP="00A57540">
            <w:pPr>
              <w:jc w:val="center"/>
              <w:rPr>
                <w:rFonts w:cs="Times New Roman"/>
                <w:sz w:val="18"/>
                <w:szCs w:val="18"/>
              </w:rPr>
            </w:pPr>
            <w:r w:rsidRPr="00E55365">
              <w:rPr>
                <w:rFonts w:cs="Times New Roman"/>
                <w:color w:val="000000" w:themeColor="text1"/>
                <w:sz w:val="18"/>
                <w:szCs w:val="18"/>
              </w:rPr>
              <w:t>0.0611</w:t>
            </w:r>
          </w:p>
        </w:tc>
        <w:tc>
          <w:tcPr>
            <w:tcW w:w="850" w:type="dxa"/>
          </w:tcPr>
          <w:p w:rsidR="00A57540" w:rsidRPr="00E55365" w:rsidRDefault="00A57540" w:rsidP="00A57540">
            <w:pPr>
              <w:jc w:val="center"/>
              <w:rPr>
                <w:rFonts w:cs="Times New Roman"/>
                <w:sz w:val="18"/>
                <w:szCs w:val="18"/>
              </w:rPr>
            </w:pPr>
            <w:r w:rsidRPr="00E55365">
              <w:rPr>
                <w:rFonts w:cs="Times New Roman"/>
                <w:color w:val="000000" w:themeColor="text1"/>
                <w:sz w:val="18"/>
                <w:szCs w:val="18"/>
              </w:rPr>
              <w:t>0.168</w:t>
            </w:r>
          </w:p>
        </w:tc>
        <w:tc>
          <w:tcPr>
            <w:tcW w:w="850" w:type="dxa"/>
          </w:tcPr>
          <w:p w:rsidR="00A57540" w:rsidRPr="00E55365" w:rsidRDefault="00A57540" w:rsidP="00A57540">
            <w:pPr>
              <w:jc w:val="center"/>
              <w:rPr>
                <w:rFonts w:cs="Times New Roman"/>
                <w:sz w:val="18"/>
                <w:szCs w:val="18"/>
              </w:rPr>
            </w:pPr>
            <w:r w:rsidRPr="00E55365">
              <w:rPr>
                <w:rFonts w:cs="Times New Roman"/>
                <w:color w:val="000000" w:themeColor="text1"/>
                <w:sz w:val="18"/>
                <w:szCs w:val="18"/>
              </w:rPr>
              <w:t>0.682</w:t>
            </w:r>
          </w:p>
        </w:tc>
        <w:tc>
          <w:tcPr>
            <w:tcW w:w="850" w:type="dxa"/>
          </w:tcPr>
          <w:p w:rsidR="00A57540" w:rsidRPr="00E55365" w:rsidRDefault="00A57540" w:rsidP="00A57540">
            <w:pPr>
              <w:jc w:val="center"/>
              <w:rPr>
                <w:rFonts w:cs="Times New Roman"/>
                <w:b/>
                <w:sz w:val="18"/>
                <w:szCs w:val="18"/>
              </w:rPr>
            </w:pPr>
            <w:r w:rsidRPr="00E55365">
              <w:rPr>
                <w:rFonts w:cs="Times New Roman"/>
                <w:color w:val="000000" w:themeColor="text1"/>
                <w:sz w:val="18"/>
                <w:szCs w:val="18"/>
              </w:rPr>
              <w:t>1.443</w:t>
            </w:r>
          </w:p>
        </w:tc>
        <w:tc>
          <w:tcPr>
            <w:tcW w:w="850" w:type="dxa"/>
          </w:tcPr>
          <w:p w:rsidR="00A57540" w:rsidRPr="00E55365" w:rsidRDefault="00A57540" w:rsidP="00A57540">
            <w:pPr>
              <w:jc w:val="center"/>
              <w:rPr>
                <w:rFonts w:cs="Times New Roman"/>
                <w:b/>
                <w:sz w:val="18"/>
                <w:szCs w:val="18"/>
              </w:rPr>
            </w:pPr>
            <w:r w:rsidRPr="00E55365">
              <w:rPr>
                <w:rFonts w:cs="Times New Roman"/>
                <w:color w:val="000000" w:themeColor="text1"/>
                <w:sz w:val="18"/>
                <w:szCs w:val="18"/>
              </w:rPr>
              <w:t>0.231</w:t>
            </w:r>
          </w:p>
        </w:tc>
        <w:tc>
          <w:tcPr>
            <w:tcW w:w="850" w:type="dxa"/>
          </w:tcPr>
          <w:p w:rsidR="00A57540" w:rsidRPr="00E55365" w:rsidRDefault="00A57540" w:rsidP="00A57540">
            <w:pPr>
              <w:jc w:val="center"/>
              <w:rPr>
                <w:rFonts w:cs="Times New Roman"/>
                <w:b/>
                <w:sz w:val="18"/>
                <w:szCs w:val="18"/>
              </w:rPr>
            </w:pPr>
            <w:r w:rsidRPr="00E55365">
              <w:rPr>
                <w:rFonts w:cs="Times New Roman"/>
                <w:color w:val="000000" w:themeColor="text1"/>
                <w:sz w:val="18"/>
                <w:szCs w:val="18"/>
              </w:rPr>
              <w:t>0.073</w:t>
            </w:r>
          </w:p>
        </w:tc>
        <w:tc>
          <w:tcPr>
            <w:tcW w:w="850" w:type="dxa"/>
          </w:tcPr>
          <w:p w:rsidR="00A57540" w:rsidRPr="00E55365" w:rsidRDefault="00A57540" w:rsidP="00A57540">
            <w:pPr>
              <w:jc w:val="center"/>
              <w:rPr>
                <w:rFonts w:cs="Times New Roman"/>
                <w:b/>
                <w:sz w:val="18"/>
                <w:szCs w:val="18"/>
              </w:rPr>
            </w:pPr>
            <w:r w:rsidRPr="00E55365">
              <w:rPr>
                <w:rFonts w:cs="Times New Roman"/>
                <w:color w:val="000000" w:themeColor="text1"/>
                <w:sz w:val="18"/>
                <w:szCs w:val="18"/>
              </w:rPr>
              <w:t>0.786</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gridSpan w:val="2"/>
          </w:tcPr>
          <w:p w:rsidR="00A57540" w:rsidRPr="00E55365" w:rsidRDefault="00A57540" w:rsidP="00A57540">
            <w:pPr>
              <w:jc w:val="center"/>
              <w:rPr>
                <w:rFonts w:cs="Times New Roman"/>
                <w:b/>
                <w:sz w:val="18"/>
                <w:szCs w:val="18"/>
              </w:rPr>
            </w:pPr>
            <w:r w:rsidRPr="00E55365">
              <w:rPr>
                <w:rFonts w:cs="Times New Roman"/>
                <w:sz w:val="18"/>
                <w:szCs w:val="18"/>
              </w:rPr>
              <w:t>-</w:t>
            </w:r>
          </w:p>
        </w:tc>
      </w:tr>
      <w:tr w:rsidR="00A57540" w:rsidRPr="002719B9" w:rsidTr="00385300">
        <w:tc>
          <w:tcPr>
            <w:tcW w:w="1565" w:type="dxa"/>
          </w:tcPr>
          <w:p w:rsidR="00A57540" w:rsidRPr="00E55365" w:rsidRDefault="00A57540" w:rsidP="00A57540">
            <w:pPr>
              <w:rPr>
                <w:rFonts w:cs="Times New Roman"/>
                <w:sz w:val="18"/>
                <w:szCs w:val="18"/>
              </w:rPr>
            </w:pPr>
          </w:p>
        </w:tc>
        <w:tc>
          <w:tcPr>
            <w:tcW w:w="713" w:type="dxa"/>
          </w:tcPr>
          <w:p w:rsidR="00A57540" w:rsidRPr="00E55365" w:rsidRDefault="00A57540" w:rsidP="00A57540">
            <w:pPr>
              <w:rPr>
                <w:rFonts w:cs="Times New Roman"/>
                <w:sz w:val="18"/>
                <w:szCs w:val="18"/>
              </w:rPr>
            </w:pPr>
            <w:r w:rsidRPr="00E55365">
              <w:rPr>
                <w:rFonts w:cs="Times New Roman"/>
                <w:color w:val="000000" w:themeColor="text1"/>
                <w:sz w:val="18"/>
                <w:szCs w:val="18"/>
              </w:rPr>
              <w:t>2</w:t>
            </w:r>
          </w:p>
        </w:tc>
        <w:tc>
          <w:tcPr>
            <w:tcW w:w="907"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850" w:type="dxa"/>
          </w:tcPr>
          <w:p w:rsidR="00A57540" w:rsidRPr="00E55365" w:rsidRDefault="00A57540" w:rsidP="00A57540">
            <w:pPr>
              <w:jc w:val="center"/>
              <w:rPr>
                <w:rFonts w:cs="Times New Roman"/>
                <w:sz w:val="18"/>
                <w:szCs w:val="18"/>
              </w:rPr>
            </w:pPr>
            <w:r w:rsidRPr="00E55365">
              <w:rPr>
                <w:rFonts w:cs="Times New Roman"/>
                <w:color w:val="000000" w:themeColor="text1"/>
                <w:sz w:val="18"/>
                <w:szCs w:val="18"/>
              </w:rPr>
              <w:t>0.072</w:t>
            </w:r>
          </w:p>
        </w:tc>
        <w:tc>
          <w:tcPr>
            <w:tcW w:w="850" w:type="dxa"/>
          </w:tcPr>
          <w:p w:rsidR="00A57540" w:rsidRPr="00E55365" w:rsidRDefault="00A57540" w:rsidP="00A57540">
            <w:pPr>
              <w:jc w:val="center"/>
              <w:rPr>
                <w:rFonts w:cs="Times New Roman"/>
                <w:sz w:val="18"/>
                <w:szCs w:val="18"/>
              </w:rPr>
            </w:pPr>
            <w:r w:rsidRPr="00E55365">
              <w:rPr>
                <w:rFonts w:cs="Times New Roman"/>
                <w:color w:val="000000" w:themeColor="text1"/>
                <w:sz w:val="18"/>
                <w:szCs w:val="18"/>
              </w:rPr>
              <w:t>0.788</w:t>
            </w:r>
          </w:p>
        </w:tc>
        <w:tc>
          <w:tcPr>
            <w:tcW w:w="850" w:type="dxa"/>
          </w:tcPr>
          <w:p w:rsidR="00A57540" w:rsidRPr="00E55365" w:rsidRDefault="00A57540" w:rsidP="00A57540">
            <w:pPr>
              <w:jc w:val="center"/>
              <w:rPr>
                <w:rFonts w:cs="Times New Roman"/>
                <w:sz w:val="18"/>
                <w:szCs w:val="18"/>
              </w:rPr>
            </w:pPr>
            <w:r w:rsidRPr="00E55365">
              <w:rPr>
                <w:rFonts w:cs="Times New Roman"/>
                <w:color w:val="000000" w:themeColor="text1"/>
                <w:sz w:val="18"/>
                <w:szCs w:val="18"/>
              </w:rPr>
              <w:t>0.182</w:t>
            </w:r>
          </w:p>
        </w:tc>
        <w:tc>
          <w:tcPr>
            <w:tcW w:w="850" w:type="dxa"/>
          </w:tcPr>
          <w:p w:rsidR="00A57540" w:rsidRPr="00E55365" w:rsidRDefault="00A57540" w:rsidP="00A57540">
            <w:pPr>
              <w:jc w:val="center"/>
              <w:rPr>
                <w:rFonts w:cs="Times New Roman"/>
                <w:sz w:val="18"/>
                <w:szCs w:val="18"/>
              </w:rPr>
            </w:pPr>
            <w:r w:rsidRPr="00E55365">
              <w:rPr>
                <w:rFonts w:cs="Times New Roman"/>
                <w:color w:val="000000" w:themeColor="text1"/>
                <w:sz w:val="18"/>
                <w:szCs w:val="18"/>
              </w:rPr>
              <w:t>0.669</w:t>
            </w:r>
          </w:p>
        </w:tc>
        <w:tc>
          <w:tcPr>
            <w:tcW w:w="850" w:type="dxa"/>
          </w:tcPr>
          <w:p w:rsidR="00A57540" w:rsidRPr="00E55365" w:rsidRDefault="00A57540" w:rsidP="00A57540">
            <w:pPr>
              <w:jc w:val="center"/>
              <w:rPr>
                <w:rFonts w:cs="Times New Roman"/>
                <w:b/>
                <w:sz w:val="18"/>
                <w:szCs w:val="18"/>
              </w:rPr>
            </w:pPr>
            <w:r w:rsidRPr="00E55365">
              <w:rPr>
                <w:rFonts w:cs="Times New Roman"/>
                <w:b/>
                <w:color w:val="000000" w:themeColor="text1"/>
                <w:sz w:val="18"/>
                <w:szCs w:val="18"/>
              </w:rPr>
              <w:t>9.029</w:t>
            </w:r>
          </w:p>
        </w:tc>
        <w:tc>
          <w:tcPr>
            <w:tcW w:w="850" w:type="dxa"/>
          </w:tcPr>
          <w:p w:rsidR="00A57540" w:rsidRPr="00E55365" w:rsidRDefault="00A57540" w:rsidP="00A57540">
            <w:pPr>
              <w:jc w:val="center"/>
              <w:rPr>
                <w:rFonts w:cs="Times New Roman"/>
                <w:b/>
                <w:sz w:val="18"/>
                <w:szCs w:val="18"/>
              </w:rPr>
            </w:pPr>
            <w:r w:rsidRPr="00E55365">
              <w:rPr>
                <w:rFonts w:cs="Times New Roman"/>
                <w:b/>
                <w:color w:val="000000" w:themeColor="text1"/>
                <w:sz w:val="18"/>
                <w:szCs w:val="18"/>
              </w:rPr>
              <w:t>0.003</w:t>
            </w:r>
          </w:p>
        </w:tc>
        <w:tc>
          <w:tcPr>
            <w:tcW w:w="850" w:type="dxa"/>
          </w:tcPr>
          <w:p w:rsidR="00A57540" w:rsidRPr="00E55365" w:rsidRDefault="00A57540" w:rsidP="00A57540">
            <w:pPr>
              <w:jc w:val="center"/>
              <w:rPr>
                <w:rFonts w:cs="Times New Roman"/>
                <w:b/>
                <w:sz w:val="18"/>
                <w:szCs w:val="18"/>
              </w:rPr>
            </w:pPr>
            <w:r w:rsidRPr="00E55365">
              <w:rPr>
                <w:rFonts w:cs="Times New Roman"/>
                <w:b/>
                <w:color w:val="000000" w:themeColor="text1"/>
                <w:sz w:val="18"/>
                <w:szCs w:val="18"/>
              </w:rPr>
              <w:t>5.737</w:t>
            </w:r>
          </w:p>
        </w:tc>
        <w:tc>
          <w:tcPr>
            <w:tcW w:w="850" w:type="dxa"/>
          </w:tcPr>
          <w:p w:rsidR="00A57540" w:rsidRPr="00E55365" w:rsidRDefault="00A57540" w:rsidP="00A57540">
            <w:pPr>
              <w:jc w:val="center"/>
              <w:rPr>
                <w:rFonts w:cs="Times New Roman"/>
                <w:b/>
                <w:sz w:val="18"/>
                <w:szCs w:val="18"/>
              </w:rPr>
            </w:pPr>
            <w:r w:rsidRPr="00E55365">
              <w:rPr>
                <w:rFonts w:cs="Times New Roman"/>
                <w:b/>
                <w:color w:val="000000" w:themeColor="text1"/>
                <w:sz w:val="18"/>
                <w:szCs w:val="18"/>
              </w:rPr>
              <w:t>0.788</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gridSpan w:val="2"/>
          </w:tcPr>
          <w:p w:rsidR="00A57540" w:rsidRPr="00E55365" w:rsidRDefault="00A57540" w:rsidP="00A57540">
            <w:pPr>
              <w:jc w:val="center"/>
              <w:rPr>
                <w:rFonts w:cs="Times New Roman"/>
                <w:b/>
                <w:sz w:val="18"/>
                <w:szCs w:val="18"/>
              </w:rPr>
            </w:pPr>
            <w:r w:rsidRPr="00E55365">
              <w:rPr>
                <w:rFonts w:cs="Times New Roman"/>
                <w:sz w:val="18"/>
                <w:szCs w:val="18"/>
              </w:rPr>
              <w:t>-</w:t>
            </w:r>
          </w:p>
        </w:tc>
      </w:tr>
      <w:tr w:rsidR="00A57540" w:rsidRPr="002719B9" w:rsidTr="00385300">
        <w:tc>
          <w:tcPr>
            <w:tcW w:w="1565" w:type="dxa"/>
          </w:tcPr>
          <w:p w:rsidR="00A57540" w:rsidRPr="00E55365" w:rsidRDefault="00A57540" w:rsidP="00A57540">
            <w:pPr>
              <w:rPr>
                <w:rFonts w:cs="Times New Roman"/>
                <w:sz w:val="18"/>
                <w:szCs w:val="18"/>
              </w:rPr>
            </w:pPr>
          </w:p>
        </w:tc>
        <w:tc>
          <w:tcPr>
            <w:tcW w:w="713" w:type="dxa"/>
          </w:tcPr>
          <w:p w:rsidR="00A57540" w:rsidRPr="00E55365" w:rsidRDefault="00A57540" w:rsidP="00A57540">
            <w:pPr>
              <w:rPr>
                <w:rFonts w:cs="Times New Roman"/>
                <w:sz w:val="18"/>
                <w:szCs w:val="18"/>
              </w:rPr>
            </w:pPr>
            <w:r w:rsidRPr="00E55365">
              <w:rPr>
                <w:rFonts w:cs="Times New Roman"/>
                <w:color w:val="000000" w:themeColor="text1"/>
                <w:sz w:val="18"/>
                <w:szCs w:val="18"/>
              </w:rPr>
              <w:t>3</w:t>
            </w:r>
          </w:p>
        </w:tc>
        <w:tc>
          <w:tcPr>
            <w:tcW w:w="907"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850" w:type="dxa"/>
          </w:tcPr>
          <w:p w:rsidR="00A57540" w:rsidRPr="00E55365" w:rsidRDefault="00A57540" w:rsidP="00A57540">
            <w:pPr>
              <w:jc w:val="center"/>
              <w:rPr>
                <w:rFonts w:cs="Times New Roman"/>
                <w:sz w:val="18"/>
                <w:szCs w:val="18"/>
              </w:rPr>
            </w:pPr>
            <w:r w:rsidRPr="00E55365">
              <w:rPr>
                <w:rFonts w:cs="Times New Roman"/>
                <w:color w:val="000000" w:themeColor="text1"/>
                <w:sz w:val="18"/>
                <w:szCs w:val="18"/>
              </w:rPr>
              <w:t>1.069</w:t>
            </w:r>
          </w:p>
        </w:tc>
        <w:tc>
          <w:tcPr>
            <w:tcW w:w="850" w:type="dxa"/>
          </w:tcPr>
          <w:p w:rsidR="00A57540" w:rsidRPr="00E55365" w:rsidRDefault="00A57540" w:rsidP="00A57540">
            <w:pPr>
              <w:jc w:val="center"/>
              <w:rPr>
                <w:rFonts w:cs="Times New Roman"/>
                <w:sz w:val="18"/>
                <w:szCs w:val="18"/>
              </w:rPr>
            </w:pPr>
            <w:r w:rsidRPr="00E55365">
              <w:rPr>
                <w:rFonts w:cs="Times New Roman"/>
                <w:color w:val="000000" w:themeColor="text1"/>
                <w:sz w:val="18"/>
                <w:szCs w:val="18"/>
              </w:rPr>
              <w:t>0.302</w:t>
            </w:r>
          </w:p>
        </w:tc>
        <w:tc>
          <w:tcPr>
            <w:tcW w:w="850" w:type="dxa"/>
          </w:tcPr>
          <w:p w:rsidR="00A57540" w:rsidRPr="00E55365" w:rsidRDefault="00A57540" w:rsidP="00A57540">
            <w:pPr>
              <w:jc w:val="center"/>
              <w:rPr>
                <w:rFonts w:cs="Times New Roman"/>
                <w:sz w:val="18"/>
                <w:szCs w:val="18"/>
              </w:rPr>
            </w:pPr>
            <w:r w:rsidRPr="00E55365">
              <w:rPr>
                <w:rFonts w:cs="Times New Roman"/>
                <w:b/>
                <w:color w:val="000000" w:themeColor="text1"/>
                <w:sz w:val="18"/>
                <w:szCs w:val="18"/>
              </w:rPr>
              <w:t>10.808</w:t>
            </w:r>
          </w:p>
        </w:tc>
        <w:tc>
          <w:tcPr>
            <w:tcW w:w="850" w:type="dxa"/>
          </w:tcPr>
          <w:p w:rsidR="00A57540" w:rsidRPr="00E55365" w:rsidRDefault="00A57540" w:rsidP="00A57540">
            <w:pPr>
              <w:jc w:val="center"/>
              <w:rPr>
                <w:rFonts w:cs="Times New Roman"/>
                <w:sz w:val="18"/>
                <w:szCs w:val="18"/>
              </w:rPr>
            </w:pPr>
            <w:r w:rsidRPr="00E55365">
              <w:rPr>
                <w:rFonts w:cs="Times New Roman"/>
                <w:b/>
                <w:color w:val="000000" w:themeColor="text1"/>
                <w:sz w:val="18"/>
                <w:szCs w:val="18"/>
              </w:rPr>
              <w:t>0.001</w:t>
            </w:r>
          </w:p>
        </w:tc>
        <w:tc>
          <w:tcPr>
            <w:tcW w:w="850" w:type="dxa"/>
          </w:tcPr>
          <w:p w:rsidR="00A57540" w:rsidRPr="00E55365" w:rsidRDefault="00A57540" w:rsidP="00A57540">
            <w:pPr>
              <w:jc w:val="center"/>
              <w:rPr>
                <w:rFonts w:cs="Times New Roman"/>
                <w:b/>
                <w:sz w:val="18"/>
                <w:szCs w:val="18"/>
              </w:rPr>
            </w:pPr>
            <w:r w:rsidRPr="00E55365">
              <w:rPr>
                <w:rFonts w:cs="Times New Roman"/>
                <w:color w:val="000000" w:themeColor="text1"/>
                <w:sz w:val="18"/>
                <w:szCs w:val="18"/>
              </w:rPr>
              <w:t>1.779</w:t>
            </w:r>
          </w:p>
        </w:tc>
        <w:tc>
          <w:tcPr>
            <w:tcW w:w="850" w:type="dxa"/>
          </w:tcPr>
          <w:p w:rsidR="00A57540" w:rsidRPr="00E55365" w:rsidRDefault="00A57540" w:rsidP="00A57540">
            <w:pPr>
              <w:jc w:val="center"/>
              <w:rPr>
                <w:rFonts w:cs="Times New Roman"/>
                <w:b/>
                <w:sz w:val="18"/>
                <w:szCs w:val="18"/>
              </w:rPr>
            </w:pPr>
            <w:r w:rsidRPr="00E55365">
              <w:rPr>
                <w:rFonts w:cs="Times New Roman"/>
                <w:color w:val="000000" w:themeColor="text1"/>
                <w:sz w:val="18"/>
                <w:szCs w:val="18"/>
              </w:rPr>
              <w:t>0.184</w:t>
            </w:r>
          </w:p>
        </w:tc>
        <w:tc>
          <w:tcPr>
            <w:tcW w:w="850" w:type="dxa"/>
          </w:tcPr>
          <w:p w:rsidR="00A57540" w:rsidRPr="00E55365" w:rsidRDefault="00A57540" w:rsidP="00A57540">
            <w:pPr>
              <w:jc w:val="center"/>
              <w:rPr>
                <w:rFonts w:cs="Times New Roman"/>
                <w:b/>
                <w:sz w:val="18"/>
                <w:szCs w:val="18"/>
              </w:rPr>
            </w:pPr>
            <w:r w:rsidRPr="00E55365">
              <w:rPr>
                <w:rFonts w:cs="Times New Roman"/>
                <w:color w:val="000000" w:themeColor="text1"/>
                <w:sz w:val="18"/>
                <w:szCs w:val="18"/>
              </w:rPr>
              <w:t>0.430</w:t>
            </w:r>
          </w:p>
        </w:tc>
        <w:tc>
          <w:tcPr>
            <w:tcW w:w="850" w:type="dxa"/>
          </w:tcPr>
          <w:p w:rsidR="00A57540" w:rsidRPr="00E55365" w:rsidRDefault="00A57540" w:rsidP="00A57540">
            <w:pPr>
              <w:jc w:val="center"/>
              <w:rPr>
                <w:rFonts w:cs="Times New Roman"/>
                <w:b/>
                <w:sz w:val="18"/>
                <w:szCs w:val="18"/>
              </w:rPr>
            </w:pPr>
            <w:r w:rsidRPr="00E55365">
              <w:rPr>
                <w:rFonts w:cs="Times New Roman"/>
                <w:color w:val="000000" w:themeColor="text1"/>
                <w:sz w:val="18"/>
                <w:szCs w:val="18"/>
              </w:rPr>
              <w:t>0.513</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gridSpan w:val="2"/>
          </w:tcPr>
          <w:p w:rsidR="00A57540" w:rsidRPr="00E55365" w:rsidRDefault="00A57540" w:rsidP="00A57540">
            <w:pPr>
              <w:jc w:val="center"/>
              <w:rPr>
                <w:rFonts w:cs="Times New Roman"/>
                <w:b/>
                <w:sz w:val="18"/>
                <w:szCs w:val="18"/>
              </w:rPr>
            </w:pPr>
            <w:r w:rsidRPr="00E55365">
              <w:rPr>
                <w:rFonts w:cs="Times New Roman"/>
                <w:sz w:val="18"/>
                <w:szCs w:val="18"/>
              </w:rPr>
              <w:t>-</w:t>
            </w:r>
          </w:p>
        </w:tc>
      </w:tr>
      <w:tr w:rsidR="00A57540" w:rsidRPr="002719B9" w:rsidTr="00385300">
        <w:tc>
          <w:tcPr>
            <w:tcW w:w="1565" w:type="dxa"/>
          </w:tcPr>
          <w:p w:rsidR="00A57540" w:rsidRPr="00E55365" w:rsidRDefault="00A57540" w:rsidP="00A57540">
            <w:pPr>
              <w:rPr>
                <w:rFonts w:cs="Times New Roman"/>
                <w:sz w:val="18"/>
                <w:szCs w:val="18"/>
              </w:rPr>
            </w:pPr>
            <w:r w:rsidRPr="00E55365">
              <w:rPr>
                <w:rFonts w:cs="Times New Roman"/>
                <w:sz w:val="18"/>
                <w:szCs w:val="18"/>
              </w:rPr>
              <w:t xml:space="preserve">Leaf C:N </w:t>
            </w:r>
          </w:p>
        </w:tc>
        <w:tc>
          <w:tcPr>
            <w:tcW w:w="713" w:type="dxa"/>
          </w:tcPr>
          <w:p w:rsidR="00A57540" w:rsidRPr="00E55365" w:rsidRDefault="00A57540" w:rsidP="00A57540">
            <w:pPr>
              <w:rPr>
                <w:rFonts w:cs="Times New Roman"/>
                <w:sz w:val="18"/>
                <w:szCs w:val="18"/>
              </w:rPr>
            </w:pPr>
            <w:r w:rsidRPr="00E55365">
              <w:rPr>
                <w:rFonts w:cs="Times New Roman"/>
                <w:sz w:val="18"/>
                <w:szCs w:val="18"/>
              </w:rPr>
              <w:t>1</w:t>
            </w:r>
          </w:p>
        </w:tc>
        <w:tc>
          <w:tcPr>
            <w:tcW w:w="907"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0.933</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0.335</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1.750</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0.187</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1.484</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0.225</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3.074</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0.081</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gridSpan w:val="2"/>
          </w:tcPr>
          <w:p w:rsidR="00A57540" w:rsidRPr="00E55365" w:rsidRDefault="00A57540" w:rsidP="00A57540">
            <w:pPr>
              <w:jc w:val="center"/>
              <w:rPr>
                <w:rFonts w:cs="Times New Roman"/>
                <w:b/>
                <w:sz w:val="18"/>
                <w:szCs w:val="18"/>
              </w:rPr>
            </w:pPr>
            <w:r w:rsidRPr="00E55365">
              <w:rPr>
                <w:rFonts w:cs="Times New Roman"/>
                <w:sz w:val="18"/>
                <w:szCs w:val="18"/>
              </w:rPr>
              <w:t>-</w:t>
            </w:r>
          </w:p>
        </w:tc>
      </w:tr>
      <w:tr w:rsidR="00A57540" w:rsidRPr="002719B9" w:rsidTr="00385300">
        <w:tc>
          <w:tcPr>
            <w:tcW w:w="1565" w:type="dxa"/>
          </w:tcPr>
          <w:p w:rsidR="00A57540" w:rsidRPr="00E55365" w:rsidRDefault="00A57540" w:rsidP="00A57540">
            <w:pPr>
              <w:rPr>
                <w:rFonts w:cs="Times New Roman"/>
                <w:sz w:val="18"/>
                <w:szCs w:val="18"/>
              </w:rPr>
            </w:pPr>
          </w:p>
        </w:tc>
        <w:tc>
          <w:tcPr>
            <w:tcW w:w="713" w:type="dxa"/>
          </w:tcPr>
          <w:p w:rsidR="00A57540" w:rsidRPr="00E55365" w:rsidRDefault="00A57540" w:rsidP="00A57540">
            <w:pPr>
              <w:rPr>
                <w:rFonts w:cs="Times New Roman"/>
                <w:sz w:val="18"/>
                <w:szCs w:val="18"/>
              </w:rPr>
            </w:pPr>
            <w:r w:rsidRPr="00E55365">
              <w:rPr>
                <w:rFonts w:cs="Times New Roman"/>
                <w:sz w:val="18"/>
                <w:szCs w:val="18"/>
              </w:rPr>
              <w:t>2</w:t>
            </w:r>
          </w:p>
        </w:tc>
        <w:tc>
          <w:tcPr>
            <w:tcW w:w="907"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0.287</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0.592</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2.941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0.088</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0.653</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0.420</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10.327</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0.001</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gridSpan w:val="2"/>
          </w:tcPr>
          <w:p w:rsidR="00A57540" w:rsidRPr="00E55365" w:rsidRDefault="00A57540" w:rsidP="00A57540">
            <w:pPr>
              <w:jc w:val="center"/>
              <w:rPr>
                <w:rFonts w:cs="Times New Roman"/>
                <w:b/>
                <w:sz w:val="18"/>
                <w:szCs w:val="18"/>
              </w:rPr>
            </w:pPr>
            <w:r w:rsidRPr="00E55365">
              <w:rPr>
                <w:rFonts w:cs="Times New Roman"/>
                <w:sz w:val="18"/>
                <w:szCs w:val="18"/>
              </w:rPr>
              <w:t>-</w:t>
            </w:r>
          </w:p>
        </w:tc>
      </w:tr>
      <w:tr w:rsidR="00A57540" w:rsidRPr="002719B9" w:rsidTr="00001A4E">
        <w:tc>
          <w:tcPr>
            <w:tcW w:w="1565" w:type="dxa"/>
          </w:tcPr>
          <w:p w:rsidR="00A57540" w:rsidRPr="00E55365" w:rsidRDefault="00A57540" w:rsidP="00A57540">
            <w:pPr>
              <w:rPr>
                <w:rFonts w:cs="Times New Roman"/>
                <w:sz w:val="18"/>
                <w:szCs w:val="18"/>
              </w:rPr>
            </w:pPr>
          </w:p>
        </w:tc>
        <w:tc>
          <w:tcPr>
            <w:tcW w:w="713" w:type="dxa"/>
          </w:tcPr>
          <w:p w:rsidR="00A57540" w:rsidRPr="00E55365" w:rsidRDefault="00A57540" w:rsidP="00A57540">
            <w:pPr>
              <w:rPr>
                <w:rFonts w:cs="Times New Roman"/>
                <w:sz w:val="18"/>
                <w:szCs w:val="18"/>
              </w:rPr>
            </w:pPr>
            <w:r w:rsidRPr="00E55365">
              <w:rPr>
                <w:rFonts w:cs="Times New Roman"/>
                <w:sz w:val="18"/>
                <w:szCs w:val="18"/>
              </w:rPr>
              <w:t>3</w:t>
            </w:r>
          </w:p>
        </w:tc>
        <w:tc>
          <w:tcPr>
            <w:tcW w:w="907"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0.611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0.435</w:t>
            </w:r>
          </w:p>
        </w:tc>
        <w:tc>
          <w:tcPr>
            <w:tcW w:w="850" w:type="dxa"/>
          </w:tcPr>
          <w:p w:rsidR="00A57540" w:rsidRPr="00E55365" w:rsidRDefault="00A57540" w:rsidP="00A57540">
            <w:pPr>
              <w:jc w:val="center"/>
              <w:rPr>
                <w:rFonts w:cs="Times New Roman"/>
                <w:sz w:val="18"/>
                <w:szCs w:val="18"/>
              </w:rPr>
            </w:pPr>
            <w:r w:rsidRPr="00E55365">
              <w:rPr>
                <w:rFonts w:cs="Times New Roman"/>
                <w:b/>
                <w:sz w:val="18"/>
                <w:szCs w:val="18"/>
              </w:rPr>
              <w:t>246.57</w:t>
            </w:r>
          </w:p>
        </w:tc>
        <w:tc>
          <w:tcPr>
            <w:tcW w:w="850" w:type="dxa"/>
          </w:tcPr>
          <w:p w:rsidR="00A57540" w:rsidRPr="00E55365" w:rsidRDefault="00A57540" w:rsidP="00A57540">
            <w:pPr>
              <w:jc w:val="center"/>
              <w:rPr>
                <w:rFonts w:cs="Times New Roman"/>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5.140</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0.024</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20.295</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w:t>
            </w:r>
          </w:p>
        </w:tc>
        <w:tc>
          <w:tcPr>
            <w:tcW w:w="850" w:type="dxa"/>
            <w:gridSpan w:val="2"/>
          </w:tcPr>
          <w:p w:rsidR="00A57540" w:rsidRPr="00E55365" w:rsidRDefault="00A57540" w:rsidP="00A57540">
            <w:pPr>
              <w:jc w:val="center"/>
              <w:rPr>
                <w:rFonts w:cs="Times New Roman"/>
                <w:b/>
                <w:sz w:val="18"/>
                <w:szCs w:val="18"/>
              </w:rPr>
            </w:pPr>
            <w:r w:rsidRPr="00E55365">
              <w:rPr>
                <w:rFonts w:cs="Times New Roman"/>
                <w:sz w:val="18"/>
                <w:szCs w:val="18"/>
              </w:rPr>
              <w:t>-</w:t>
            </w:r>
          </w:p>
        </w:tc>
      </w:tr>
      <w:tr w:rsidR="00A57540" w:rsidRPr="002719B9" w:rsidTr="00385300">
        <w:tc>
          <w:tcPr>
            <w:tcW w:w="1565" w:type="dxa"/>
            <w:vMerge w:val="restart"/>
          </w:tcPr>
          <w:p w:rsidR="00A57540" w:rsidRPr="00E55365" w:rsidRDefault="00A57540" w:rsidP="00A57540">
            <w:pPr>
              <w:rPr>
                <w:rFonts w:cs="Times New Roman"/>
                <w:sz w:val="18"/>
                <w:szCs w:val="18"/>
              </w:rPr>
            </w:pPr>
            <w:r w:rsidRPr="00E55365">
              <w:rPr>
                <w:rFonts w:cs="Times New Roman"/>
                <w:sz w:val="18"/>
                <w:szCs w:val="18"/>
              </w:rPr>
              <w:t>Leaf chlorophyll (mg g</w:t>
            </w:r>
            <w:r w:rsidRPr="00E55365">
              <w:rPr>
                <w:rFonts w:cs="Times New Roman"/>
                <w:sz w:val="18"/>
                <w:szCs w:val="18"/>
                <w:vertAlign w:val="superscript"/>
              </w:rPr>
              <w:t>-1</w:t>
            </w:r>
            <w:r w:rsidRPr="00E55365">
              <w:rPr>
                <w:rFonts w:cs="Times New Roman"/>
                <w:sz w:val="18"/>
                <w:szCs w:val="18"/>
              </w:rPr>
              <w:t>)</w:t>
            </w:r>
          </w:p>
        </w:tc>
        <w:tc>
          <w:tcPr>
            <w:tcW w:w="713" w:type="dxa"/>
          </w:tcPr>
          <w:p w:rsidR="00A57540" w:rsidRPr="00E55365" w:rsidRDefault="00A57540" w:rsidP="00A57540">
            <w:pPr>
              <w:rPr>
                <w:rFonts w:cs="Times New Roman"/>
                <w:sz w:val="18"/>
                <w:szCs w:val="18"/>
              </w:rPr>
            </w:pPr>
            <w:r w:rsidRPr="00E55365">
              <w:rPr>
                <w:rFonts w:cs="Times New Roman"/>
                <w:sz w:val="18"/>
                <w:szCs w:val="18"/>
              </w:rPr>
              <w:t>1</w:t>
            </w:r>
          </w:p>
        </w:tc>
        <w:tc>
          <w:tcPr>
            <w:tcW w:w="907"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1.377</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0.242</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1.252</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0.264</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88.097</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12.516</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gridSpan w:val="2"/>
          </w:tcPr>
          <w:p w:rsidR="00A57540" w:rsidRPr="00E55365" w:rsidRDefault="00A57540" w:rsidP="00A57540">
            <w:pPr>
              <w:jc w:val="center"/>
              <w:rPr>
                <w:rFonts w:cs="Times New Roman"/>
                <w:sz w:val="18"/>
                <w:szCs w:val="18"/>
              </w:rPr>
            </w:pPr>
            <w:r w:rsidRPr="00E55365">
              <w:rPr>
                <w:rFonts w:cs="Times New Roman"/>
                <w:sz w:val="18"/>
                <w:szCs w:val="18"/>
              </w:rPr>
              <w:t>-</w:t>
            </w:r>
          </w:p>
        </w:tc>
      </w:tr>
      <w:tr w:rsidR="00A57540" w:rsidRPr="002719B9" w:rsidTr="00385300">
        <w:tc>
          <w:tcPr>
            <w:tcW w:w="1565" w:type="dxa"/>
            <w:vMerge/>
          </w:tcPr>
          <w:p w:rsidR="00A57540" w:rsidRPr="00E55365" w:rsidRDefault="00A57540" w:rsidP="00A57540">
            <w:pPr>
              <w:rPr>
                <w:rFonts w:cs="Times New Roman"/>
                <w:sz w:val="18"/>
                <w:szCs w:val="18"/>
              </w:rPr>
            </w:pPr>
          </w:p>
        </w:tc>
        <w:tc>
          <w:tcPr>
            <w:tcW w:w="713" w:type="dxa"/>
          </w:tcPr>
          <w:p w:rsidR="00A57540" w:rsidRPr="00E55365" w:rsidRDefault="00A57540" w:rsidP="00A57540">
            <w:pPr>
              <w:rPr>
                <w:rFonts w:cs="Times New Roman"/>
                <w:sz w:val="18"/>
                <w:szCs w:val="18"/>
              </w:rPr>
            </w:pPr>
            <w:r w:rsidRPr="00E55365">
              <w:rPr>
                <w:rFonts w:cs="Times New Roman"/>
                <w:sz w:val="18"/>
                <w:szCs w:val="18"/>
              </w:rPr>
              <w:t>2</w:t>
            </w:r>
          </w:p>
        </w:tc>
        <w:tc>
          <w:tcPr>
            <w:tcW w:w="907"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0.023</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0.878</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2.543</w:t>
            </w:r>
          </w:p>
        </w:tc>
        <w:tc>
          <w:tcPr>
            <w:tcW w:w="850" w:type="dxa"/>
          </w:tcPr>
          <w:p w:rsidR="00A57540" w:rsidRPr="00E55365" w:rsidRDefault="00A57540" w:rsidP="00A57540">
            <w:pPr>
              <w:jc w:val="center"/>
              <w:rPr>
                <w:rFonts w:cs="Times New Roman"/>
                <w:b/>
                <w:sz w:val="18"/>
                <w:szCs w:val="18"/>
              </w:rPr>
            </w:pPr>
            <w:r w:rsidRPr="00E55365">
              <w:rPr>
                <w:rFonts w:cs="Times New Roman"/>
                <w:sz w:val="18"/>
                <w:szCs w:val="18"/>
              </w:rPr>
              <w:t>0.112</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8.155</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0.004</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4.182</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0.042</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gridSpan w:val="2"/>
          </w:tcPr>
          <w:p w:rsidR="00A57540" w:rsidRPr="00E55365" w:rsidRDefault="00A57540" w:rsidP="00A57540">
            <w:pPr>
              <w:jc w:val="center"/>
              <w:rPr>
                <w:rFonts w:cs="Times New Roman"/>
                <w:sz w:val="18"/>
                <w:szCs w:val="18"/>
              </w:rPr>
            </w:pPr>
            <w:r w:rsidRPr="00E55365">
              <w:rPr>
                <w:rFonts w:cs="Times New Roman"/>
                <w:sz w:val="18"/>
                <w:szCs w:val="18"/>
              </w:rPr>
              <w:t>-</w:t>
            </w:r>
          </w:p>
        </w:tc>
      </w:tr>
      <w:tr w:rsidR="00A57540" w:rsidRPr="002719B9" w:rsidTr="00001A4E">
        <w:trPr>
          <w:trHeight w:val="77"/>
        </w:trPr>
        <w:tc>
          <w:tcPr>
            <w:tcW w:w="1565" w:type="dxa"/>
            <w:vMerge/>
            <w:tcBorders>
              <w:bottom w:val="single" w:sz="4" w:space="0" w:color="auto"/>
            </w:tcBorders>
          </w:tcPr>
          <w:p w:rsidR="00A57540" w:rsidRPr="00E55365" w:rsidRDefault="00A57540" w:rsidP="00A57540">
            <w:pPr>
              <w:rPr>
                <w:rFonts w:cs="Times New Roman"/>
                <w:sz w:val="18"/>
                <w:szCs w:val="18"/>
              </w:rPr>
            </w:pPr>
          </w:p>
        </w:tc>
        <w:tc>
          <w:tcPr>
            <w:tcW w:w="713" w:type="dxa"/>
            <w:tcBorders>
              <w:bottom w:val="single" w:sz="4" w:space="0" w:color="auto"/>
            </w:tcBorders>
          </w:tcPr>
          <w:p w:rsidR="00A57540" w:rsidRPr="00E55365" w:rsidRDefault="00A57540" w:rsidP="00A57540">
            <w:pPr>
              <w:rPr>
                <w:rFonts w:cs="Times New Roman"/>
                <w:sz w:val="18"/>
                <w:szCs w:val="18"/>
              </w:rPr>
            </w:pPr>
            <w:r w:rsidRPr="00E55365">
              <w:rPr>
                <w:rFonts w:cs="Times New Roman"/>
                <w:sz w:val="18"/>
                <w:szCs w:val="18"/>
              </w:rPr>
              <w:t>3</w:t>
            </w:r>
          </w:p>
        </w:tc>
        <w:tc>
          <w:tcPr>
            <w:tcW w:w="907" w:type="dxa"/>
            <w:tcBorders>
              <w:bottom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850" w:type="dxa"/>
            <w:tcBorders>
              <w:bottom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0.559</w:t>
            </w:r>
          </w:p>
        </w:tc>
        <w:tc>
          <w:tcPr>
            <w:tcW w:w="850" w:type="dxa"/>
            <w:tcBorders>
              <w:bottom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0.456</w:t>
            </w:r>
          </w:p>
        </w:tc>
        <w:tc>
          <w:tcPr>
            <w:tcW w:w="850" w:type="dxa"/>
            <w:tcBorders>
              <w:bottom w:val="single" w:sz="4" w:space="0" w:color="auto"/>
            </w:tcBorders>
          </w:tcPr>
          <w:p w:rsidR="00A57540" w:rsidRPr="00E55365" w:rsidRDefault="00A57540" w:rsidP="00A57540">
            <w:pPr>
              <w:jc w:val="center"/>
              <w:rPr>
                <w:rFonts w:cs="Times New Roman"/>
                <w:b/>
                <w:sz w:val="18"/>
                <w:szCs w:val="18"/>
              </w:rPr>
            </w:pPr>
            <w:r w:rsidRPr="00E55365">
              <w:rPr>
                <w:rFonts w:cs="Times New Roman"/>
                <w:b/>
                <w:sz w:val="18"/>
                <w:szCs w:val="18"/>
              </w:rPr>
              <w:t>82.613</w:t>
            </w:r>
          </w:p>
        </w:tc>
        <w:tc>
          <w:tcPr>
            <w:tcW w:w="850" w:type="dxa"/>
            <w:tcBorders>
              <w:bottom w:val="single" w:sz="4" w:space="0" w:color="auto"/>
            </w:tcBorders>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Borders>
              <w:bottom w:val="single" w:sz="4" w:space="0" w:color="auto"/>
            </w:tcBorders>
          </w:tcPr>
          <w:p w:rsidR="00A57540" w:rsidRPr="00E55365" w:rsidRDefault="00A57540" w:rsidP="00A57540">
            <w:pPr>
              <w:jc w:val="center"/>
              <w:rPr>
                <w:rFonts w:cs="Times New Roman"/>
                <w:b/>
                <w:sz w:val="18"/>
                <w:szCs w:val="18"/>
              </w:rPr>
            </w:pPr>
            <w:r w:rsidRPr="00E55365">
              <w:rPr>
                <w:rFonts w:cs="Times New Roman"/>
                <w:b/>
                <w:sz w:val="18"/>
                <w:szCs w:val="18"/>
              </w:rPr>
              <w:t>79.759</w:t>
            </w:r>
          </w:p>
        </w:tc>
        <w:tc>
          <w:tcPr>
            <w:tcW w:w="850" w:type="dxa"/>
            <w:tcBorders>
              <w:bottom w:val="single" w:sz="4" w:space="0" w:color="auto"/>
            </w:tcBorders>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Borders>
              <w:bottom w:val="single" w:sz="4" w:space="0" w:color="auto"/>
            </w:tcBorders>
          </w:tcPr>
          <w:p w:rsidR="00A57540" w:rsidRPr="00E55365" w:rsidRDefault="00A57540" w:rsidP="00A57540">
            <w:pPr>
              <w:jc w:val="center"/>
              <w:rPr>
                <w:rFonts w:cs="Times New Roman"/>
                <w:b/>
                <w:sz w:val="18"/>
                <w:szCs w:val="18"/>
              </w:rPr>
            </w:pPr>
            <w:r w:rsidRPr="00E55365">
              <w:rPr>
                <w:rFonts w:cs="Times New Roman"/>
                <w:b/>
                <w:sz w:val="18"/>
                <w:szCs w:val="18"/>
              </w:rPr>
              <w:t>79.759</w:t>
            </w:r>
          </w:p>
        </w:tc>
        <w:tc>
          <w:tcPr>
            <w:tcW w:w="850" w:type="dxa"/>
            <w:tcBorders>
              <w:bottom w:val="single" w:sz="4" w:space="0" w:color="auto"/>
            </w:tcBorders>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Borders>
              <w:bottom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Borders>
              <w:bottom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Borders>
              <w:bottom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gridSpan w:val="2"/>
            <w:tcBorders>
              <w:bottom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w:t>
            </w:r>
          </w:p>
        </w:tc>
      </w:tr>
    </w:tbl>
    <w:p w:rsidR="00A57540" w:rsidRDefault="00A57540" w:rsidP="00A57540"/>
    <w:p w:rsidR="00A57540" w:rsidRDefault="00A57540" w:rsidP="00A57540"/>
    <w:p w:rsidR="00A57540" w:rsidRDefault="00A57540" w:rsidP="00A57540"/>
    <w:p w:rsidR="00A57540" w:rsidRDefault="00A57540" w:rsidP="00A57540"/>
    <w:p w:rsidR="00A57540" w:rsidRDefault="00A57540" w:rsidP="00A57540"/>
    <w:p w:rsidR="00A57540" w:rsidRDefault="00A57540" w:rsidP="00A57540"/>
    <w:tbl>
      <w:tblPr>
        <w:tblStyle w:val="TableGrid"/>
        <w:tblpPr w:leftFromText="180" w:rightFromText="180" w:vertAnchor="page" w:horzAnchor="margin" w:tblpXSpec="center" w:tblpY="1689"/>
        <w:tblW w:w="143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2"/>
        <w:gridCol w:w="566"/>
        <w:gridCol w:w="936"/>
        <w:gridCol w:w="908"/>
        <w:gridCol w:w="792"/>
        <w:gridCol w:w="850"/>
        <w:gridCol w:w="850"/>
        <w:gridCol w:w="850"/>
        <w:gridCol w:w="850"/>
        <w:gridCol w:w="850"/>
        <w:gridCol w:w="850"/>
        <w:gridCol w:w="850"/>
        <w:gridCol w:w="850"/>
        <w:gridCol w:w="850"/>
        <w:gridCol w:w="850"/>
        <w:gridCol w:w="63"/>
      </w:tblGrid>
      <w:tr w:rsidR="00A57540" w:rsidRPr="002719B9" w:rsidTr="00001A4E">
        <w:tc>
          <w:tcPr>
            <w:tcW w:w="14317" w:type="dxa"/>
            <w:gridSpan w:val="16"/>
          </w:tcPr>
          <w:p w:rsidR="00A57540" w:rsidRPr="00E55365" w:rsidRDefault="00A57540" w:rsidP="00F6521E">
            <w:pPr>
              <w:pStyle w:val="Caption"/>
              <w:rPr>
                <w:b/>
              </w:rPr>
            </w:pPr>
            <w:bookmarkStart w:id="175" w:name="_Ref469857789"/>
            <w:r w:rsidRPr="00E55365">
              <w:lastRenderedPageBreak/>
              <w:t xml:space="preserve">Table </w:t>
            </w:r>
            <w:bookmarkEnd w:id="175"/>
            <w:r w:rsidR="00F6521E">
              <w:t>2.1 (</w:t>
            </w:r>
            <w:proofErr w:type="spellStart"/>
            <w:r w:rsidR="00F6521E">
              <w:t>cont</w:t>
            </w:r>
            <w:proofErr w:type="spellEnd"/>
            <w:r w:rsidR="00F6521E">
              <w:t>)</w:t>
            </w:r>
            <w:r w:rsidR="00F6521E" w:rsidRPr="00E55365">
              <w:t xml:space="preserve"> </w:t>
            </w:r>
            <w:r w:rsidRPr="00E55365">
              <w:t>Four-Way ANOVA results for apple performance over three years. Main factor effects and all significant interactions with mycorrhiza are reported. Significant results (P&lt;0.05) are in bold</w:t>
            </w:r>
            <w:r w:rsidR="00861E0B">
              <w:t>.</w:t>
            </w:r>
          </w:p>
        </w:tc>
      </w:tr>
      <w:tr w:rsidR="00A57540" w:rsidRPr="00001A4E" w:rsidTr="00001A4E">
        <w:trPr>
          <w:gridAfter w:val="1"/>
          <w:wAfter w:w="63" w:type="dxa"/>
        </w:trPr>
        <w:tc>
          <w:tcPr>
            <w:tcW w:w="2552" w:type="dxa"/>
            <w:tcBorders>
              <w:top w:val="single" w:sz="4" w:space="0" w:color="auto"/>
              <w:bottom w:val="single" w:sz="4" w:space="0" w:color="auto"/>
            </w:tcBorders>
          </w:tcPr>
          <w:p w:rsidR="00A57540" w:rsidRPr="00001A4E" w:rsidRDefault="00A57540" w:rsidP="00A57540">
            <w:pPr>
              <w:rPr>
                <w:rFonts w:cs="Times New Roman"/>
                <w:b/>
                <w:sz w:val="18"/>
                <w:szCs w:val="18"/>
              </w:rPr>
            </w:pPr>
            <w:r w:rsidRPr="00001A4E">
              <w:rPr>
                <w:rFonts w:cs="Times New Roman"/>
                <w:b/>
                <w:sz w:val="18"/>
                <w:szCs w:val="18"/>
              </w:rPr>
              <w:t>Response</w:t>
            </w:r>
          </w:p>
        </w:tc>
        <w:tc>
          <w:tcPr>
            <w:tcW w:w="566" w:type="dxa"/>
            <w:tcBorders>
              <w:top w:val="single" w:sz="4" w:space="0" w:color="auto"/>
              <w:bottom w:val="single" w:sz="4" w:space="0" w:color="auto"/>
            </w:tcBorders>
          </w:tcPr>
          <w:p w:rsidR="00A57540" w:rsidRPr="00001A4E" w:rsidRDefault="00A57540" w:rsidP="00A57540">
            <w:pPr>
              <w:rPr>
                <w:rFonts w:cs="Times New Roman"/>
                <w:b/>
                <w:sz w:val="18"/>
                <w:szCs w:val="18"/>
              </w:rPr>
            </w:pPr>
          </w:p>
        </w:tc>
        <w:tc>
          <w:tcPr>
            <w:tcW w:w="936" w:type="dxa"/>
            <w:tcBorders>
              <w:top w:val="single" w:sz="4" w:space="0" w:color="auto"/>
              <w:bottom w:val="single" w:sz="4" w:space="0" w:color="auto"/>
            </w:tcBorders>
          </w:tcPr>
          <w:p w:rsidR="00A57540" w:rsidRPr="00001A4E" w:rsidRDefault="00A57540" w:rsidP="00A57540">
            <w:pPr>
              <w:jc w:val="center"/>
              <w:rPr>
                <w:rFonts w:cs="Times New Roman"/>
                <w:b/>
                <w:sz w:val="18"/>
                <w:szCs w:val="18"/>
              </w:rPr>
            </w:pPr>
          </w:p>
        </w:tc>
        <w:tc>
          <w:tcPr>
            <w:tcW w:w="1700" w:type="dxa"/>
            <w:gridSpan w:val="2"/>
            <w:tcBorders>
              <w:top w:val="single" w:sz="4" w:space="0" w:color="auto"/>
              <w:bottom w:val="single" w:sz="4" w:space="0" w:color="auto"/>
            </w:tcBorders>
          </w:tcPr>
          <w:p w:rsidR="00A57540" w:rsidRPr="00001A4E" w:rsidRDefault="00A57540" w:rsidP="00A57540">
            <w:pPr>
              <w:jc w:val="center"/>
              <w:rPr>
                <w:rFonts w:cs="Times New Roman"/>
                <w:b/>
                <w:sz w:val="18"/>
                <w:szCs w:val="18"/>
              </w:rPr>
            </w:pPr>
            <w:r w:rsidRPr="00001A4E">
              <w:rPr>
                <w:rFonts w:cs="Times New Roman"/>
                <w:b/>
                <w:sz w:val="18"/>
                <w:szCs w:val="18"/>
              </w:rPr>
              <w:t>Mycorrhiza</w:t>
            </w:r>
          </w:p>
        </w:tc>
        <w:tc>
          <w:tcPr>
            <w:tcW w:w="1700" w:type="dxa"/>
            <w:gridSpan w:val="2"/>
            <w:tcBorders>
              <w:top w:val="single" w:sz="4" w:space="0" w:color="auto"/>
              <w:bottom w:val="single" w:sz="4" w:space="0" w:color="auto"/>
            </w:tcBorders>
          </w:tcPr>
          <w:p w:rsidR="00A57540" w:rsidRPr="00001A4E" w:rsidRDefault="00A57540" w:rsidP="00A57540">
            <w:pPr>
              <w:jc w:val="center"/>
              <w:rPr>
                <w:rFonts w:cs="Times New Roman"/>
                <w:b/>
                <w:sz w:val="18"/>
                <w:szCs w:val="18"/>
              </w:rPr>
            </w:pPr>
            <w:r w:rsidRPr="00001A4E">
              <w:rPr>
                <w:rFonts w:cs="Times New Roman"/>
                <w:b/>
                <w:sz w:val="18"/>
                <w:szCs w:val="18"/>
              </w:rPr>
              <w:t>Nutrient</w:t>
            </w:r>
          </w:p>
        </w:tc>
        <w:tc>
          <w:tcPr>
            <w:tcW w:w="1700" w:type="dxa"/>
            <w:gridSpan w:val="2"/>
            <w:tcBorders>
              <w:top w:val="single" w:sz="4" w:space="0" w:color="auto"/>
              <w:bottom w:val="single" w:sz="4" w:space="0" w:color="auto"/>
            </w:tcBorders>
          </w:tcPr>
          <w:p w:rsidR="00A57540" w:rsidRPr="00001A4E" w:rsidRDefault="00A57540" w:rsidP="00A57540">
            <w:pPr>
              <w:jc w:val="center"/>
              <w:rPr>
                <w:rFonts w:cs="Times New Roman"/>
                <w:b/>
                <w:sz w:val="18"/>
                <w:szCs w:val="18"/>
              </w:rPr>
            </w:pPr>
            <w:r w:rsidRPr="00001A4E">
              <w:rPr>
                <w:rFonts w:cs="Times New Roman"/>
                <w:b/>
                <w:sz w:val="18"/>
                <w:szCs w:val="18"/>
              </w:rPr>
              <w:t>Scion</w:t>
            </w:r>
          </w:p>
        </w:tc>
        <w:tc>
          <w:tcPr>
            <w:tcW w:w="1700" w:type="dxa"/>
            <w:gridSpan w:val="2"/>
            <w:tcBorders>
              <w:top w:val="single" w:sz="4" w:space="0" w:color="auto"/>
              <w:bottom w:val="single" w:sz="4" w:space="0" w:color="auto"/>
            </w:tcBorders>
          </w:tcPr>
          <w:p w:rsidR="00A57540" w:rsidRPr="00001A4E" w:rsidRDefault="00A57540" w:rsidP="00A57540">
            <w:pPr>
              <w:jc w:val="center"/>
              <w:rPr>
                <w:rFonts w:cs="Times New Roman"/>
                <w:b/>
                <w:sz w:val="18"/>
                <w:szCs w:val="18"/>
              </w:rPr>
            </w:pPr>
            <w:r w:rsidRPr="00001A4E">
              <w:rPr>
                <w:rFonts w:cs="Times New Roman"/>
                <w:b/>
                <w:sz w:val="18"/>
                <w:szCs w:val="18"/>
              </w:rPr>
              <w:t>Rootstock</w:t>
            </w:r>
          </w:p>
        </w:tc>
        <w:tc>
          <w:tcPr>
            <w:tcW w:w="1700" w:type="dxa"/>
            <w:gridSpan w:val="2"/>
            <w:tcBorders>
              <w:top w:val="single" w:sz="4" w:space="0" w:color="auto"/>
              <w:bottom w:val="single" w:sz="4" w:space="0" w:color="auto"/>
            </w:tcBorders>
          </w:tcPr>
          <w:p w:rsidR="00A57540" w:rsidRPr="00001A4E" w:rsidRDefault="00A57540" w:rsidP="00A57540">
            <w:pPr>
              <w:jc w:val="center"/>
              <w:rPr>
                <w:rFonts w:cs="Times New Roman"/>
                <w:b/>
                <w:sz w:val="18"/>
                <w:szCs w:val="18"/>
              </w:rPr>
            </w:pPr>
            <w:r w:rsidRPr="00001A4E">
              <w:rPr>
                <w:rFonts w:cs="Times New Roman"/>
                <w:b/>
                <w:sz w:val="18"/>
                <w:szCs w:val="18"/>
              </w:rPr>
              <w:t>Mycorrhiza x Nutrient</w:t>
            </w:r>
          </w:p>
        </w:tc>
        <w:tc>
          <w:tcPr>
            <w:tcW w:w="1700" w:type="dxa"/>
            <w:gridSpan w:val="2"/>
            <w:tcBorders>
              <w:top w:val="single" w:sz="4" w:space="0" w:color="auto"/>
              <w:bottom w:val="single" w:sz="4" w:space="0" w:color="auto"/>
            </w:tcBorders>
          </w:tcPr>
          <w:p w:rsidR="00A57540" w:rsidRPr="00001A4E" w:rsidRDefault="00A57540" w:rsidP="00A57540">
            <w:pPr>
              <w:jc w:val="center"/>
              <w:rPr>
                <w:rFonts w:cs="Times New Roman"/>
                <w:b/>
                <w:sz w:val="18"/>
                <w:szCs w:val="18"/>
              </w:rPr>
            </w:pPr>
            <w:r w:rsidRPr="00001A4E">
              <w:rPr>
                <w:rFonts w:cs="Times New Roman"/>
                <w:b/>
                <w:sz w:val="18"/>
                <w:szCs w:val="18"/>
              </w:rPr>
              <w:t>Mycorrhiza x Scion</w:t>
            </w:r>
          </w:p>
        </w:tc>
      </w:tr>
      <w:tr w:rsidR="00A57540" w:rsidRPr="002719B9" w:rsidTr="00001A4E">
        <w:trPr>
          <w:gridAfter w:val="1"/>
          <w:wAfter w:w="63" w:type="dxa"/>
        </w:trPr>
        <w:tc>
          <w:tcPr>
            <w:tcW w:w="2552" w:type="dxa"/>
            <w:tcBorders>
              <w:top w:val="single" w:sz="4" w:space="0" w:color="auto"/>
            </w:tcBorders>
          </w:tcPr>
          <w:p w:rsidR="00A57540" w:rsidRPr="00E55365" w:rsidRDefault="00A57540" w:rsidP="00A57540">
            <w:pPr>
              <w:rPr>
                <w:rFonts w:cs="Times New Roman"/>
                <w:sz w:val="18"/>
                <w:szCs w:val="18"/>
              </w:rPr>
            </w:pPr>
          </w:p>
        </w:tc>
        <w:tc>
          <w:tcPr>
            <w:tcW w:w="566" w:type="dxa"/>
            <w:tcBorders>
              <w:top w:val="single" w:sz="4" w:space="0" w:color="auto"/>
            </w:tcBorders>
          </w:tcPr>
          <w:p w:rsidR="00A57540" w:rsidRPr="00E55365" w:rsidRDefault="00A57540" w:rsidP="00A57540">
            <w:pPr>
              <w:rPr>
                <w:rFonts w:cs="Times New Roman"/>
                <w:sz w:val="18"/>
                <w:szCs w:val="18"/>
              </w:rPr>
            </w:pPr>
            <w:r w:rsidRPr="00E55365">
              <w:rPr>
                <w:rFonts w:cs="Times New Roman"/>
                <w:sz w:val="18"/>
                <w:szCs w:val="18"/>
              </w:rPr>
              <w:t>Year</w:t>
            </w:r>
          </w:p>
        </w:tc>
        <w:tc>
          <w:tcPr>
            <w:tcW w:w="936" w:type="dxa"/>
            <w:tcBorders>
              <w:top w:val="single" w:sz="4" w:space="0" w:color="auto"/>
            </w:tcBorders>
          </w:tcPr>
          <w:p w:rsidR="00A57540" w:rsidRPr="00E55365" w:rsidRDefault="00A57540" w:rsidP="00A57540">
            <w:pPr>
              <w:jc w:val="center"/>
              <w:rPr>
                <w:rFonts w:cs="Times New Roman"/>
                <w:sz w:val="18"/>
                <w:szCs w:val="18"/>
              </w:rPr>
            </w:pPr>
            <w:proofErr w:type="spellStart"/>
            <w:r w:rsidRPr="00E55365">
              <w:rPr>
                <w:rFonts w:cs="Times New Roman"/>
                <w:sz w:val="18"/>
                <w:szCs w:val="18"/>
              </w:rPr>
              <w:t>df</w:t>
            </w:r>
            <w:proofErr w:type="spellEnd"/>
          </w:p>
        </w:tc>
        <w:tc>
          <w:tcPr>
            <w:tcW w:w="908"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F</w:t>
            </w:r>
          </w:p>
        </w:tc>
        <w:tc>
          <w:tcPr>
            <w:tcW w:w="792"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P</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F</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P</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F</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P</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F</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P</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F</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P</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F</w:t>
            </w:r>
          </w:p>
        </w:tc>
        <w:tc>
          <w:tcPr>
            <w:tcW w:w="850" w:type="dxa"/>
            <w:tcBorders>
              <w:top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P</w:t>
            </w:r>
          </w:p>
        </w:tc>
      </w:tr>
      <w:tr w:rsidR="00A57540" w:rsidRPr="002719B9" w:rsidTr="00001A4E">
        <w:trPr>
          <w:gridAfter w:val="1"/>
          <w:wAfter w:w="63" w:type="dxa"/>
        </w:trPr>
        <w:tc>
          <w:tcPr>
            <w:tcW w:w="2552" w:type="dxa"/>
          </w:tcPr>
          <w:p w:rsidR="00A57540" w:rsidRPr="00E55365" w:rsidRDefault="00A57540" w:rsidP="00A57540">
            <w:pPr>
              <w:jc w:val="left"/>
              <w:rPr>
                <w:rFonts w:cs="Times New Roman"/>
                <w:sz w:val="18"/>
                <w:szCs w:val="18"/>
              </w:rPr>
            </w:pPr>
            <w:r w:rsidRPr="00E55365">
              <w:rPr>
                <w:rFonts w:cs="Times New Roman"/>
                <w:sz w:val="18"/>
                <w:szCs w:val="18"/>
              </w:rPr>
              <w:t xml:space="preserve"> Tree height (cm)</w:t>
            </w:r>
          </w:p>
        </w:tc>
        <w:tc>
          <w:tcPr>
            <w:tcW w:w="566" w:type="dxa"/>
          </w:tcPr>
          <w:p w:rsidR="00A57540" w:rsidRPr="00E55365" w:rsidRDefault="00A57540" w:rsidP="00A57540">
            <w:pPr>
              <w:rPr>
                <w:rFonts w:cs="Times New Roman"/>
                <w:sz w:val="18"/>
                <w:szCs w:val="18"/>
              </w:rPr>
            </w:pPr>
            <w:r w:rsidRPr="00E55365">
              <w:rPr>
                <w:rFonts w:cs="Times New Roman"/>
                <w:sz w:val="18"/>
                <w:szCs w:val="18"/>
              </w:rPr>
              <w:t>1</w:t>
            </w:r>
          </w:p>
        </w:tc>
        <w:tc>
          <w:tcPr>
            <w:tcW w:w="936"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908" w:type="dxa"/>
          </w:tcPr>
          <w:p w:rsidR="00A57540" w:rsidRPr="00E55365" w:rsidRDefault="00A57540" w:rsidP="00A57540">
            <w:pPr>
              <w:jc w:val="center"/>
              <w:rPr>
                <w:rFonts w:cs="Times New Roman"/>
                <w:sz w:val="18"/>
                <w:szCs w:val="18"/>
              </w:rPr>
            </w:pPr>
            <w:r w:rsidRPr="00E55365">
              <w:rPr>
                <w:rFonts w:cs="Times New Roman"/>
                <w:sz w:val="18"/>
                <w:szCs w:val="18"/>
              </w:rPr>
              <w:t>1.922</w:t>
            </w:r>
          </w:p>
        </w:tc>
        <w:tc>
          <w:tcPr>
            <w:tcW w:w="792" w:type="dxa"/>
          </w:tcPr>
          <w:p w:rsidR="00A57540" w:rsidRPr="00E55365" w:rsidRDefault="00A57540" w:rsidP="00A57540">
            <w:pPr>
              <w:jc w:val="center"/>
              <w:rPr>
                <w:rFonts w:cs="Times New Roman"/>
                <w:sz w:val="18"/>
                <w:szCs w:val="18"/>
              </w:rPr>
            </w:pPr>
            <w:r w:rsidRPr="00E55365">
              <w:rPr>
                <w:rFonts w:cs="Times New Roman"/>
                <w:sz w:val="18"/>
                <w:szCs w:val="18"/>
              </w:rPr>
              <w:t>0.167</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1.092</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0.297</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69.97</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5.296</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0.022</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r>
      <w:tr w:rsidR="00A57540" w:rsidRPr="002719B9" w:rsidTr="00001A4E">
        <w:trPr>
          <w:gridAfter w:val="1"/>
          <w:wAfter w:w="63" w:type="dxa"/>
        </w:trPr>
        <w:tc>
          <w:tcPr>
            <w:tcW w:w="2552" w:type="dxa"/>
          </w:tcPr>
          <w:p w:rsidR="00A57540" w:rsidRPr="00E55365" w:rsidRDefault="00A57540" w:rsidP="00A57540">
            <w:pPr>
              <w:jc w:val="left"/>
              <w:rPr>
                <w:rFonts w:cs="Times New Roman"/>
                <w:sz w:val="18"/>
                <w:szCs w:val="18"/>
              </w:rPr>
            </w:pPr>
          </w:p>
        </w:tc>
        <w:tc>
          <w:tcPr>
            <w:tcW w:w="566" w:type="dxa"/>
          </w:tcPr>
          <w:p w:rsidR="00A57540" w:rsidRPr="00E55365" w:rsidRDefault="00A57540" w:rsidP="00A57540">
            <w:pPr>
              <w:rPr>
                <w:rFonts w:cs="Times New Roman"/>
                <w:sz w:val="18"/>
                <w:szCs w:val="18"/>
              </w:rPr>
            </w:pPr>
            <w:r w:rsidRPr="00E55365">
              <w:rPr>
                <w:rFonts w:cs="Times New Roman"/>
                <w:sz w:val="18"/>
                <w:szCs w:val="18"/>
              </w:rPr>
              <w:t>2</w:t>
            </w:r>
          </w:p>
        </w:tc>
        <w:tc>
          <w:tcPr>
            <w:tcW w:w="936"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908" w:type="dxa"/>
          </w:tcPr>
          <w:p w:rsidR="00A57540" w:rsidRPr="00E55365" w:rsidRDefault="00A57540" w:rsidP="00A57540">
            <w:pPr>
              <w:jc w:val="center"/>
              <w:rPr>
                <w:rFonts w:cs="Times New Roman"/>
                <w:b/>
                <w:sz w:val="18"/>
                <w:szCs w:val="18"/>
              </w:rPr>
            </w:pPr>
            <w:r w:rsidRPr="00E55365">
              <w:rPr>
                <w:rFonts w:cs="Times New Roman"/>
                <w:b/>
                <w:sz w:val="18"/>
                <w:szCs w:val="18"/>
              </w:rPr>
              <w:t>6.464</w:t>
            </w:r>
          </w:p>
        </w:tc>
        <w:tc>
          <w:tcPr>
            <w:tcW w:w="792" w:type="dxa"/>
          </w:tcPr>
          <w:p w:rsidR="00A57540" w:rsidRPr="00E55365" w:rsidRDefault="00A57540" w:rsidP="00A57540">
            <w:pPr>
              <w:jc w:val="center"/>
              <w:rPr>
                <w:rFonts w:cs="Times New Roman"/>
                <w:b/>
                <w:sz w:val="18"/>
                <w:szCs w:val="18"/>
              </w:rPr>
            </w:pPr>
            <w:r w:rsidRPr="00E55365">
              <w:rPr>
                <w:rFonts w:cs="Times New Roman"/>
                <w:b/>
                <w:sz w:val="18"/>
                <w:szCs w:val="18"/>
              </w:rPr>
              <w:t>0.012</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0.525</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0.470</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11.973</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12.429</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r>
      <w:tr w:rsidR="00A57540" w:rsidRPr="002719B9" w:rsidTr="00001A4E">
        <w:trPr>
          <w:gridAfter w:val="1"/>
          <w:wAfter w:w="63" w:type="dxa"/>
        </w:trPr>
        <w:tc>
          <w:tcPr>
            <w:tcW w:w="2552" w:type="dxa"/>
          </w:tcPr>
          <w:p w:rsidR="00A57540" w:rsidRPr="00E55365" w:rsidRDefault="00A57540" w:rsidP="00A57540">
            <w:pPr>
              <w:jc w:val="left"/>
              <w:rPr>
                <w:rFonts w:cs="Times New Roman"/>
                <w:sz w:val="18"/>
                <w:szCs w:val="18"/>
              </w:rPr>
            </w:pPr>
          </w:p>
        </w:tc>
        <w:tc>
          <w:tcPr>
            <w:tcW w:w="566" w:type="dxa"/>
          </w:tcPr>
          <w:p w:rsidR="00A57540" w:rsidRPr="00E55365" w:rsidRDefault="00A57540" w:rsidP="00A57540">
            <w:pPr>
              <w:rPr>
                <w:rFonts w:cs="Times New Roman"/>
                <w:sz w:val="18"/>
                <w:szCs w:val="18"/>
              </w:rPr>
            </w:pPr>
            <w:r w:rsidRPr="00E55365">
              <w:rPr>
                <w:rFonts w:cs="Times New Roman"/>
                <w:sz w:val="18"/>
                <w:szCs w:val="18"/>
              </w:rPr>
              <w:t>3</w:t>
            </w:r>
          </w:p>
        </w:tc>
        <w:tc>
          <w:tcPr>
            <w:tcW w:w="936"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908" w:type="dxa"/>
          </w:tcPr>
          <w:p w:rsidR="00A57540" w:rsidRPr="00E55365" w:rsidRDefault="00A57540" w:rsidP="00A57540">
            <w:pPr>
              <w:jc w:val="center"/>
              <w:rPr>
                <w:rFonts w:cs="Times New Roman"/>
                <w:sz w:val="18"/>
                <w:szCs w:val="18"/>
              </w:rPr>
            </w:pPr>
            <w:r w:rsidRPr="00E55365">
              <w:rPr>
                <w:rFonts w:cs="Times New Roman"/>
                <w:sz w:val="18"/>
                <w:szCs w:val="18"/>
              </w:rPr>
              <w:t>0.687</w:t>
            </w:r>
          </w:p>
        </w:tc>
        <w:tc>
          <w:tcPr>
            <w:tcW w:w="792" w:type="dxa"/>
          </w:tcPr>
          <w:p w:rsidR="00A57540" w:rsidRPr="00E55365" w:rsidRDefault="00A57540" w:rsidP="00A57540">
            <w:pPr>
              <w:jc w:val="center"/>
              <w:rPr>
                <w:rFonts w:cs="Times New Roman"/>
                <w:sz w:val="18"/>
                <w:szCs w:val="18"/>
              </w:rPr>
            </w:pPr>
            <w:r w:rsidRPr="00E55365">
              <w:rPr>
                <w:rFonts w:cs="Times New Roman"/>
                <w:sz w:val="18"/>
                <w:szCs w:val="18"/>
              </w:rPr>
              <w:t>0.409</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0.407</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0.525</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65.700</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27.268</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r>
      <w:tr w:rsidR="00A57540" w:rsidRPr="002719B9" w:rsidTr="00001A4E">
        <w:trPr>
          <w:gridAfter w:val="1"/>
          <w:wAfter w:w="63" w:type="dxa"/>
        </w:trPr>
        <w:tc>
          <w:tcPr>
            <w:tcW w:w="2552" w:type="dxa"/>
          </w:tcPr>
          <w:p w:rsidR="00A57540" w:rsidRPr="00E55365" w:rsidRDefault="00A57540" w:rsidP="00A57540">
            <w:pPr>
              <w:jc w:val="left"/>
              <w:rPr>
                <w:rFonts w:cs="Times New Roman"/>
                <w:sz w:val="18"/>
                <w:szCs w:val="18"/>
              </w:rPr>
            </w:pPr>
            <w:r w:rsidRPr="00E55365">
              <w:rPr>
                <w:rFonts w:cs="Times New Roman"/>
                <w:sz w:val="18"/>
                <w:szCs w:val="18"/>
              </w:rPr>
              <w:t>Trunk diameter (cm)</w:t>
            </w:r>
          </w:p>
        </w:tc>
        <w:tc>
          <w:tcPr>
            <w:tcW w:w="566" w:type="dxa"/>
          </w:tcPr>
          <w:p w:rsidR="00A57540" w:rsidRPr="00E55365" w:rsidRDefault="00A57540" w:rsidP="00A57540">
            <w:pPr>
              <w:rPr>
                <w:rFonts w:cs="Times New Roman"/>
                <w:sz w:val="18"/>
                <w:szCs w:val="18"/>
              </w:rPr>
            </w:pPr>
            <w:r w:rsidRPr="00E55365">
              <w:rPr>
                <w:rFonts w:cs="Times New Roman"/>
                <w:sz w:val="18"/>
                <w:szCs w:val="18"/>
              </w:rPr>
              <w:t>1</w:t>
            </w:r>
          </w:p>
        </w:tc>
        <w:tc>
          <w:tcPr>
            <w:tcW w:w="936"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908" w:type="dxa"/>
          </w:tcPr>
          <w:p w:rsidR="00A57540" w:rsidRPr="00E55365" w:rsidRDefault="00A57540" w:rsidP="00A57540">
            <w:pPr>
              <w:jc w:val="center"/>
              <w:rPr>
                <w:rFonts w:cs="Times New Roman"/>
                <w:sz w:val="18"/>
                <w:szCs w:val="18"/>
              </w:rPr>
            </w:pPr>
            <w:r w:rsidRPr="00E55365">
              <w:rPr>
                <w:rFonts w:cs="Times New Roman"/>
                <w:sz w:val="18"/>
                <w:szCs w:val="18"/>
              </w:rPr>
              <w:t>0.037</w:t>
            </w:r>
          </w:p>
        </w:tc>
        <w:tc>
          <w:tcPr>
            <w:tcW w:w="792" w:type="dxa"/>
          </w:tcPr>
          <w:p w:rsidR="00A57540" w:rsidRPr="00E55365" w:rsidRDefault="00A57540" w:rsidP="00A57540">
            <w:pPr>
              <w:jc w:val="center"/>
              <w:rPr>
                <w:rFonts w:cs="Times New Roman"/>
                <w:sz w:val="18"/>
                <w:szCs w:val="18"/>
              </w:rPr>
            </w:pPr>
            <w:r w:rsidRPr="00E55365">
              <w:rPr>
                <w:rFonts w:cs="Times New Roman"/>
                <w:sz w:val="18"/>
                <w:szCs w:val="18"/>
              </w:rPr>
              <w:t>0.849</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2.054</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0.154</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27.612</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0.228</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0.634</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r>
      <w:tr w:rsidR="00A57540" w:rsidRPr="002719B9" w:rsidTr="00001A4E">
        <w:trPr>
          <w:gridAfter w:val="1"/>
          <w:wAfter w:w="63" w:type="dxa"/>
        </w:trPr>
        <w:tc>
          <w:tcPr>
            <w:tcW w:w="2552" w:type="dxa"/>
          </w:tcPr>
          <w:p w:rsidR="00A57540" w:rsidRPr="00E55365" w:rsidRDefault="00A57540" w:rsidP="00A57540">
            <w:pPr>
              <w:jc w:val="left"/>
              <w:rPr>
                <w:rFonts w:cs="Times New Roman"/>
                <w:sz w:val="18"/>
                <w:szCs w:val="18"/>
              </w:rPr>
            </w:pPr>
          </w:p>
        </w:tc>
        <w:tc>
          <w:tcPr>
            <w:tcW w:w="566" w:type="dxa"/>
          </w:tcPr>
          <w:p w:rsidR="00A57540" w:rsidRPr="00E55365" w:rsidRDefault="00A57540" w:rsidP="00A57540">
            <w:pPr>
              <w:rPr>
                <w:rFonts w:cs="Times New Roman"/>
                <w:sz w:val="18"/>
                <w:szCs w:val="18"/>
              </w:rPr>
            </w:pPr>
            <w:r w:rsidRPr="00E55365">
              <w:rPr>
                <w:rFonts w:cs="Times New Roman"/>
                <w:sz w:val="18"/>
                <w:szCs w:val="18"/>
              </w:rPr>
              <w:t>2</w:t>
            </w:r>
          </w:p>
        </w:tc>
        <w:tc>
          <w:tcPr>
            <w:tcW w:w="936"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908" w:type="dxa"/>
          </w:tcPr>
          <w:p w:rsidR="00A57540" w:rsidRPr="00E55365" w:rsidRDefault="00A57540" w:rsidP="00A57540">
            <w:pPr>
              <w:jc w:val="center"/>
              <w:rPr>
                <w:rFonts w:cs="Times New Roman"/>
                <w:sz w:val="18"/>
                <w:szCs w:val="18"/>
              </w:rPr>
            </w:pPr>
            <w:r w:rsidRPr="00E55365">
              <w:rPr>
                <w:rFonts w:cs="Times New Roman"/>
                <w:sz w:val="18"/>
                <w:szCs w:val="18"/>
              </w:rPr>
              <w:t>0.004</w:t>
            </w:r>
          </w:p>
        </w:tc>
        <w:tc>
          <w:tcPr>
            <w:tcW w:w="792" w:type="dxa"/>
          </w:tcPr>
          <w:p w:rsidR="00A57540" w:rsidRPr="00E55365" w:rsidRDefault="00A57540" w:rsidP="00A57540">
            <w:pPr>
              <w:jc w:val="center"/>
              <w:rPr>
                <w:rFonts w:cs="Times New Roman"/>
                <w:sz w:val="18"/>
                <w:szCs w:val="18"/>
              </w:rPr>
            </w:pPr>
            <w:r w:rsidRPr="00E55365">
              <w:rPr>
                <w:rFonts w:cs="Times New Roman"/>
                <w:sz w:val="18"/>
                <w:szCs w:val="18"/>
              </w:rPr>
              <w:t>0.948</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0.346</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0.558</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36.111</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17.475</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r>
      <w:tr w:rsidR="00A57540" w:rsidRPr="002719B9" w:rsidTr="00001A4E">
        <w:trPr>
          <w:gridAfter w:val="1"/>
          <w:wAfter w:w="63" w:type="dxa"/>
          <w:trHeight w:val="386"/>
        </w:trPr>
        <w:tc>
          <w:tcPr>
            <w:tcW w:w="2552" w:type="dxa"/>
          </w:tcPr>
          <w:p w:rsidR="00A57540" w:rsidRPr="00E55365" w:rsidRDefault="00A57540" w:rsidP="00A57540">
            <w:pPr>
              <w:jc w:val="left"/>
              <w:rPr>
                <w:rFonts w:cs="Times New Roman"/>
                <w:sz w:val="18"/>
                <w:szCs w:val="18"/>
              </w:rPr>
            </w:pPr>
          </w:p>
        </w:tc>
        <w:tc>
          <w:tcPr>
            <w:tcW w:w="566" w:type="dxa"/>
          </w:tcPr>
          <w:p w:rsidR="00A57540" w:rsidRPr="00E55365" w:rsidRDefault="00A57540" w:rsidP="00A57540">
            <w:pPr>
              <w:rPr>
                <w:rFonts w:cs="Times New Roman"/>
                <w:sz w:val="18"/>
                <w:szCs w:val="18"/>
              </w:rPr>
            </w:pPr>
            <w:r w:rsidRPr="00E55365">
              <w:rPr>
                <w:rFonts w:cs="Times New Roman"/>
                <w:sz w:val="18"/>
                <w:szCs w:val="18"/>
              </w:rPr>
              <w:t>3</w:t>
            </w:r>
          </w:p>
        </w:tc>
        <w:tc>
          <w:tcPr>
            <w:tcW w:w="936"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908" w:type="dxa"/>
          </w:tcPr>
          <w:p w:rsidR="00A57540" w:rsidRPr="00E55365" w:rsidRDefault="00A57540" w:rsidP="00A57540">
            <w:pPr>
              <w:jc w:val="center"/>
              <w:rPr>
                <w:rFonts w:cs="Times New Roman"/>
                <w:sz w:val="18"/>
                <w:szCs w:val="18"/>
              </w:rPr>
            </w:pPr>
            <w:r w:rsidRPr="00E55365">
              <w:rPr>
                <w:rFonts w:cs="Times New Roman"/>
                <w:sz w:val="18"/>
                <w:szCs w:val="18"/>
              </w:rPr>
              <w:t>0.136</w:t>
            </w:r>
          </w:p>
        </w:tc>
        <w:tc>
          <w:tcPr>
            <w:tcW w:w="792" w:type="dxa"/>
          </w:tcPr>
          <w:p w:rsidR="00A57540" w:rsidRPr="00E55365" w:rsidRDefault="00A57540" w:rsidP="00A57540">
            <w:pPr>
              <w:jc w:val="center"/>
              <w:rPr>
                <w:rFonts w:cs="Times New Roman"/>
                <w:sz w:val="18"/>
                <w:szCs w:val="18"/>
              </w:rPr>
            </w:pPr>
            <w:r w:rsidRPr="00E55365">
              <w:rPr>
                <w:rFonts w:cs="Times New Roman"/>
                <w:sz w:val="18"/>
                <w:szCs w:val="18"/>
              </w:rPr>
              <w:t>0.712</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0.968</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0.326</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19.069</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13.618</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&lt;0.001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r>
      <w:tr w:rsidR="00A57540" w:rsidRPr="002719B9" w:rsidTr="00001A4E">
        <w:trPr>
          <w:gridAfter w:val="1"/>
          <w:wAfter w:w="63" w:type="dxa"/>
        </w:trPr>
        <w:tc>
          <w:tcPr>
            <w:tcW w:w="2552" w:type="dxa"/>
          </w:tcPr>
          <w:p w:rsidR="00A57540" w:rsidRPr="00E55365" w:rsidRDefault="00A57540" w:rsidP="00A57540">
            <w:pPr>
              <w:jc w:val="left"/>
              <w:rPr>
                <w:rFonts w:cs="Times New Roman"/>
                <w:sz w:val="18"/>
                <w:szCs w:val="18"/>
              </w:rPr>
            </w:pPr>
            <w:r w:rsidRPr="00E55365">
              <w:rPr>
                <w:rFonts w:cs="Times New Roman"/>
                <w:sz w:val="18"/>
                <w:szCs w:val="18"/>
              </w:rPr>
              <w:t>Root length (cm)</w:t>
            </w:r>
          </w:p>
        </w:tc>
        <w:tc>
          <w:tcPr>
            <w:tcW w:w="566" w:type="dxa"/>
          </w:tcPr>
          <w:p w:rsidR="00A57540" w:rsidRPr="00E55365" w:rsidRDefault="00A57540" w:rsidP="00A57540">
            <w:pPr>
              <w:rPr>
                <w:rFonts w:cs="Times New Roman"/>
                <w:sz w:val="18"/>
                <w:szCs w:val="18"/>
              </w:rPr>
            </w:pPr>
            <w:r w:rsidRPr="00E55365">
              <w:rPr>
                <w:rFonts w:cs="Times New Roman"/>
                <w:sz w:val="18"/>
                <w:szCs w:val="18"/>
              </w:rPr>
              <w:t>3</w:t>
            </w:r>
          </w:p>
        </w:tc>
        <w:tc>
          <w:tcPr>
            <w:tcW w:w="936"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908" w:type="dxa"/>
          </w:tcPr>
          <w:p w:rsidR="00A57540" w:rsidRPr="00E55365" w:rsidRDefault="00A57540" w:rsidP="00A57540">
            <w:pPr>
              <w:jc w:val="center"/>
              <w:rPr>
                <w:rFonts w:cs="Times New Roman"/>
                <w:b/>
                <w:sz w:val="18"/>
                <w:szCs w:val="18"/>
              </w:rPr>
            </w:pPr>
            <w:r w:rsidRPr="00E55365">
              <w:rPr>
                <w:rFonts w:cs="Times New Roman"/>
                <w:b/>
                <w:sz w:val="18"/>
                <w:szCs w:val="18"/>
              </w:rPr>
              <w:t>6.307</w:t>
            </w:r>
          </w:p>
        </w:tc>
        <w:tc>
          <w:tcPr>
            <w:tcW w:w="792" w:type="dxa"/>
          </w:tcPr>
          <w:p w:rsidR="00A57540" w:rsidRPr="00E55365" w:rsidRDefault="00A57540" w:rsidP="00A57540">
            <w:pPr>
              <w:jc w:val="center"/>
              <w:rPr>
                <w:rFonts w:cs="Times New Roman"/>
                <w:b/>
                <w:sz w:val="18"/>
                <w:szCs w:val="18"/>
              </w:rPr>
            </w:pPr>
            <w:r w:rsidRPr="00E55365">
              <w:rPr>
                <w:rFonts w:cs="Times New Roman"/>
                <w:b/>
                <w:sz w:val="18"/>
                <w:szCs w:val="18"/>
              </w:rPr>
              <w:t>0.0131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0.202</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0.654</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5.521</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0.020</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0.175</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0.676</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r>
      <w:tr w:rsidR="00A57540" w:rsidRPr="002719B9" w:rsidTr="00001A4E">
        <w:trPr>
          <w:gridAfter w:val="1"/>
          <w:wAfter w:w="63" w:type="dxa"/>
        </w:trPr>
        <w:tc>
          <w:tcPr>
            <w:tcW w:w="2552" w:type="dxa"/>
          </w:tcPr>
          <w:p w:rsidR="00A57540" w:rsidRPr="00E55365" w:rsidRDefault="00A57540" w:rsidP="00A57540">
            <w:pPr>
              <w:jc w:val="left"/>
              <w:rPr>
                <w:rFonts w:cs="Times New Roman"/>
                <w:sz w:val="18"/>
                <w:szCs w:val="18"/>
              </w:rPr>
            </w:pPr>
            <w:r w:rsidRPr="00E55365">
              <w:rPr>
                <w:rFonts w:cs="Times New Roman"/>
                <w:sz w:val="18"/>
                <w:szCs w:val="18"/>
              </w:rPr>
              <w:t>Fruit biomass (g)</w:t>
            </w:r>
          </w:p>
        </w:tc>
        <w:tc>
          <w:tcPr>
            <w:tcW w:w="566" w:type="dxa"/>
          </w:tcPr>
          <w:p w:rsidR="00A57540" w:rsidRPr="00E55365" w:rsidRDefault="00A57540" w:rsidP="00A57540">
            <w:pPr>
              <w:rPr>
                <w:rFonts w:cs="Times New Roman"/>
                <w:sz w:val="18"/>
                <w:szCs w:val="18"/>
              </w:rPr>
            </w:pPr>
            <w:r w:rsidRPr="00E55365">
              <w:rPr>
                <w:rFonts w:cs="Times New Roman"/>
                <w:sz w:val="18"/>
                <w:szCs w:val="18"/>
              </w:rPr>
              <w:t>1</w:t>
            </w:r>
          </w:p>
        </w:tc>
        <w:tc>
          <w:tcPr>
            <w:tcW w:w="936"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908" w:type="dxa"/>
          </w:tcPr>
          <w:p w:rsidR="00A57540" w:rsidRPr="00E55365" w:rsidRDefault="00A57540" w:rsidP="00A57540">
            <w:pPr>
              <w:jc w:val="center"/>
              <w:rPr>
                <w:rFonts w:cs="Times New Roman"/>
                <w:b/>
                <w:sz w:val="18"/>
                <w:szCs w:val="18"/>
              </w:rPr>
            </w:pPr>
            <w:r w:rsidRPr="00E55365">
              <w:rPr>
                <w:rFonts w:cs="Times New Roman"/>
                <w:b/>
                <w:sz w:val="18"/>
                <w:szCs w:val="18"/>
              </w:rPr>
              <w:t>4.347</w:t>
            </w:r>
          </w:p>
        </w:tc>
        <w:tc>
          <w:tcPr>
            <w:tcW w:w="792" w:type="dxa"/>
          </w:tcPr>
          <w:p w:rsidR="00A57540" w:rsidRPr="00E55365" w:rsidRDefault="00A57540" w:rsidP="00A57540">
            <w:pPr>
              <w:jc w:val="center"/>
              <w:rPr>
                <w:rFonts w:cs="Times New Roman"/>
                <w:b/>
                <w:sz w:val="18"/>
                <w:szCs w:val="18"/>
              </w:rPr>
            </w:pPr>
            <w:r w:rsidRPr="00E55365">
              <w:rPr>
                <w:rFonts w:cs="Times New Roman"/>
                <w:b/>
                <w:sz w:val="18"/>
                <w:szCs w:val="18"/>
              </w:rPr>
              <w:t>0.038</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0.141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0.708</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46.275</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13.883</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r>
      <w:tr w:rsidR="00A57540" w:rsidRPr="002719B9" w:rsidTr="00001A4E">
        <w:trPr>
          <w:gridAfter w:val="1"/>
          <w:wAfter w:w="63" w:type="dxa"/>
        </w:trPr>
        <w:tc>
          <w:tcPr>
            <w:tcW w:w="2552" w:type="dxa"/>
          </w:tcPr>
          <w:p w:rsidR="00A57540" w:rsidRPr="00E55365" w:rsidRDefault="00A57540" w:rsidP="00A57540">
            <w:pPr>
              <w:jc w:val="left"/>
              <w:rPr>
                <w:rFonts w:cs="Times New Roman"/>
                <w:sz w:val="18"/>
                <w:szCs w:val="18"/>
              </w:rPr>
            </w:pPr>
            <w:r w:rsidRPr="00E55365">
              <w:rPr>
                <w:rFonts w:cs="Times New Roman"/>
                <w:sz w:val="18"/>
                <w:szCs w:val="18"/>
              </w:rPr>
              <w:t>Fruit number</w:t>
            </w:r>
          </w:p>
        </w:tc>
        <w:tc>
          <w:tcPr>
            <w:tcW w:w="566" w:type="dxa"/>
          </w:tcPr>
          <w:p w:rsidR="00A57540" w:rsidRPr="00E55365" w:rsidRDefault="00A57540" w:rsidP="00A57540">
            <w:pPr>
              <w:rPr>
                <w:rFonts w:cs="Times New Roman"/>
                <w:sz w:val="18"/>
                <w:szCs w:val="18"/>
              </w:rPr>
            </w:pPr>
            <w:r w:rsidRPr="00E55365">
              <w:rPr>
                <w:rFonts w:cs="Times New Roman"/>
                <w:sz w:val="18"/>
                <w:szCs w:val="18"/>
              </w:rPr>
              <w:t>1</w:t>
            </w:r>
          </w:p>
        </w:tc>
        <w:tc>
          <w:tcPr>
            <w:tcW w:w="936"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908" w:type="dxa"/>
          </w:tcPr>
          <w:p w:rsidR="00A57540" w:rsidRPr="00E55365" w:rsidRDefault="00A57540" w:rsidP="00A57540">
            <w:pPr>
              <w:jc w:val="center"/>
              <w:rPr>
                <w:rFonts w:cs="Times New Roman"/>
                <w:sz w:val="18"/>
                <w:szCs w:val="18"/>
              </w:rPr>
            </w:pPr>
            <w:r w:rsidRPr="00E55365">
              <w:rPr>
                <w:rFonts w:cs="Times New Roman"/>
                <w:sz w:val="18"/>
                <w:szCs w:val="18"/>
              </w:rPr>
              <w:t>2.357</w:t>
            </w:r>
          </w:p>
        </w:tc>
        <w:tc>
          <w:tcPr>
            <w:tcW w:w="792" w:type="dxa"/>
          </w:tcPr>
          <w:p w:rsidR="00A57540" w:rsidRPr="00E55365" w:rsidRDefault="00A57540" w:rsidP="00A57540">
            <w:pPr>
              <w:jc w:val="center"/>
              <w:rPr>
                <w:rFonts w:cs="Times New Roman"/>
                <w:sz w:val="18"/>
                <w:szCs w:val="18"/>
              </w:rPr>
            </w:pPr>
            <w:r w:rsidRPr="00E55365">
              <w:rPr>
                <w:rFonts w:cs="Times New Roman"/>
                <w:sz w:val="18"/>
                <w:szCs w:val="18"/>
              </w:rPr>
              <w:t>0.126</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0.013</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0.910</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37.260</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8.315</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0.004</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r>
      <w:tr w:rsidR="00A57540" w:rsidRPr="002719B9" w:rsidTr="00001A4E">
        <w:trPr>
          <w:gridAfter w:val="1"/>
          <w:wAfter w:w="63" w:type="dxa"/>
        </w:trPr>
        <w:tc>
          <w:tcPr>
            <w:tcW w:w="2552" w:type="dxa"/>
          </w:tcPr>
          <w:p w:rsidR="00A57540" w:rsidRPr="00E55365" w:rsidRDefault="00A57540" w:rsidP="00A57540">
            <w:pPr>
              <w:jc w:val="left"/>
              <w:rPr>
                <w:rFonts w:cs="Times New Roman"/>
                <w:sz w:val="18"/>
                <w:szCs w:val="18"/>
              </w:rPr>
            </w:pPr>
            <w:r w:rsidRPr="00E55365">
              <w:rPr>
                <w:rFonts w:cs="Times New Roman"/>
                <w:sz w:val="18"/>
                <w:szCs w:val="18"/>
              </w:rPr>
              <w:t xml:space="preserve">Flower number  </w:t>
            </w:r>
          </w:p>
        </w:tc>
        <w:tc>
          <w:tcPr>
            <w:tcW w:w="566" w:type="dxa"/>
          </w:tcPr>
          <w:p w:rsidR="00A57540" w:rsidRPr="00E55365" w:rsidRDefault="00A57540" w:rsidP="00A57540">
            <w:pPr>
              <w:rPr>
                <w:rFonts w:cs="Times New Roman"/>
                <w:sz w:val="18"/>
                <w:szCs w:val="18"/>
              </w:rPr>
            </w:pPr>
            <w:r w:rsidRPr="00E55365">
              <w:rPr>
                <w:rFonts w:cs="Times New Roman"/>
                <w:sz w:val="18"/>
                <w:szCs w:val="18"/>
              </w:rPr>
              <w:t>2</w:t>
            </w:r>
          </w:p>
        </w:tc>
        <w:tc>
          <w:tcPr>
            <w:tcW w:w="936"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908" w:type="dxa"/>
          </w:tcPr>
          <w:p w:rsidR="00A57540" w:rsidRPr="00E55365" w:rsidRDefault="00A57540" w:rsidP="00A57540">
            <w:pPr>
              <w:jc w:val="center"/>
              <w:rPr>
                <w:rFonts w:cs="Times New Roman"/>
                <w:sz w:val="18"/>
                <w:szCs w:val="18"/>
              </w:rPr>
            </w:pPr>
            <w:r w:rsidRPr="00E55365">
              <w:rPr>
                <w:rFonts w:cs="Times New Roman"/>
                <w:sz w:val="18"/>
                <w:szCs w:val="18"/>
              </w:rPr>
              <w:t>0.208</w:t>
            </w:r>
          </w:p>
        </w:tc>
        <w:tc>
          <w:tcPr>
            <w:tcW w:w="792" w:type="dxa"/>
          </w:tcPr>
          <w:p w:rsidR="00A57540" w:rsidRPr="00E55365" w:rsidRDefault="00A57540" w:rsidP="00A57540">
            <w:pPr>
              <w:jc w:val="center"/>
              <w:rPr>
                <w:rFonts w:cs="Times New Roman"/>
                <w:sz w:val="18"/>
                <w:szCs w:val="18"/>
              </w:rPr>
            </w:pPr>
            <w:r w:rsidRPr="00E55365">
              <w:rPr>
                <w:rFonts w:cs="Times New Roman"/>
                <w:sz w:val="18"/>
                <w:szCs w:val="18"/>
              </w:rPr>
              <w:t>0.649</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1.964</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0.163</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45.746</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43.472</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r>
      <w:tr w:rsidR="00A57540" w:rsidRPr="002719B9" w:rsidTr="00001A4E">
        <w:trPr>
          <w:gridAfter w:val="1"/>
          <w:wAfter w:w="63" w:type="dxa"/>
        </w:trPr>
        <w:tc>
          <w:tcPr>
            <w:tcW w:w="2552" w:type="dxa"/>
          </w:tcPr>
          <w:p w:rsidR="00A57540" w:rsidRPr="00E55365" w:rsidRDefault="00A57540" w:rsidP="00A57540">
            <w:pPr>
              <w:jc w:val="left"/>
              <w:rPr>
                <w:rFonts w:cs="Times New Roman"/>
                <w:sz w:val="18"/>
                <w:szCs w:val="18"/>
              </w:rPr>
            </w:pPr>
          </w:p>
        </w:tc>
        <w:tc>
          <w:tcPr>
            <w:tcW w:w="566" w:type="dxa"/>
          </w:tcPr>
          <w:p w:rsidR="00A57540" w:rsidRPr="00E55365" w:rsidRDefault="00A57540" w:rsidP="00A57540">
            <w:pPr>
              <w:rPr>
                <w:rFonts w:cs="Times New Roman"/>
                <w:sz w:val="18"/>
                <w:szCs w:val="18"/>
              </w:rPr>
            </w:pPr>
            <w:r w:rsidRPr="00E55365">
              <w:rPr>
                <w:rFonts w:cs="Times New Roman"/>
                <w:sz w:val="18"/>
                <w:szCs w:val="18"/>
              </w:rPr>
              <w:t>3</w:t>
            </w:r>
          </w:p>
        </w:tc>
        <w:tc>
          <w:tcPr>
            <w:tcW w:w="936"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908" w:type="dxa"/>
          </w:tcPr>
          <w:p w:rsidR="00A57540" w:rsidRPr="00E55365" w:rsidRDefault="00A57540" w:rsidP="00A57540">
            <w:pPr>
              <w:jc w:val="center"/>
              <w:rPr>
                <w:rFonts w:cs="Times New Roman"/>
                <w:sz w:val="18"/>
                <w:szCs w:val="18"/>
              </w:rPr>
            </w:pPr>
            <w:r w:rsidRPr="00E55365">
              <w:rPr>
                <w:rFonts w:cs="Times New Roman"/>
                <w:sz w:val="18"/>
                <w:szCs w:val="18"/>
              </w:rPr>
              <w:t>0.511</w:t>
            </w:r>
          </w:p>
        </w:tc>
        <w:tc>
          <w:tcPr>
            <w:tcW w:w="792" w:type="dxa"/>
          </w:tcPr>
          <w:p w:rsidR="00A57540" w:rsidRPr="00E55365" w:rsidRDefault="00A57540" w:rsidP="00A57540">
            <w:pPr>
              <w:jc w:val="center"/>
              <w:rPr>
                <w:rFonts w:cs="Times New Roman"/>
                <w:sz w:val="18"/>
                <w:szCs w:val="18"/>
              </w:rPr>
            </w:pPr>
            <w:r w:rsidRPr="00E55365">
              <w:rPr>
                <w:rFonts w:cs="Times New Roman"/>
                <w:sz w:val="18"/>
                <w:szCs w:val="18"/>
              </w:rPr>
              <w:t>0.475</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0.105</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0.745</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2.379</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0.125</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13.755</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r>
      <w:tr w:rsidR="00A57540" w:rsidRPr="002719B9" w:rsidTr="00001A4E">
        <w:trPr>
          <w:gridAfter w:val="1"/>
          <w:wAfter w:w="63" w:type="dxa"/>
        </w:trPr>
        <w:tc>
          <w:tcPr>
            <w:tcW w:w="2552" w:type="dxa"/>
          </w:tcPr>
          <w:p w:rsidR="00A57540" w:rsidRPr="00E55365" w:rsidRDefault="00A57540" w:rsidP="00A57540">
            <w:pPr>
              <w:jc w:val="left"/>
              <w:rPr>
                <w:rFonts w:cs="Times New Roman"/>
                <w:sz w:val="18"/>
                <w:szCs w:val="18"/>
              </w:rPr>
            </w:pPr>
            <w:r w:rsidRPr="00E55365">
              <w:rPr>
                <w:rFonts w:cs="Times New Roman"/>
                <w:sz w:val="18"/>
                <w:szCs w:val="18"/>
              </w:rPr>
              <w:t>Total dry shoot biomass (g)</w:t>
            </w:r>
          </w:p>
        </w:tc>
        <w:tc>
          <w:tcPr>
            <w:tcW w:w="566" w:type="dxa"/>
          </w:tcPr>
          <w:p w:rsidR="00A57540" w:rsidRPr="00E55365" w:rsidRDefault="00A57540" w:rsidP="00A57540">
            <w:pPr>
              <w:rPr>
                <w:rFonts w:cs="Times New Roman"/>
                <w:sz w:val="18"/>
                <w:szCs w:val="18"/>
              </w:rPr>
            </w:pPr>
            <w:r w:rsidRPr="00E55365">
              <w:rPr>
                <w:rFonts w:cs="Times New Roman"/>
                <w:sz w:val="18"/>
                <w:szCs w:val="18"/>
              </w:rPr>
              <w:t>3</w:t>
            </w:r>
          </w:p>
        </w:tc>
        <w:tc>
          <w:tcPr>
            <w:tcW w:w="936" w:type="dxa"/>
          </w:tcPr>
          <w:p w:rsidR="00A57540" w:rsidRPr="00E55365" w:rsidRDefault="00A57540" w:rsidP="00A57540">
            <w:pPr>
              <w:jc w:val="center"/>
              <w:rPr>
                <w:rFonts w:cs="Times New Roman"/>
                <w:sz w:val="18"/>
                <w:szCs w:val="18"/>
              </w:rPr>
            </w:pPr>
            <w:r w:rsidRPr="00E55365">
              <w:rPr>
                <w:rFonts w:cs="Times New Roman"/>
                <w:sz w:val="18"/>
                <w:szCs w:val="18"/>
              </w:rPr>
              <w:t>1,39</w:t>
            </w:r>
          </w:p>
        </w:tc>
        <w:tc>
          <w:tcPr>
            <w:tcW w:w="908" w:type="dxa"/>
          </w:tcPr>
          <w:p w:rsidR="00A57540" w:rsidRPr="00E55365" w:rsidRDefault="00A57540" w:rsidP="00A57540">
            <w:pPr>
              <w:jc w:val="center"/>
              <w:rPr>
                <w:rFonts w:cs="Times New Roman"/>
                <w:sz w:val="18"/>
                <w:szCs w:val="18"/>
              </w:rPr>
            </w:pPr>
            <w:r w:rsidRPr="00E55365">
              <w:rPr>
                <w:rFonts w:cs="Times New Roman"/>
                <w:sz w:val="18"/>
                <w:szCs w:val="18"/>
              </w:rPr>
              <w:t>0.656</w:t>
            </w:r>
          </w:p>
        </w:tc>
        <w:tc>
          <w:tcPr>
            <w:tcW w:w="792" w:type="dxa"/>
          </w:tcPr>
          <w:p w:rsidR="00A57540" w:rsidRPr="00E55365" w:rsidRDefault="00A57540" w:rsidP="00A57540">
            <w:pPr>
              <w:jc w:val="center"/>
              <w:rPr>
                <w:rFonts w:cs="Times New Roman"/>
                <w:sz w:val="18"/>
                <w:szCs w:val="18"/>
              </w:rPr>
            </w:pPr>
            <w:r w:rsidRPr="00E55365">
              <w:rPr>
                <w:rFonts w:cs="Times New Roman"/>
                <w:sz w:val="18"/>
                <w:szCs w:val="18"/>
              </w:rPr>
              <w:t>0.422</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0.024</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0.878</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1.366</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0.249</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6.374</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0.015</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r>
      <w:tr w:rsidR="00A57540" w:rsidRPr="002719B9" w:rsidTr="00001A4E">
        <w:trPr>
          <w:gridAfter w:val="1"/>
          <w:wAfter w:w="63" w:type="dxa"/>
        </w:trPr>
        <w:tc>
          <w:tcPr>
            <w:tcW w:w="2552" w:type="dxa"/>
          </w:tcPr>
          <w:p w:rsidR="00A57540" w:rsidRPr="00E55365" w:rsidRDefault="00A57540" w:rsidP="00A57540">
            <w:pPr>
              <w:jc w:val="left"/>
              <w:rPr>
                <w:rFonts w:cs="Times New Roman"/>
                <w:sz w:val="18"/>
                <w:szCs w:val="18"/>
              </w:rPr>
            </w:pPr>
            <w:r w:rsidRPr="00E55365">
              <w:rPr>
                <w:rFonts w:cs="Times New Roman"/>
                <w:sz w:val="18"/>
                <w:szCs w:val="18"/>
              </w:rPr>
              <w:t>Total dry root biomass (g)</w:t>
            </w:r>
          </w:p>
        </w:tc>
        <w:tc>
          <w:tcPr>
            <w:tcW w:w="566" w:type="dxa"/>
          </w:tcPr>
          <w:p w:rsidR="00A57540" w:rsidRPr="00E55365" w:rsidRDefault="00A57540" w:rsidP="00A57540">
            <w:pPr>
              <w:rPr>
                <w:rFonts w:cs="Times New Roman"/>
                <w:sz w:val="18"/>
                <w:szCs w:val="18"/>
              </w:rPr>
            </w:pPr>
            <w:r w:rsidRPr="00E55365">
              <w:rPr>
                <w:rFonts w:cs="Times New Roman"/>
                <w:sz w:val="18"/>
                <w:szCs w:val="18"/>
              </w:rPr>
              <w:t>3</w:t>
            </w:r>
          </w:p>
        </w:tc>
        <w:tc>
          <w:tcPr>
            <w:tcW w:w="936" w:type="dxa"/>
          </w:tcPr>
          <w:p w:rsidR="00A57540" w:rsidRPr="00E55365" w:rsidRDefault="00A57540" w:rsidP="00A57540">
            <w:pPr>
              <w:jc w:val="center"/>
              <w:rPr>
                <w:rFonts w:cs="Times New Roman"/>
                <w:sz w:val="18"/>
                <w:szCs w:val="18"/>
              </w:rPr>
            </w:pPr>
            <w:r w:rsidRPr="00E55365">
              <w:rPr>
                <w:rFonts w:cs="Times New Roman"/>
                <w:sz w:val="18"/>
                <w:szCs w:val="18"/>
              </w:rPr>
              <w:t>1,39</w:t>
            </w:r>
          </w:p>
        </w:tc>
        <w:tc>
          <w:tcPr>
            <w:tcW w:w="908" w:type="dxa"/>
          </w:tcPr>
          <w:p w:rsidR="00A57540" w:rsidRPr="00E55365" w:rsidRDefault="00A57540" w:rsidP="00A57540">
            <w:pPr>
              <w:jc w:val="center"/>
              <w:rPr>
                <w:rFonts w:cs="Times New Roman"/>
                <w:sz w:val="18"/>
                <w:szCs w:val="18"/>
              </w:rPr>
            </w:pPr>
            <w:r w:rsidRPr="00E55365">
              <w:rPr>
                <w:rFonts w:cs="Times New Roman"/>
                <w:sz w:val="18"/>
                <w:szCs w:val="18"/>
              </w:rPr>
              <w:t>0.947</w:t>
            </w:r>
          </w:p>
        </w:tc>
        <w:tc>
          <w:tcPr>
            <w:tcW w:w="792" w:type="dxa"/>
          </w:tcPr>
          <w:p w:rsidR="00A57540" w:rsidRPr="00E55365" w:rsidRDefault="00A57540" w:rsidP="00A57540">
            <w:pPr>
              <w:jc w:val="center"/>
              <w:rPr>
                <w:rFonts w:cs="Times New Roman"/>
                <w:sz w:val="18"/>
                <w:szCs w:val="18"/>
              </w:rPr>
            </w:pPr>
            <w:r w:rsidRPr="00E55365">
              <w:rPr>
                <w:rFonts w:cs="Times New Roman"/>
                <w:sz w:val="18"/>
                <w:szCs w:val="18"/>
              </w:rPr>
              <w:t>0.336</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7.213</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0.010</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7.854</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0.007</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14.849</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r>
      <w:tr w:rsidR="00A57540" w:rsidRPr="002719B9" w:rsidTr="00001A4E">
        <w:trPr>
          <w:gridAfter w:val="1"/>
          <w:wAfter w:w="63" w:type="dxa"/>
        </w:trPr>
        <w:tc>
          <w:tcPr>
            <w:tcW w:w="2552" w:type="dxa"/>
          </w:tcPr>
          <w:p w:rsidR="00A57540" w:rsidRPr="00E55365" w:rsidRDefault="00A57540" w:rsidP="00A57540">
            <w:pPr>
              <w:jc w:val="left"/>
              <w:rPr>
                <w:rFonts w:cs="Times New Roman"/>
                <w:sz w:val="18"/>
                <w:szCs w:val="18"/>
              </w:rPr>
            </w:pPr>
            <w:r w:rsidRPr="00E55365">
              <w:rPr>
                <w:rFonts w:cs="Times New Roman"/>
                <w:sz w:val="18"/>
                <w:szCs w:val="18"/>
              </w:rPr>
              <w:t>Pathogen infected material (cm)</w:t>
            </w:r>
          </w:p>
        </w:tc>
        <w:tc>
          <w:tcPr>
            <w:tcW w:w="566" w:type="dxa"/>
          </w:tcPr>
          <w:p w:rsidR="00A57540" w:rsidRPr="00E55365" w:rsidRDefault="00A57540" w:rsidP="00A57540">
            <w:pPr>
              <w:rPr>
                <w:rFonts w:cs="Times New Roman"/>
                <w:sz w:val="18"/>
                <w:szCs w:val="18"/>
              </w:rPr>
            </w:pPr>
            <w:r w:rsidRPr="00E55365">
              <w:rPr>
                <w:rFonts w:cs="Times New Roman"/>
                <w:sz w:val="18"/>
                <w:szCs w:val="18"/>
              </w:rPr>
              <w:t>2&amp;3</w:t>
            </w:r>
          </w:p>
        </w:tc>
        <w:tc>
          <w:tcPr>
            <w:tcW w:w="936" w:type="dxa"/>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908" w:type="dxa"/>
          </w:tcPr>
          <w:p w:rsidR="00A57540" w:rsidRPr="00E55365" w:rsidRDefault="00A57540" w:rsidP="00A57540">
            <w:pPr>
              <w:jc w:val="center"/>
              <w:rPr>
                <w:rFonts w:cs="Times New Roman"/>
                <w:b/>
                <w:sz w:val="18"/>
                <w:szCs w:val="18"/>
              </w:rPr>
            </w:pPr>
            <w:r w:rsidRPr="00E55365">
              <w:rPr>
                <w:rFonts w:cs="Times New Roman"/>
                <w:b/>
                <w:sz w:val="18"/>
                <w:szCs w:val="18"/>
              </w:rPr>
              <w:t>10.535</w:t>
            </w:r>
          </w:p>
        </w:tc>
        <w:tc>
          <w:tcPr>
            <w:tcW w:w="792" w:type="dxa"/>
          </w:tcPr>
          <w:p w:rsidR="00A57540" w:rsidRPr="00E55365" w:rsidRDefault="00A57540" w:rsidP="00A57540">
            <w:pPr>
              <w:jc w:val="center"/>
              <w:rPr>
                <w:rFonts w:cs="Times New Roman"/>
                <w:b/>
                <w:sz w:val="18"/>
                <w:szCs w:val="18"/>
              </w:rPr>
            </w:pPr>
            <w:r w:rsidRPr="00E55365">
              <w:rPr>
                <w:rFonts w:cs="Times New Roman"/>
                <w:b/>
                <w:sz w:val="18"/>
                <w:szCs w:val="18"/>
              </w:rPr>
              <w: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0.559</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0.456</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26.555</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14.361</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sz w:val="18"/>
                <w:szCs w:val="18"/>
              </w:rPr>
            </w:pPr>
            <w:r w:rsidRPr="00E55365">
              <w:rPr>
                <w:rFonts w:cs="Times New Roman"/>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c>
          <w:tcPr>
            <w:tcW w:w="850" w:type="dxa"/>
          </w:tcPr>
          <w:p w:rsidR="00A57540" w:rsidRPr="00E55365" w:rsidRDefault="00A57540" w:rsidP="00A57540">
            <w:pPr>
              <w:jc w:val="center"/>
              <w:rPr>
                <w:rFonts w:cs="Times New Roman"/>
                <w:b/>
                <w:sz w:val="18"/>
                <w:szCs w:val="18"/>
              </w:rPr>
            </w:pPr>
            <w:r w:rsidRPr="00E55365">
              <w:rPr>
                <w:rFonts w:cs="Times New Roman"/>
                <w:b/>
                <w:sz w:val="18"/>
                <w:szCs w:val="18"/>
              </w:rPr>
              <w:t>-</w:t>
            </w:r>
          </w:p>
        </w:tc>
      </w:tr>
      <w:tr w:rsidR="00A57540" w:rsidRPr="002719B9" w:rsidTr="00001A4E">
        <w:trPr>
          <w:gridAfter w:val="1"/>
          <w:wAfter w:w="63" w:type="dxa"/>
        </w:trPr>
        <w:tc>
          <w:tcPr>
            <w:tcW w:w="2552" w:type="dxa"/>
            <w:tcBorders>
              <w:bottom w:val="single" w:sz="4" w:space="0" w:color="auto"/>
            </w:tcBorders>
          </w:tcPr>
          <w:p w:rsidR="00A57540" w:rsidRPr="00E55365" w:rsidRDefault="00A57540" w:rsidP="00A57540">
            <w:pPr>
              <w:rPr>
                <w:rFonts w:cs="Times New Roman"/>
                <w:sz w:val="18"/>
                <w:szCs w:val="18"/>
              </w:rPr>
            </w:pPr>
            <w:r w:rsidRPr="00E55365">
              <w:rPr>
                <w:rFonts w:cs="Times New Roman"/>
                <w:sz w:val="18"/>
                <w:szCs w:val="18"/>
              </w:rPr>
              <w:t>AMF colonisation (%)</w:t>
            </w:r>
          </w:p>
        </w:tc>
        <w:tc>
          <w:tcPr>
            <w:tcW w:w="566" w:type="dxa"/>
            <w:tcBorders>
              <w:bottom w:val="single" w:sz="4" w:space="0" w:color="auto"/>
            </w:tcBorders>
          </w:tcPr>
          <w:p w:rsidR="00A57540" w:rsidRPr="00E55365" w:rsidRDefault="00A57540" w:rsidP="00A57540">
            <w:pPr>
              <w:rPr>
                <w:rFonts w:cs="Times New Roman"/>
                <w:sz w:val="18"/>
                <w:szCs w:val="18"/>
              </w:rPr>
            </w:pPr>
            <w:r w:rsidRPr="00E55365">
              <w:rPr>
                <w:rFonts w:cs="Times New Roman"/>
                <w:sz w:val="18"/>
                <w:szCs w:val="18"/>
              </w:rPr>
              <w:t>3</w:t>
            </w:r>
          </w:p>
        </w:tc>
        <w:tc>
          <w:tcPr>
            <w:tcW w:w="936" w:type="dxa"/>
            <w:tcBorders>
              <w:bottom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1,151</w:t>
            </w:r>
          </w:p>
        </w:tc>
        <w:tc>
          <w:tcPr>
            <w:tcW w:w="908" w:type="dxa"/>
            <w:tcBorders>
              <w:bottom w:val="single" w:sz="4" w:space="0" w:color="auto"/>
            </w:tcBorders>
          </w:tcPr>
          <w:p w:rsidR="00A57540" w:rsidRPr="00E55365" w:rsidRDefault="00A57540" w:rsidP="00A57540">
            <w:pPr>
              <w:jc w:val="center"/>
              <w:rPr>
                <w:rFonts w:cs="Times New Roman"/>
                <w:b/>
                <w:sz w:val="18"/>
                <w:szCs w:val="18"/>
              </w:rPr>
            </w:pPr>
            <w:r w:rsidRPr="00E55365">
              <w:rPr>
                <w:rFonts w:cs="Times New Roman"/>
                <w:b/>
                <w:sz w:val="18"/>
                <w:szCs w:val="18"/>
              </w:rPr>
              <w:t>3101.206</w:t>
            </w:r>
          </w:p>
        </w:tc>
        <w:tc>
          <w:tcPr>
            <w:tcW w:w="792" w:type="dxa"/>
            <w:tcBorders>
              <w:bottom w:val="single" w:sz="4" w:space="0" w:color="auto"/>
            </w:tcBorders>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Borders>
              <w:bottom w:val="single" w:sz="4" w:space="0" w:color="auto"/>
            </w:tcBorders>
          </w:tcPr>
          <w:p w:rsidR="00A57540" w:rsidRPr="00E55365" w:rsidRDefault="00A57540" w:rsidP="00A57540">
            <w:pPr>
              <w:jc w:val="center"/>
              <w:rPr>
                <w:rFonts w:cs="Times New Roman"/>
                <w:b/>
                <w:sz w:val="18"/>
                <w:szCs w:val="18"/>
              </w:rPr>
            </w:pPr>
            <w:r w:rsidRPr="00E55365">
              <w:rPr>
                <w:rFonts w:cs="Times New Roman"/>
                <w:b/>
                <w:sz w:val="18"/>
                <w:szCs w:val="18"/>
              </w:rPr>
              <w:t>410.821</w:t>
            </w:r>
          </w:p>
        </w:tc>
        <w:tc>
          <w:tcPr>
            <w:tcW w:w="850" w:type="dxa"/>
            <w:tcBorders>
              <w:bottom w:val="single" w:sz="4" w:space="0" w:color="auto"/>
            </w:tcBorders>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Borders>
              <w:bottom w:val="single" w:sz="4" w:space="0" w:color="auto"/>
            </w:tcBorders>
          </w:tcPr>
          <w:p w:rsidR="00A57540" w:rsidRPr="00E55365" w:rsidRDefault="00A57540" w:rsidP="00A57540">
            <w:pPr>
              <w:jc w:val="center"/>
              <w:rPr>
                <w:rFonts w:cs="Times New Roman"/>
                <w:b/>
                <w:sz w:val="18"/>
                <w:szCs w:val="18"/>
              </w:rPr>
            </w:pPr>
            <w:r w:rsidRPr="00E55365">
              <w:rPr>
                <w:rFonts w:cs="Times New Roman"/>
                <w:b/>
                <w:sz w:val="18"/>
                <w:szCs w:val="18"/>
              </w:rPr>
              <w:t>5.345</w:t>
            </w:r>
          </w:p>
        </w:tc>
        <w:tc>
          <w:tcPr>
            <w:tcW w:w="850" w:type="dxa"/>
            <w:tcBorders>
              <w:bottom w:val="single" w:sz="4" w:space="0" w:color="auto"/>
            </w:tcBorders>
          </w:tcPr>
          <w:p w:rsidR="00A57540" w:rsidRPr="00E55365" w:rsidRDefault="00A57540" w:rsidP="00A57540">
            <w:pPr>
              <w:jc w:val="center"/>
              <w:rPr>
                <w:rFonts w:cs="Times New Roman"/>
                <w:b/>
                <w:sz w:val="18"/>
                <w:szCs w:val="18"/>
              </w:rPr>
            </w:pPr>
            <w:r w:rsidRPr="00E55365">
              <w:rPr>
                <w:rFonts w:cs="Times New Roman"/>
                <w:b/>
                <w:sz w:val="18"/>
                <w:szCs w:val="18"/>
              </w:rPr>
              <w:t>0.022</w:t>
            </w:r>
          </w:p>
        </w:tc>
        <w:tc>
          <w:tcPr>
            <w:tcW w:w="850" w:type="dxa"/>
            <w:tcBorders>
              <w:bottom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0.061</w:t>
            </w:r>
          </w:p>
        </w:tc>
        <w:tc>
          <w:tcPr>
            <w:tcW w:w="850" w:type="dxa"/>
            <w:tcBorders>
              <w:bottom w:val="single" w:sz="4" w:space="0" w:color="auto"/>
            </w:tcBorders>
          </w:tcPr>
          <w:p w:rsidR="00A57540" w:rsidRPr="00E55365" w:rsidRDefault="00A57540" w:rsidP="00A57540">
            <w:pPr>
              <w:jc w:val="center"/>
              <w:rPr>
                <w:rFonts w:cs="Times New Roman"/>
                <w:sz w:val="18"/>
                <w:szCs w:val="18"/>
              </w:rPr>
            </w:pPr>
            <w:r w:rsidRPr="00E55365">
              <w:rPr>
                <w:rFonts w:cs="Times New Roman"/>
                <w:sz w:val="18"/>
                <w:szCs w:val="18"/>
              </w:rPr>
              <w:t>0.805</w:t>
            </w:r>
          </w:p>
        </w:tc>
        <w:tc>
          <w:tcPr>
            <w:tcW w:w="850" w:type="dxa"/>
            <w:tcBorders>
              <w:bottom w:val="single" w:sz="4" w:space="0" w:color="auto"/>
            </w:tcBorders>
          </w:tcPr>
          <w:p w:rsidR="00A57540" w:rsidRPr="00E55365" w:rsidRDefault="00A57540" w:rsidP="00A57540">
            <w:pPr>
              <w:jc w:val="center"/>
              <w:rPr>
                <w:rFonts w:cs="Times New Roman"/>
                <w:b/>
                <w:sz w:val="18"/>
                <w:szCs w:val="18"/>
              </w:rPr>
            </w:pPr>
            <w:r w:rsidRPr="00E55365">
              <w:rPr>
                <w:rFonts w:cs="Times New Roman"/>
                <w:b/>
                <w:sz w:val="18"/>
                <w:szCs w:val="18"/>
              </w:rPr>
              <w:t>410.821</w:t>
            </w:r>
          </w:p>
        </w:tc>
        <w:tc>
          <w:tcPr>
            <w:tcW w:w="850" w:type="dxa"/>
            <w:tcBorders>
              <w:bottom w:val="single" w:sz="4" w:space="0" w:color="auto"/>
            </w:tcBorders>
          </w:tcPr>
          <w:p w:rsidR="00A57540" w:rsidRPr="00E55365" w:rsidRDefault="00A57540" w:rsidP="00A57540">
            <w:pPr>
              <w:jc w:val="center"/>
              <w:rPr>
                <w:rFonts w:cs="Times New Roman"/>
                <w:b/>
                <w:sz w:val="18"/>
                <w:szCs w:val="18"/>
              </w:rPr>
            </w:pPr>
            <w:r w:rsidRPr="00E55365">
              <w:rPr>
                <w:rFonts w:cs="Times New Roman"/>
                <w:b/>
                <w:sz w:val="18"/>
                <w:szCs w:val="18"/>
              </w:rPr>
              <w:t>&lt;0.001</w:t>
            </w:r>
          </w:p>
        </w:tc>
        <w:tc>
          <w:tcPr>
            <w:tcW w:w="850" w:type="dxa"/>
            <w:tcBorders>
              <w:bottom w:val="single" w:sz="4" w:space="0" w:color="auto"/>
            </w:tcBorders>
          </w:tcPr>
          <w:p w:rsidR="00A57540" w:rsidRPr="00E55365" w:rsidRDefault="00A57540" w:rsidP="00A57540">
            <w:pPr>
              <w:jc w:val="center"/>
              <w:rPr>
                <w:rFonts w:cs="Times New Roman"/>
                <w:b/>
                <w:sz w:val="18"/>
                <w:szCs w:val="18"/>
              </w:rPr>
            </w:pPr>
            <w:r w:rsidRPr="00E55365">
              <w:rPr>
                <w:rFonts w:cs="Times New Roman"/>
                <w:b/>
                <w:sz w:val="18"/>
                <w:szCs w:val="18"/>
              </w:rPr>
              <w:t>5.345</w:t>
            </w:r>
          </w:p>
        </w:tc>
        <w:tc>
          <w:tcPr>
            <w:tcW w:w="850" w:type="dxa"/>
            <w:tcBorders>
              <w:bottom w:val="single" w:sz="4" w:space="0" w:color="auto"/>
            </w:tcBorders>
          </w:tcPr>
          <w:p w:rsidR="00A57540" w:rsidRPr="00E55365" w:rsidRDefault="00A57540" w:rsidP="00A57540">
            <w:pPr>
              <w:jc w:val="center"/>
              <w:rPr>
                <w:rFonts w:cs="Times New Roman"/>
                <w:b/>
                <w:sz w:val="18"/>
                <w:szCs w:val="18"/>
              </w:rPr>
            </w:pPr>
            <w:r w:rsidRPr="00E55365">
              <w:rPr>
                <w:rFonts w:cs="Times New Roman"/>
                <w:b/>
                <w:sz w:val="18"/>
                <w:szCs w:val="18"/>
              </w:rPr>
              <w:t>0.0221</w:t>
            </w:r>
          </w:p>
        </w:tc>
      </w:tr>
      <w:tr w:rsidR="00A57540" w:rsidRPr="002719B9" w:rsidTr="00001A4E">
        <w:tc>
          <w:tcPr>
            <w:tcW w:w="14317" w:type="dxa"/>
            <w:gridSpan w:val="16"/>
          </w:tcPr>
          <w:p w:rsidR="00A57540" w:rsidRPr="002719B9" w:rsidRDefault="00A57540" w:rsidP="00A57540">
            <w:pPr>
              <w:rPr>
                <w:rFonts w:cs="Times New Roman"/>
                <w:sz w:val="16"/>
                <w:szCs w:val="16"/>
              </w:rPr>
            </w:pPr>
            <w:r w:rsidRPr="002719B9">
              <w:rPr>
                <w:rFonts w:cs="Times New Roman"/>
                <w:sz w:val="16"/>
                <w:szCs w:val="16"/>
                <w:vertAlign w:val="superscript"/>
              </w:rPr>
              <w:t>a</w:t>
            </w:r>
            <w:r w:rsidRPr="002719B9">
              <w:rPr>
                <w:rFonts w:cs="Times New Roman"/>
                <w:sz w:val="16"/>
                <w:szCs w:val="16"/>
              </w:rPr>
              <w:t xml:space="preserve"> Subsample of the tree root system measured using mini-</w:t>
            </w:r>
            <w:proofErr w:type="spellStart"/>
            <w:r w:rsidRPr="002719B9">
              <w:rPr>
                <w:rFonts w:cs="Times New Roman"/>
                <w:sz w:val="16"/>
                <w:szCs w:val="16"/>
              </w:rPr>
              <w:t>rhizotron</w:t>
            </w:r>
            <w:proofErr w:type="spellEnd"/>
            <w:r w:rsidRPr="002719B9">
              <w:rPr>
                <w:rFonts w:cs="Times New Roman"/>
                <w:sz w:val="16"/>
                <w:szCs w:val="16"/>
              </w:rPr>
              <w:t xml:space="preserve"> imaging; Mini-</w:t>
            </w:r>
            <w:proofErr w:type="spellStart"/>
            <w:r w:rsidRPr="002719B9">
              <w:rPr>
                <w:rFonts w:cs="Times New Roman"/>
                <w:sz w:val="16"/>
                <w:szCs w:val="16"/>
              </w:rPr>
              <w:t>rhizotron</w:t>
            </w:r>
            <w:proofErr w:type="spellEnd"/>
            <w:r w:rsidRPr="002719B9">
              <w:rPr>
                <w:rFonts w:cs="Times New Roman"/>
                <w:sz w:val="16"/>
                <w:szCs w:val="16"/>
              </w:rPr>
              <w:t xml:space="preserve"> tubers were 7cm diameter x 47 cm depth with an imaging area of 869cm</w:t>
            </w:r>
            <w:r w:rsidRPr="002719B9">
              <w:rPr>
                <w:rFonts w:cs="Times New Roman"/>
                <w:sz w:val="16"/>
                <w:szCs w:val="16"/>
                <w:vertAlign w:val="superscript"/>
              </w:rPr>
              <w:t xml:space="preserve">2  </w:t>
            </w:r>
          </w:p>
        </w:tc>
      </w:tr>
    </w:tbl>
    <w:p w:rsidR="00A57540" w:rsidRDefault="00A57540" w:rsidP="00A57540"/>
    <w:tbl>
      <w:tblPr>
        <w:tblStyle w:val="TableGrid"/>
        <w:tblpPr w:leftFromText="180" w:rightFromText="180" w:vertAnchor="page" w:horzAnchor="page" w:tblpX="568" w:tblpY="881"/>
        <w:tblW w:w="15877" w:type="dxa"/>
        <w:tblLayout w:type="fixed"/>
        <w:tblLook w:val="04A0" w:firstRow="1" w:lastRow="0" w:firstColumn="1" w:lastColumn="0" w:noHBand="0" w:noVBand="1"/>
      </w:tblPr>
      <w:tblGrid>
        <w:gridCol w:w="1418"/>
        <w:gridCol w:w="425"/>
        <w:gridCol w:w="709"/>
        <w:gridCol w:w="709"/>
        <w:gridCol w:w="709"/>
        <w:gridCol w:w="708"/>
        <w:gridCol w:w="709"/>
        <w:gridCol w:w="709"/>
        <w:gridCol w:w="709"/>
        <w:gridCol w:w="708"/>
        <w:gridCol w:w="709"/>
        <w:gridCol w:w="709"/>
        <w:gridCol w:w="681"/>
        <w:gridCol w:w="672"/>
        <w:gridCol w:w="692"/>
        <w:gridCol w:w="648"/>
        <w:gridCol w:w="709"/>
        <w:gridCol w:w="709"/>
        <w:gridCol w:w="708"/>
        <w:gridCol w:w="709"/>
        <w:gridCol w:w="709"/>
        <w:gridCol w:w="709"/>
      </w:tblGrid>
      <w:tr w:rsidR="00A57540" w:rsidRPr="002719B9" w:rsidTr="00001A4E">
        <w:tc>
          <w:tcPr>
            <w:tcW w:w="15877" w:type="dxa"/>
            <w:gridSpan w:val="22"/>
            <w:tcBorders>
              <w:top w:val="nil"/>
              <w:left w:val="nil"/>
              <w:bottom w:val="single" w:sz="4" w:space="0" w:color="auto"/>
              <w:right w:val="nil"/>
            </w:tcBorders>
          </w:tcPr>
          <w:p w:rsidR="00A57540" w:rsidRPr="002719B9" w:rsidRDefault="00A57540" w:rsidP="00001A4E">
            <w:pPr>
              <w:rPr>
                <w:rFonts w:cs="Times New Roman"/>
                <w:sz w:val="16"/>
                <w:szCs w:val="16"/>
              </w:rPr>
            </w:pPr>
            <w:r w:rsidRPr="002719B9">
              <w:rPr>
                <w:rFonts w:cs="Times New Roman"/>
                <w:sz w:val="16"/>
                <w:szCs w:val="16"/>
              </w:rPr>
              <w:lastRenderedPageBreak/>
              <w:t xml:space="preserve">. </w:t>
            </w:r>
          </w:p>
          <w:p w:rsidR="00A57540" w:rsidRPr="002719B9" w:rsidRDefault="00A57540" w:rsidP="00001A4E">
            <w:pPr>
              <w:pStyle w:val="Caption"/>
            </w:pPr>
            <w:bookmarkStart w:id="176" w:name="_Ref469771782"/>
            <w:bookmarkStart w:id="177" w:name="_Toc469868574"/>
            <w:r w:rsidRPr="00861E0B">
              <w:t xml:space="preserve">Table </w:t>
            </w:r>
            <w:r w:rsidR="00C44EF5">
              <w:fldChar w:fldCharType="begin"/>
            </w:r>
            <w:r w:rsidR="00C44EF5">
              <w:instrText xml:space="preserve"> STYLEREF 1 \s </w:instrText>
            </w:r>
            <w:r w:rsidR="00C44EF5">
              <w:fldChar w:fldCharType="separate"/>
            </w:r>
            <w:r w:rsidR="00E0714D">
              <w:rPr>
                <w:noProof/>
              </w:rPr>
              <w:t>2</w:t>
            </w:r>
            <w:r w:rsidR="00C44EF5">
              <w:rPr>
                <w:noProof/>
              </w:rPr>
              <w:fldChar w:fldCharType="end"/>
            </w:r>
            <w:r w:rsidRPr="00861E0B">
              <w:t>.</w:t>
            </w:r>
            <w:r w:rsidR="00C44EF5">
              <w:fldChar w:fldCharType="begin"/>
            </w:r>
            <w:r w:rsidR="00C44EF5">
              <w:instrText xml:space="preserve"> SEQ Table \* ARABIC \s 1 </w:instrText>
            </w:r>
            <w:r w:rsidR="00C44EF5">
              <w:fldChar w:fldCharType="separate"/>
            </w:r>
            <w:r w:rsidR="00E0714D">
              <w:rPr>
                <w:noProof/>
              </w:rPr>
              <w:t>2</w:t>
            </w:r>
            <w:r w:rsidR="00C44EF5">
              <w:rPr>
                <w:noProof/>
              </w:rPr>
              <w:fldChar w:fldCharType="end"/>
            </w:r>
            <w:bookmarkEnd w:id="176"/>
            <w:r w:rsidRPr="00861E0B">
              <w:t xml:space="preserve"> Four-way</w:t>
            </w:r>
            <w:r w:rsidRPr="002719B9">
              <w:t xml:space="preserve"> ANOVA results for apple tree performance over three years. Main factor effects and all significant interactions with mycorrhiza are reported. Significant results </w:t>
            </w:r>
            <w:r w:rsidRPr="004962A8">
              <w:rPr>
                <w:rStyle w:val="Captionlabel"/>
              </w:rPr>
              <w:t>are</w:t>
            </w:r>
            <w:r w:rsidRPr="002719B9">
              <w:t xml:space="preserve"> in bold.</w:t>
            </w:r>
            <w:bookmarkEnd w:id="177"/>
          </w:p>
        </w:tc>
      </w:tr>
      <w:tr w:rsidR="00A57540" w:rsidRPr="002719B9" w:rsidTr="00001A4E">
        <w:tc>
          <w:tcPr>
            <w:tcW w:w="1418" w:type="dxa"/>
            <w:tcBorders>
              <w:top w:val="single" w:sz="4" w:space="0" w:color="auto"/>
              <w:left w:val="nil"/>
              <w:bottom w:val="single" w:sz="4" w:space="0" w:color="auto"/>
              <w:right w:val="nil"/>
            </w:tcBorders>
          </w:tcPr>
          <w:p w:rsidR="00A57540" w:rsidRPr="00001A4E" w:rsidRDefault="00A57540" w:rsidP="00001A4E">
            <w:pPr>
              <w:jc w:val="left"/>
              <w:rPr>
                <w:rFonts w:cs="Times New Roman"/>
                <w:b/>
                <w:sz w:val="16"/>
                <w:szCs w:val="16"/>
              </w:rPr>
            </w:pPr>
            <w:r w:rsidRPr="00001A4E">
              <w:rPr>
                <w:rFonts w:cs="Times New Roman"/>
                <w:b/>
                <w:sz w:val="16"/>
                <w:szCs w:val="16"/>
              </w:rPr>
              <w:t xml:space="preserve">Response </w:t>
            </w:r>
          </w:p>
        </w:tc>
        <w:tc>
          <w:tcPr>
            <w:tcW w:w="425" w:type="dxa"/>
            <w:tcBorders>
              <w:top w:val="single" w:sz="4" w:space="0" w:color="auto"/>
              <w:left w:val="nil"/>
              <w:bottom w:val="single" w:sz="4" w:space="0" w:color="auto"/>
              <w:right w:val="nil"/>
            </w:tcBorders>
          </w:tcPr>
          <w:p w:rsidR="00A57540" w:rsidRPr="00001A4E" w:rsidRDefault="00A57540" w:rsidP="00001A4E">
            <w:pPr>
              <w:jc w:val="left"/>
              <w:rPr>
                <w:rFonts w:cs="Times New Roman"/>
                <w:b/>
                <w:sz w:val="16"/>
                <w:szCs w:val="16"/>
              </w:rPr>
            </w:pPr>
            <w:r w:rsidRPr="00001A4E">
              <w:rPr>
                <w:rFonts w:cs="Times New Roman"/>
                <w:b/>
                <w:sz w:val="16"/>
                <w:szCs w:val="16"/>
              </w:rPr>
              <w:t>Year</w:t>
            </w:r>
          </w:p>
        </w:tc>
        <w:tc>
          <w:tcPr>
            <w:tcW w:w="1418" w:type="dxa"/>
            <w:gridSpan w:val="2"/>
            <w:tcBorders>
              <w:top w:val="single" w:sz="4" w:space="0" w:color="auto"/>
              <w:left w:val="nil"/>
              <w:bottom w:val="single" w:sz="4" w:space="0" w:color="auto"/>
              <w:right w:val="nil"/>
            </w:tcBorders>
            <w:shd w:val="clear" w:color="auto" w:fill="auto"/>
          </w:tcPr>
          <w:p w:rsidR="00A57540" w:rsidRPr="00001A4E" w:rsidRDefault="00A57540" w:rsidP="00001A4E">
            <w:pPr>
              <w:jc w:val="left"/>
              <w:rPr>
                <w:rFonts w:cs="Times New Roman"/>
                <w:b/>
                <w:sz w:val="16"/>
                <w:szCs w:val="16"/>
              </w:rPr>
            </w:pPr>
            <w:r w:rsidRPr="00001A4E">
              <w:rPr>
                <w:rFonts w:cs="Times New Roman"/>
                <w:b/>
                <w:sz w:val="16"/>
                <w:szCs w:val="16"/>
              </w:rPr>
              <w:t>Mycorrhiza: None</w:t>
            </w:r>
          </w:p>
        </w:tc>
        <w:tc>
          <w:tcPr>
            <w:tcW w:w="1417" w:type="dxa"/>
            <w:gridSpan w:val="2"/>
            <w:tcBorders>
              <w:top w:val="single" w:sz="4" w:space="0" w:color="auto"/>
              <w:left w:val="nil"/>
              <w:bottom w:val="single" w:sz="4" w:space="0" w:color="auto"/>
              <w:right w:val="nil"/>
            </w:tcBorders>
            <w:shd w:val="clear" w:color="auto" w:fill="auto"/>
          </w:tcPr>
          <w:p w:rsidR="00A57540" w:rsidRPr="00001A4E" w:rsidRDefault="00A57540" w:rsidP="00001A4E">
            <w:pPr>
              <w:jc w:val="left"/>
              <w:rPr>
                <w:rFonts w:cs="Times New Roman"/>
                <w:b/>
                <w:sz w:val="16"/>
                <w:szCs w:val="16"/>
              </w:rPr>
            </w:pPr>
            <w:r w:rsidRPr="00001A4E">
              <w:rPr>
                <w:rFonts w:cs="Times New Roman"/>
                <w:b/>
                <w:sz w:val="16"/>
                <w:szCs w:val="16"/>
              </w:rPr>
              <w:t>Mycorrhiza: Inoculated</w:t>
            </w:r>
          </w:p>
        </w:tc>
        <w:tc>
          <w:tcPr>
            <w:tcW w:w="709" w:type="dxa"/>
            <w:tcBorders>
              <w:top w:val="single" w:sz="4" w:space="0" w:color="auto"/>
              <w:left w:val="nil"/>
              <w:bottom w:val="single" w:sz="4" w:space="0" w:color="auto"/>
              <w:right w:val="nil"/>
            </w:tcBorders>
            <w:shd w:val="clear" w:color="auto" w:fill="auto"/>
          </w:tcPr>
          <w:p w:rsidR="00A57540" w:rsidRPr="00001A4E" w:rsidRDefault="00A57540" w:rsidP="00001A4E">
            <w:pPr>
              <w:jc w:val="left"/>
              <w:rPr>
                <w:rFonts w:cs="Times New Roman"/>
                <w:b/>
                <w:sz w:val="16"/>
                <w:szCs w:val="16"/>
              </w:rPr>
            </w:pPr>
          </w:p>
        </w:tc>
        <w:tc>
          <w:tcPr>
            <w:tcW w:w="1418" w:type="dxa"/>
            <w:gridSpan w:val="2"/>
            <w:tcBorders>
              <w:top w:val="single" w:sz="4" w:space="0" w:color="auto"/>
              <w:left w:val="nil"/>
              <w:bottom w:val="single" w:sz="4" w:space="0" w:color="auto"/>
              <w:right w:val="nil"/>
            </w:tcBorders>
            <w:shd w:val="clear" w:color="auto" w:fill="auto"/>
          </w:tcPr>
          <w:p w:rsidR="00A57540" w:rsidRPr="00001A4E" w:rsidRDefault="00A57540" w:rsidP="00001A4E">
            <w:pPr>
              <w:jc w:val="left"/>
              <w:rPr>
                <w:rFonts w:cs="Times New Roman"/>
                <w:b/>
                <w:sz w:val="16"/>
                <w:szCs w:val="16"/>
              </w:rPr>
            </w:pPr>
            <w:r w:rsidRPr="00001A4E">
              <w:rPr>
                <w:rFonts w:cs="Times New Roman"/>
                <w:b/>
                <w:sz w:val="16"/>
                <w:szCs w:val="16"/>
              </w:rPr>
              <w:t>Nutrient: Low</w:t>
            </w:r>
          </w:p>
        </w:tc>
        <w:tc>
          <w:tcPr>
            <w:tcW w:w="1417" w:type="dxa"/>
            <w:gridSpan w:val="2"/>
            <w:tcBorders>
              <w:top w:val="single" w:sz="4" w:space="0" w:color="auto"/>
              <w:left w:val="nil"/>
              <w:bottom w:val="single" w:sz="4" w:space="0" w:color="auto"/>
              <w:right w:val="nil"/>
            </w:tcBorders>
            <w:shd w:val="clear" w:color="auto" w:fill="auto"/>
          </w:tcPr>
          <w:p w:rsidR="00A57540" w:rsidRPr="00001A4E" w:rsidRDefault="00A57540" w:rsidP="00001A4E">
            <w:pPr>
              <w:jc w:val="left"/>
              <w:rPr>
                <w:rFonts w:cs="Times New Roman"/>
                <w:b/>
                <w:sz w:val="16"/>
                <w:szCs w:val="16"/>
              </w:rPr>
            </w:pPr>
            <w:r w:rsidRPr="00001A4E">
              <w:rPr>
                <w:rFonts w:cs="Times New Roman"/>
                <w:b/>
                <w:sz w:val="16"/>
                <w:szCs w:val="16"/>
              </w:rPr>
              <w:t>Nutrient: High</w:t>
            </w:r>
          </w:p>
        </w:tc>
        <w:tc>
          <w:tcPr>
            <w:tcW w:w="709" w:type="dxa"/>
            <w:tcBorders>
              <w:top w:val="single" w:sz="4" w:space="0" w:color="auto"/>
              <w:left w:val="nil"/>
              <w:bottom w:val="single" w:sz="4" w:space="0" w:color="auto"/>
              <w:right w:val="nil"/>
            </w:tcBorders>
            <w:shd w:val="clear" w:color="auto" w:fill="auto"/>
          </w:tcPr>
          <w:p w:rsidR="00A57540" w:rsidRPr="00001A4E" w:rsidRDefault="00A57540" w:rsidP="00001A4E">
            <w:pPr>
              <w:jc w:val="left"/>
              <w:rPr>
                <w:rFonts w:cs="Times New Roman"/>
                <w:b/>
                <w:sz w:val="16"/>
                <w:szCs w:val="16"/>
              </w:rPr>
            </w:pPr>
          </w:p>
        </w:tc>
        <w:tc>
          <w:tcPr>
            <w:tcW w:w="1353" w:type="dxa"/>
            <w:gridSpan w:val="2"/>
            <w:tcBorders>
              <w:top w:val="single" w:sz="4" w:space="0" w:color="auto"/>
              <w:left w:val="nil"/>
              <w:bottom w:val="single" w:sz="4" w:space="0" w:color="auto"/>
              <w:right w:val="nil"/>
            </w:tcBorders>
            <w:shd w:val="clear" w:color="auto" w:fill="auto"/>
          </w:tcPr>
          <w:p w:rsidR="00A57540" w:rsidRPr="00001A4E" w:rsidRDefault="00A57540" w:rsidP="00001A4E">
            <w:pPr>
              <w:jc w:val="left"/>
              <w:rPr>
                <w:rFonts w:cs="Times New Roman"/>
                <w:b/>
                <w:sz w:val="16"/>
                <w:szCs w:val="16"/>
              </w:rPr>
            </w:pPr>
            <w:r w:rsidRPr="00001A4E">
              <w:rPr>
                <w:rFonts w:cs="Times New Roman"/>
                <w:b/>
                <w:sz w:val="16"/>
                <w:szCs w:val="16"/>
              </w:rPr>
              <w:t>Scion: Dabinett</w:t>
            </w:r>
          </w:p>
        </w:tc>
        <w:tc>
          <w:tcPr>
            <w:tcW w:w="1340" w:type="dxa"/>
            <w:gridSpan w:val="2"/>
            <w:tcBorders>
              <w:top w:val="single" w:sz="4" w:space="0" w:color="auto"/>
              <w:left w:val="nil"/>
              <w:bottom w:val="single" w:sz="4" w:space="0" w:color="auto"/>
              <w:right w:val="nil"/>
            </w:tcBorders>
            <w:shd w:val="clear" w:color="auto" w:fill="auto"/>
          </w:tcPr>
          <w:p w:rsidR="00A57540" w:rsidRPr="00001A4E" w:rsidRDefault="00A57540" w:rsidP="00001A4E">
            <w:pPr>
              <w:jc w:val="left"/>
              <w:rPr>
                <w:rFonts w:cs="Times New Roman"/>
                <w:b/>
                <w:sz w:val="16"/>
                <w:szCs w:val="16"/>
              </w:rPr>
            </w:pPr>
            <w:r w:rsidRPr="00001A4E">
              <w:rPr>
                <w:rFonts w:cs="Times New Roman"/>
                <w:b/>
                <w:sz w:val="16"/>
                <w:szCs w:val="16"/>
              </w:rPr>
              <w:t>Scion Michelin</w:t>
            </w:r>
          </w:p>
        </w:tc>
        <w:tc>
          <w:tcPr>
            <w:tcW w:w="709" w:type="dxa"/>
            <w:tcBorders>
              <w:top w:val="single" w:sz="4" w:space="0" w:color="auto"/>
              <w:left w:val="nil"/>
              <w:bottom w:val="single" w:sz="4" w:space="0" w:color="auto"/>
              <w:right w:val="nil"/>
            </w:tcBorders>
            <w:shd w:val="clear" w:color="auto" w:fill="auto"/>
          </w:tcPr>
          <w:p w:rsidR="00A57540" w:rsidRPr="00001A4E" w:rsidRDefault="00A57540" w:rsidP="00001A4E">
            <w:pPr>
              <w:jc w:val="left"/>
              <w:rPr>
                <w:rFonts w:cs="Times New Roman"/>
                <w:b/>
                <w:sz w:val="16"/>
                <w:szCs w:val="16"/>
              </w:rPr>
            </w:pPr>
          </w:p>
        </w:tc>
        <w:tc>
          <w:tcPr>
            <w:tcW w:w="1417" w:type="dxa"/>
            <w:gridSpan w:val="2"/>
            <w:tcBorders>
              <w:top w:val="single" w:sz="4" w:space="0" w:color="auto"/>
              <w:left w:val="nil"/>
              <w:bottom w:val="single" w:sz="4" w:space="0" w:color="auto"/>
              <w:right w:val="nil"/>
            </w:tcBorders>
            <w:shd w:val="clear" w:color="auto" w:fill="auto"/>
          </w:tcPr>
          <w:p w:rsidR="00A57540" w:rsidRPr="00001A4E" w:rsidRDefault="00A57540" w:rsidP="00001A4E">
            <w:pPr>
              <w:jc w:val="left"/>
              <w:rPr>
                <w:rFonts w:cs="Times New Roman"/>
                <w:b/>
                <w:sz w:val="16"/>
                <w:szCs w:val="16"/>
              </w:rPr>
            </w:pPr>
            <w:r w:rsidRPr="00001A4E">
              <w:rPr>
                <w:rFonts w:cs="Times New Roman"/>
                <w:b/>
                <w:sz w:val="16"/>
                <w:szCs w:val="16"/>
              </w:rPr>
              <w:t>Rootstock: MM106</w:t>
            </w:r>
          </w:p>
        </w:tc>
        <w:tc>
          <w:tcPr>
            <w:tcW w:w="1418" w:type="dxa"/>
            <w:gridSpan w:val="2"/>
            <w:tcBorders>
              <w:top w:val="single" w:sz="4" w:space="0" w:color="auto"/>
              <w:left w:val="nil"/>
              <w:bottom w:val="single" w:sz="4" w:space="0" w:color="auto"/>
              <w:right w:val="nil"/>
            </w:tcBorders>
            <w:shd w:val="clear" w:color="auto" w:fill="auto"/>
          </w:tcPr>
          <w:p w:rsidR="00A57540" w:rsidRPr="00001A4E" w:rsidRDefault="00A57540" w:rsidP="00001A4E">
            <w:pPr>
              <w:jc w:val="left"/>
              <w:rPr>
                <w:rFonts w:cs="Times New Roman"/>
                <w:b/>
                <w:sz w:val="16"/>
                <w:szCs w:val="16"/>
              </w:rPr>
            </w:pPr>
            <w:r w:rsidRPr="00001A4E">
              <w:rPr>
                <w:rFonts w:cs="Times New Roman"/>
                <w:b/>
                <w:sz w:val="16"/>
                <w:szCs w:val="16"/>
              </w:rPr>
              <w:t>Rootstock: MM111</w:t>
            </w:r>
          </w:p>
        </w:tc>
        <w:tc>
          <w:tcPr>
            <w:tcW w:w="709"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p>
        </w:tc>
      </w:tr>
      <w:tr w:rsidR="00A57540" w:rsidRPr="002719B9" w:rsidTr="00001A4E">
        <w:tc>
          <w:tcPr>
            <w:tcW w:w="1418" w:type="dxa"/>
            <w:tcBorders>
              <w:top w:val="single" w:sz="4" w:space="0" w:color="auto"/>
              <w:left w:val="nil"/>
              <w:bottom w:val="single" w:sz="4" w:space="0" w:color="auto"/>
              <w:right w:val="nil"/>
            </w:tcBorders>
          </w:tcPr>
          <w:p w:rsidR="00A57540" w:rsidRPr="002719B9" w:rsidRDefault="00A57540" w:rsidP="00001A4E">
            <w:pPr>
              <w:jc w:val="left"/>
              <w:rPr>
                <w:rFonts w:cs="Times New Roman"/>
                <w:sz w:val="16"/>
                <w:szCs w:val="16"/>
              </w:rPr>
            </w:pPr>
          </w:p>
        </w:tc>
        <w:tc>
          <w:tcPr>
            <w:tcW w:w="425" w:type="dxa"/>
            <w:tcBorders>
              <w:top w:val="single" w:sz="4" w:space="0" w:color="auto"/>
              <w:left w:val="nil"/>
              <w:bottom w:val="single" w:sz="4" w:space="0" w:color="auto"/>
              <w:right w:val="nil"/>
            </w:tcBorders>
          </w:tcPr>
          <w:p w:rsidR="00A57540" w:rsidRPr="002719B9" w:rsidRDefault="00A57540" w:rsidP="00001A4E">
            <w:pPr>
              <w:jc w:val="left"/>
              <w:rPr>
                <w:rFonts w:cs="Times New Roman"/>
                <w:sz w:val="16"/>
                <w:szCs w:val="16"/>
              </w:rPr>
            </w:pPr>
          </w:p>
        </w:tc>
        <w:tc>
          <w:tcPr>
            <w:tcW w:w="709"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Mean</w:t>
            </w:r>
          </w:p>
        </w:tc>
        <w:tc>
          <w:tcPr>
            <w:tcW w:w="709"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SE</w:t>
            </w:r>
          </w:p>
        </w:tc>
        <w:tc>
          <w:tcPr>
            <w:tcW w:w="709"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Mean</w:t>
            </w:r>
          </w:p>
        </w:tc>
        <w:tc>
          <w:tcPr>
            <w:tcW w:w="708"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SE</w:t>
            </w:r>
          </w:p>
        </w:tc>
        <w:tc>
          <w:tcPr>
            <w:tcW w:w="709"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 change</w:t>
            </w:r>
          </w:p>
        </w:tc>
        <w:tc>
          <w:tcPr>
            <w:tcW w:w="709"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Mean</w:t>
            </w:r>
          </w:p>
        </w:tc>
        <w:tc>
          <w:tcPr>
            <w:tcW w:w="709"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SE</w:t>
            </w:r>
          </w:p>
        </w:tc>
        <w:tc>
          <w:tcPr>
            <w:tcW w:w="708"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Mean</w:t>
            </w:r>
          </w:p>
        </w:tc>
        <w:tc>
          <w:tcPr>
            <w:tcW w:w="709"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SE</w:t>
            </w:r>
          </w:p>
        </w:tc>
        <w:tc>
          <w:tcPr>
            <w:tcW w:w="709"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 change</w:t>
            </w:r>
          </w:p>
        </w:tc>
        <w:tc>
          <w:tcPr>
            <w:tcW w:w="681"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Mean</w:t>
            </w:r>
          </w:p>
        </w:tc>
        <w:tc>
          <w:tcPr>
            <w:tcW w:w="672"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SE</w:t>
            </w:r>
          </w:p>
        </w:tc>
        <w:tc>
          <w:tcPr>
            <w:tcW w:w="692"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Mean</w:t>
            </w:r>
          </w:p>
        </w:tc>
        <w:tc>
          <w:tcPr>
            <w:tcW w:w="648"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SE</w:t>
            </w:r>
          </w:p>
        </w:tc>
        <w:tc>
          <w:tcPr>
            <w:tcW w:w="709"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 change</w:t>
            </w:r>
          </w:p>
        </w:tc>
        <w:tc>
          <w:tcPr>
            <w:tcW w:w="709"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Mean</w:t>
            </w:r>
          </w:p>
        </w:tc>
        <w:tc>
          <w:tcPr>
            <w:tcW w:w="708"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SE</w:t>
            </w:r>
          </w:p>
        </w:tc>
        <w:tc>
          <w:tcPr>
            <w:tcW w:w="709"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Mean</w:t>
            </w:r>
          </w:p>
        </w:tc>
        <w:tc>
          <w:tcPr>
            <w:tcW w:w="709"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SE</w:t>
            </w:r>
          </w:p>
        </w:tc>
        <w:tc>
          <w:tcPr>
            <w:tcW w:w="709" w:type="dxa"/>
            <w:tcBorders>
              <w:top w:val="single" w:sz="4" w:space="0" w:color="auto"/>
              <w:left w:val="nil"/>
              <w:bottom w:val="single" w:sz="4" w:space="0" w:color="auto"/>
              <w:right w:val="nil"/>
            </w:tcBorders>
            <w:shd w:val="clear" w:color="auto" w:fill="auto"/>
          </w:tcPr>
          <w:p w:rsidR="00A57540" w:rsidRPr="002719B9" w:rsidRDefault="00A57540" w:rsidP="00001A4E">
            <w:pPr>
              <w:jc w:val="left"/>
              <w:rPr>
                <w:rFonts w:cs="Times New Roman"/>
                <w:sz w:val="16"/>
                <w:szCs w:val="16"/>
              </w:rPr>
            </w:pPr>
            <w:r w:rsidRPr="002719B9">
              <w:rPr>
                <w:rFonts w:cs="Times New Roman"/>
                <w:sz w:val="16"/>
                <w:szCs w:val="16"/>
              </w:rPr>
              <w:t>% change</w:t>
            </w:r>
          </w:p>
        </w:tc>
      </w:tr>
      <w:tr w:rsidR="00001A4E" w:rsidRPr="002719B9" w:rsidTr="00001A4E">
        <w:trPr>
          <w:trHeight w:val="190"/>
        </w:trPr>
        <w:tc>
          <w:tcPr>
            <w:tcW w:w="1418" w:type="dxa"/>
            <w:vMerge w:val="restart"/>
            <w:tcBorders>
              <w:top w:val="single" w:sz="4" w:space="0" w:color="auto"/>
              <w:left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Leaf P (mg g</w:t>
            </w:r>
            <w:r w:rsidRPr="002719B9">
              <w:rPr>
                <w:rFonts w:cs="Times New Roman"/>
                <w:sz w:val="16"/>
                <w:szCs w:val="16"/>
                <w:vertAlign w:val="superscript"/>
              </w:rPr>
              <w:t>-1</w:t>
            </w:r>
            <w:r w:rsidRPr="002719B9">
              <w:rPr>
                <w:rFonts w:cs="Times New Roman"/>
                <w:sz w:val="16"/>
                <w:szCs w:val="16"/>
              </w:rPr>
              <w:t>)</w:t>
            </w:r>
          </w:p>
        </w:tc>
        <w:tc>
          <w:tcPr>
            <w:tcW w:w="425" w:type="dxa"/>
            <w:tcBorders>
              <w:top w:val="single" w:sz="4" w:space="0" w:color="auto"/>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1</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2.95</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0.10</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3.10</w:t>
            </w:r>
          </w:p>
        </w:tc>
        <w:tc>
          <w:tcPr>
            <w:tcW w:w="708"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0.10</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5.08</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2.99</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0.10</w:t>
            </w:r>
          </w:p>
        </w:tc>
        <w:tc>
          <w:tcPr>
            <w:tcW w:w="708"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3.06</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0.10</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2.34</w:t>
            </w:r>
          </w:p>
        </w:tc>
        <w:tc>
          <w:tcPr>
            <w:tcW w:w="681"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2.98</w:t>
            </w:r>
          </w:p>
        </w:tc>
        <w:tc>
          <w:tcPr>
            <w:tcW w:w="672"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0.10</w:t>
            </w:r>
          </w:p>
        </w:tc>
        <w:tc>
          <w:tcPr>
            <w:tcW w:w="692"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3.07</w:t>
            </w:r>
          </w:p>
        </w:tc>
        <w:tc>
          <w:tcPr>
            <w:tcW w:w="648"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0.09</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3.02</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3.03</w:t>
            </w:r>
          </w:p>
        </w:tc>
        <w:tc>
          <w:tcPr>
            <w:tcW w:w="708"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0.10</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3.02</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0.010</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-0.33</w:t>
            </w:r>
          </w:p>
        </w:tc>
      </w:tr>
      <w:tr w:rsidR="00001A4E" w:rsidRPr="002719B9" w:rsidTr="00001A4E">
        <w:tc>
          <w:tcPr>
            <w:tcW w:w="1418" w:type="dxa"/>
            <w:vMerge/>
            <w:tcBorders>
              <w:left w:val="nil"/>
              <w:right w:val="nil"/>
            </w:tcBorders>
          </w:tcPr>
          <w:p w:rsidR="00001A4E" w:rsidRPr="002719B9" w:rsidRDefault="00001A4E" w:rsidP="00001A4E">
            <w:pPr>
              <w:jc w:val="left"/>
              <w:rPr>
                <w:rFonts w:cs="Times New Roman"/>
                <w:sz w:val="16"/>
                <w:szCs w:val="16"/>
              </w:rPr>
            </w:pP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2.23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2.18</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-2.24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2.16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0.04</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2.25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4.16</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2.17</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0.05</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2.25</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3.68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2.22</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2.19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-1.35</w:t>
            </w:r>
          </w:p>
        </w:tc>
      </w:tr>
      <w:tr w:rsidR="00001A4E" w:rsidRPr="002719B9" w:rsidTr="00001A4E">
        <w:tc>
          <w:tcPr>
            <w:tcW w:w="1418" w:type="dxa"/>
            <w:vMerge/>
            <w:tcBorders>
              <w:left w:val="nil"/>
              <w:bottom w:val="nil"/>
              <w:right w:val="nil"/>
            </w:tcBorders>
          </w:tcPr>
          <w:p w:rsidR="00001A4E" w:rsidRPr="002719B9" w:rsidRDefault="00001A4E" w:rsidP="00001A4E">
            <w:pPr>
              <w:jc w:val="left"/>
              <w:rPr>
                <w:rFonts w:cs="Times New Roman"/>
                <w:sz w:val="16"/>
                <w:szCs w:val="16"/>
              </w:rPr>
            </w:pP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2.28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2.44</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7.01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1.85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0.05</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2.87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55.13</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2.45</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0.09</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2.28</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-6.93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2.30</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2.43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5.65</w:t>
            </w:r>
          </w:p>
        </w:tc>
      </w:tr>
      <w:tr w:rsidR="00001A4E" w:rsidRPr="002719B9" w:rsidTr="00001A4E">
        <w:tc>
          <w:tcPr>
            <w:tcW w:w="1418" w:type="dxa"/>
            <w:vMerge w:val="restart"/>
            <w:tcBorders>
              <w:top w:val="nil"/>
              <w:left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Leaf N (mg g</w:t>
            </w:r>
            <w:r w:rsidRPr="002719B9">
              <w:rPr>
                <w:rFonts w:cs="Times New Roman"/>
                <w:sz w:val="16"/>
                <w:szCs w:val="16"/>
                <w:vertAlign w:val="superscript"/>
              </w:rPr>
              <w:t>-1</w:t>
            </w:r>
            <w:r w:rsidRPr="002719B9">
              <w:rPr>
                <w:rFonts w:cs="Times New Roman"/>
                <w:sz w:val="16"/>
                <w:szCs w:val="16"/>
              </w:rPr>
              <w:t>)</w:t>
            </w: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27.50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0.26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27.13</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0.33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-1.33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27.11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0.32</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27.51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0.27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1.48</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27.16</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0.31</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27.47</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0.29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1.14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27.02</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0.30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27.60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0.29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2.16</w:t>
            </w:r>
          </w:p>
        </w:tc>
      </w:tr>
      <w:tr w:rsidR="00001A4E" w:rsidRPr="002719B9" w:rsidTr="00001A4E">
        <w:tc>
          <w:tcPr>
            <w:tcW w:w="1418" w:type="dxa"/>
            <w:vMerge/>
            <w:tcBorders>
              <w:left w:val="nil"/>
              <w:right w:val="nil"/>
            </w:tcBorders>
          </w:tcPr>
          <w:p w:rsidR="00001A4E" w:rsidRPr="002719B9" w:rsidRDefault="00001A4E" w:rsidP="00001A4E">
            <w:pPr>
              <w:jc w:val="left"/>
              <w:rPr>
                <w:rFonts w:cs="Times New Roman"/>
                <w:sz w:val="16"/>
                <w:szCs w:val="16"/>
              </w:rPr>
            </w:pP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22.62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0.25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22.63</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0.30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22.19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0.26</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23.06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0.28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3.92</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22.92</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0.32</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22.34</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0.23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-2.53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22.25</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0.23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23.01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0.31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3.41</w:t>
            </w:r>
          </w:p>
        </w:tc>
      </w:tr>
      <w:tr w:rsidR="00001A4E" w:rsidRPr="002719B9" w:rsidTr="00001A4E">
        <w:tc>
          <w:tcPr>
            <w:tcW w:w="1418" w:type="dxa"/>
            <w:vMerge/>
            <w:tcBorders>
              <w:left w:val="nil"/>
              <w:bottom w:val="nil"/>
              <w:right w:val="nil"/>
            </w:tcBorders>
          </w:tcPr>
          <w:p w:rsidR="00001A4E" w:rsidRPr="002719B9" w:rsidRDefault="00001A4E" w:rsidP="00001A4E">
            <w:pPr>
              <w:jc w:val="left"/>
              <w:rPr>
                <w:rFonts w:cs="Times New Roman"/>
                <w:sz w:val="16"/>
                <w:szCs w:val="16"/>
              </w:rPr>
            </w:pP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21.53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0.37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21.52</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0.42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18.85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0.24</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24.20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0.28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28.38</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21.89</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0.41</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21.15</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0.38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-3.40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20.79</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0.39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22.25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0.39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6.99</w:t>
            </w:r>
          </w:p>
        </w:tc>
      </w:tr>
      <w:tr w:rsidR="00001A4E" w:rsidRPr="002719B9" w:rsidTr="00001A4E">
        <w:tc>
          <w:tcPr>
            <w:tcW w:w="1418" w:type="dxa"/>
            <w:vMerge w:val="restart"/>
            <w:tcBorders>
              <w:top w:val="nil"/>
              <w:left w:val="nil"/>
              <w:right w:val="nil"/>
            </w:tcBorders>
          </w:tcPr>
          <w:p w:rsidR="00001A4E" w:rsidRPr="004962A8" w:rsidRDefault="00001A4E" w:rsidP="00001A4E">
            <w:pPr>
              <w:jc w:val="left"/>
              <w:rPr>
                <w:rFonts w:cs="Times New Roman"/>
                <w:sz w:val="16"/>
                <w:szCs w:val="16"/>
              </w:rPr>
            </w:pPr>
            <w:r w:rsidRPr="004962A8">
              <w:rPr>
                <w:rFonts w:cs="Times New Roman"/>
                <w:sz w:val="16"/>
                <w:szCs w:val="16"/>
              </w:rPr>
              <w:t>Leaf C (mg g</w:t>
            </w:r>
            <w:r w:rsidRPr="004962A8">
              <w:rPr>
                <w:rFonts w:cs="Times New Roman"/>
                <w:sz w:val="16"/>
                <w:szCs w:val="16"/>
                <w:vertAlign w:val="superscript"/>
              </w:rPr>
              <w:t>-1</w:t>
            </w:r>
            <w:r w:rsidRPr="004962A8">
              <w:rPr>
                <w:rFonts w:cs="Times New Roman"/>
                <w:sz w:val="16"/>
                <w:szCs w:val="16"/>
              </w:rPr>
              <w:t>)</w:t>
            </w: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CF3C48">
              <w:rPr>
                <w:rFonts w:cs="Times New Roman"/>
                <w:sz w:val="16"/>
                <w:szCs w:val="16"/>
              </w:rPr>
              <w:t>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469.31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0.97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466.68</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1.01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-0.5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467.71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1.037</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468.28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sz w:val="16"/>
                <w:szCs w:val="16"/>
              </w:rPr>
              <w:t>0.96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0.121</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468.83</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sz w:val="16"/>
                <w:szCs w:val="16"/>
              </w:rPr>
              <w:t>1.05</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467.16</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sz w:val="16"/>
                <w:szCs w:val="16"/>
              </w:rPr>
              <w:t>0.94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sz w:val="16"/>
                <w:szCs w:val="16"/>
              </w:rPr>
              <w:t>-0.35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468.18</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sz w:val="16"/>
                <w:szCs w:val="16"/>
              </w:rPr>
              <w:t>0.99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467.81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1.013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-0.07</w:t>
            </w:r>
          </w:p>
        </w:tc>
      </w:tr>
      <w:tr w:rsidR="00001A4E" w:rsidRPr="002719B9" w:rsidTr="00001A4E">
        <w:tc>
          <w:tcPr>
            <w:tcW w:w="1418" w:type="dxa"/>
            <w:vMerge/>
            <w:tcBorders>
              <w:left w:val="nil"/>
              <w:right w:val="nil"/>
            </w:tcBorders>
          </w:tcPr>
          <w:p w:rsidR="00001A4E" w:rsidRPr="002719B9" w:rsidRDefault="00001A4E" w:rsidP="00001A4E">
            <w:pPr>
              <w:jc w:val="left"/>
              <w:rPr>
                <w:rFonts w:cs="Times New Roman"/>
                <w:sz w:val="16"/>
                <w:szCs w:val="16"/>
              </w:rPr>
            </w:pP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CF3C48">
              <w:rPr>
                <w:rFonts w:cs="Times New Roman"/>
                <w:sz w:val="16"/>
                <w:szCs w:val="16"/>
              </w:rPr>
              <w:t>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467.24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1.18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466.82</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1.05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-0.08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467.36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0.91</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466.7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sz w:val="16"/>
                <w:szCs w:val="16"/>
              </w:rPr>
              <w:t>1.30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-0.14</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FE25D5">
              <w:rPr>
                <w:rFonts w:cs="Times New Roman"/>
                <w:b/>
                <w:sz w:val="16"/>
                <w:szCs w:val="16"/>
              </w:rPr>
              <w:t>469.33</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FE25D5">
              <w:rPr>
                <w:rFonts w:cs="Times New Roman"/>
                <w:b/>
                <w:sz w:val="16"/>
                <w:szCs w:val="16"/>
              </w:rPr>
              <w:t>1.09</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FE25D5">
              <w:rPr>
                <w:rFonts w:cs="Times New Roman"/>
                <w:b/>
                <w:sz w:val="16"/>
                <w:szCs w:val="16"/>
              </w:rPr>
              <w:t>464.73</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FE25D5">
              <w:rPr>
                <w:rFonts w:cs="Times New Roman"/>
                <w:b/>
                <w:sz w:val="16"/>
                <w:szCs w:val="16"/>
              </w:rPr>
              <w:t>1.08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FE25D5">
              <w:rPr>
                <w:rFonts w:cs="Times New Roman"/>
                <w:b/>
                <w:sz w:val="16"/>
                <w:szCs w:val="16"/>
              </w:rPr>
              <w:t>-0.98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FE25D5">
              <w:rPr>
                <w:rFonts w:cs="Times New Roman"/>
                <w:b/>
                <w:sz w:val="16"/>
                <w:szCs w:val="16"/>
              </w:rPr>
              <w:t>468.86</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FE25D5">
              <w:rPr>
                <w:rFonts w:cs="Times New Roman"/>
                <w:b/>
                <w:sz w:val="16"/>
                <w:szCs w:val="16"/>
              </w:rPr>
              <w:t>1.01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b/>
                <w:sz w:val="16"/>
                <w:szCs w:val="16"/>
              </w:rPr>
              <w:t>4</w:t>
            </w:r>
            <w:r w:rsidRPr="00FE25D5">
              <w:rPr>
                <w:rFonts w:cs="Times New Roman"/>
                <w:b/>
                <w:sz w:val="16"/>
                <w:szCs w:val="16"/>
              </w:rPr>
              <w:t>65.20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FE25D5">
              <w:rPr>
                <w:rFonts w:cs="Times New Roman"/>
                <w:b/>
                <w:sz w:val="16"/>
                <w:szCs w:val="16"/>
              </w:rPr>
              <w:t>1.177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FE25D5">
              <w:rPr>
                <w:rFonts w:cs="Times New Roman"/>
                <w:b/>
                <w:sz w:val="16"/>
                <w:szCs w:val="16"/>
              </w:rPr>
              <w:t>-0.780</w:t>
            </w:r>
          </w:p>
        </w:tc>
      </w:tr>
      <w:tr w:rsidR="00001A4E" w:rsidRPr="002719B9" w:rsidTr="00001A4E">
        <w:tc>
          <w:tcPr>
            <w:tcW w:w="1418" w:type="dxa"/>
            <w:vMerge/>
            <w:tcBorders>
              <w:left w:val="nil"/>
              <w:bottom w:val="nil"/>
              <w:right w:val="nil"/>
            </w:tcBorders>
          </w:tcPr>
          <w:p w:rsidR="00001A4E" w:rsidRPr="002719B9" w:rsidRDefault="00001A4E" w:rsidP="00001A4E">
            <w:pPr>
              <w:jc w:val="left"/>
              <w:rPr>
                <w:rFonts w:cs="Times New Roman"/>
                <w:sz w:val="16"/>
                <w:szCs w:val="16"/>
              </w:rPr>
            </w:pP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CF3C48">
              <w:rPr>
                <w:rFonts w:cs="Times New Roman"/>
                <w:sz w:val="16"/>
                <w:szCs w:val="16"/>
              </w:rPr>
              <w:t>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476.13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1.3</w:t>
            </w:r>
            <w:r>
              <w:rPr>
                <w:rFonts w:cs="Times New Roman"/>
                <w:sz w:val="16"/>
                <w:szCs w:val="16"/>
              </w:rPr>
              <w:t>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477.33</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1.35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0.252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FE25D5">
              <w:rPr>
                <w:rFonts w:cs="Times New Roman"/>
                <w:b/>
                <w:sz w:val="16"/>
                <w:szCs w:val="16"/>
              </w:rPr>
              <w:t>479.58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FE25D5">
              <w:rPr>
                <w:rFonts w:cs="Times New Roman"/>
                <w:b/>
                <w:sz w:val="16"/>
                <w:szCs w:val="16"/>
              </w:rPr>
              <w:t>1.30</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FE25D5">
              <w:rPr>
                <w:rFonts w:cs="Times New Roman"/>
                <w:b/>
                <w:sz w:val="16"/>
                <w:szCs w:val="16"/>
              </w:rPr>
              <w:t>474.33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FE25D5">
              <w:rPr>
                <w:rFonts w:cs="Times New Roman"/>
                <w:b/>
                <w:sz w:val="16"/>
                <w:szCs w:val="16"/>
              </w:rPr>
              <w:t>1.28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FE25D5">
              <w:rPr>
                <w:rFonts w:cs="Times New Roman"/>
                <w:b/>
                <w:sz w:val="16"/>
                <w:szCs w:val="16"/>
              </w:rPr>
              <w:t>-1.09</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475.89</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sz w:val="16"/>
                <w:szCs w:val="16"/>
              </w:rPr>
              <w:t>1.33</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478.02</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sz w:val="16"/>
                <w:szCs w:val="16"/>
              </w:rPr>
              <w:t>1.31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0.44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477.48</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sz w:val="16"/>
                <w:szCs w:val="16"/>
              </w:rPr>
              <w:t>1.38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476.43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1.26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-0.21</w:t>
            </w:r>
          </w:p>
        </w:tc>
      </w:tr>
      <w:tr w:rsidR="00001A4E" w:rsidRPr="002719B9" w:rsidTr="00001A4E">
        <w:tc>
          <w:tcPr>
            <w:tcW w:w="1418" w:type="dxa"/>
            <w:vMerge w:val="restart"/>
            <w:tcBorders>
              <w:top w:val="nil"/>
              <w:left w:val="nil"/>
              <w:right w:val="nil"/>
            </w:tcBorders>
          </w:tcPr>
          <w:p w:rsidR="00001A4E" w:rsidRPr="004962A8" w:rsidRDefault="00001A4E" w:rsidP="00001A4E">
            <w:pPr>
              <w:jc w:val="left"/>
              <w:rPr>
                <w:rFonts w:cs="Times New Roman"/>
                <w:sz w:val="16"/>
                <w:szCs w:val="16"/>
              </w:rPr>
            </w:pPr>
            <w:r w:rsidRPr="004962A8">
              <w:rPr>
                <w:rFonts w:cs="Times New Roman"/>
                <w:sz w:val="16"/>
                <w:szCs w:val="16"/>
              </w:rPr>
              <w:t>Leaf C:N ratio</w:t>
            </w: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CF3C48">
              <w:rPr>
                <w:rFonts w:cs="Times New Roman"/>
                <w:sz w:val="16"/>
                <w:szCs w:val="16"/>
              </w:rPr>
              <w:t>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17.18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0.15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17.4</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0.21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.28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17.44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0.20</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17.14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0.16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-1.720</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17.43</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sz w:val="16"/>
                <w:szCs w:val="16"/>
              </w:rPr>
              <w:t>0.19</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17.15</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sz w:val="16"/>
                <w:szCs w:val="16"/>
              </w:rPr>
              <w:t>0.18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-1.60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17.49</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0.19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17.09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0.183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-2.28</w:t>
            </w:r>
          </w:p>
        </w:tc>
      </w:tr>
      <w:tr w:rsidR="00001A4E" w:rsidRPr="002719B9" w:rsidTr="00001A4E">
        <w:tc>
          <w:tcPr>
            <w:tcW w:w="1418" w:type="dxa"/>
            <w:vMerge/>
            <w:tcBorders>
              <w:left w:val="nil"/>
              <w:right w:val="nil"/>
            </w:tcBorders>
          </w:tcPr>
          <w:p w:rsidR="00001A4E" w:rsidRPr="002719B9" w:rsidRDefault="00001A4E" w:rsidP="00001A4E">
            <w:pPr>
              <w:jc w:val="left"/>
              <w:rPr>
                <w:rFonts w:cs="Times New Roman"/>
                <w:sz w:val="16"/>
                <w:szCs w:val="16"/>
              </w:rPr>
            </w:pP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CF3C48">
              <w:rPr>
                <w:rFonts w:cs="Times New Roman"/>
                <w:sz w:val="16"/>
                <w:szCs w:val="16"/>
              </w:rPr>
              <w:t>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20.97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0.24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20.79</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0.27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-0.85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21.18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0.25</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20.58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0.25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-2.83</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20.74</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sz w:val="16"/>
                <w:szCs w:val="16"/>
              </w:rPr>
              <w:t>0.29</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21.02</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sz w:val="16"/>
                <w:szCs w:val="16"/>
              </w:rPr>
              <w:t>0.21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sz w:val="16"/>
                <w:szCs w:val="16"/>
              </w:rPr>
              <w:t>1.35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b/>
                <w:sz w:val="16"/>
                <w:szCs w:val="16"/>
              </w:rPr>
              <w:t>21.44</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b/>
                <w:sz w:val="16"/>
                <w:szCs w:val="16"/>
              </w:rPr>
              <w:t>0.25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b/>
                <w:sz w:val="16"/>
                <w:szCs w:val="16"/>
              </w:rPr>
              <w:t>20.32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b/>
                <w:sz w:val="16"/>
                <w:szCs w:val="16"/>
              </w:rPr>
              <w:t>0.248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b/>
                <w:sz w:val="16"/>
                <w:szCs w:val="16"/>
              </w:rPr>
              <w:t>-5.22</w:t>
            </w:r>
          </w:p>
        </w:tc>
      </w:tr>
      <w:tr w:rsidR="00001A4E" w:rsidRPr="002719B9" w:rsidTr="00001A4E">
        <w:tc>
          <w:tcPr>
            <w:tcW w:w="1418" w:type="dxa"/>
            <w:vMerge/>
            <w:tcBorders>
              <w:left w:val="nil"/>
              <w:bottom w:val="nil"/>
              <w:right w:val="nil"/>
            </w:tcBorders>
          </w:tcPr>
          <w:p w:rsidR="00001A4E" w:rsidRPr="002719B9" w:rsidRDefault="00001A4E" w:rsidP="00001A4E">
            <w:pPr>
              <w:jc w:val="left"/>
              <w:rPr>
                <w:rFonts w:cs="Times New Roman"/>
                <w:sz w:val="16"/>
                <w:szCs w:val="16"/>
              </w:rPr>
            </w:pP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CF3C48">
              <w:rPr>
                <w:rFonts w:cs="Times New Roman"/>
                <w:sz w:val="16"/>
                <w:szCs w:val="16"/>
              </w:rPr>
              <w:t>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22.65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0.40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22.96</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sz w:val="16"/>
                <w:szCs w:val="16"/>
              </w:rPr>
              <w:t>0.49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sz w:val="16"/>
                <w:szCs w:val="16"/>
              </w:rPr>
              <w:t>1.36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b/>
                <w:sz w:val="16"/>
                <w:szCs w:val="16"/>
              </w:rPr>
              <w:t>25.79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b/>
                <w:sz w:val="16"/>
                <w:szCs w:val="16"/>
              </w:rPr>
              <w:t>0.35</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b/>
                <w:sz w:val="16"/>
                <w:szCs w:val="16"/>
              </w:rPr>
              <w:t>19.82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Pr>
                <w:rFonts w:cs="Times New Roman"/>
                <w:b/>
                <w:sz w:val="16"/>
                <w:szCs w:val="16"/>
              </w:rPr>
              <w:t>0.24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CF3C48">
              <w:rPr>
                <w:rFonts w:cs="Times New Roman"/>
                <w:b/>
                <w:sz w:val="16"/>
                <w:szCs w:val="16"/>
              </w:rPr>
              <w:t>-23.14</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b/>
                <w:sz w:val="16"/>
                <w:szCs w:val="16"/>
              </w:rPr>
              <w:t>22.37</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b/>
                <w:sz w:val="16"/>
                <w:szCs w:val="16"/>
              </w:rPr>
              <w:t>0.44</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b/>
                <w:sz w:val="16"/>
                <w:szCs w:val="16"/>
              </w:rPr>
              <w:t>23.23</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b/>
                <w:sz w:val="16"/>
                <w:szCs w:val="16"/>
              </w:rPr>
              <w:t>0.45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b/>
                <w:sz w:val="16"/>
                <w:szCs w:val="16"/>
              </w:rPr>
              <w:t>3.84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b/>
                <w:sz w:val="16"/>
                <w:szCs w:val="16"/>
              </w:rPr>
              <w:t>23.66</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Pr>
                <w:rFonts w:cs="Times New Roman"/>
                <w:b/>
                <w:sz w:val="16"/>
                <w:szCs w:val="16"/>
              </w:rPr>
              <w:t>0.48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b/>
                <w:sz w:val="16"/>
                <w:szCs w:val="16"/>
              </w:rPr>
              <w:t>21.95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b/>
                <w:sz w:val="16"/>
                <w:szCs w:val="16"/>
              </w:rPr>
              <w:t>0.40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CF3C48">
              <w:rPr>
                <w:rFonts w:cs="Times New Roman"/>
                <w:b/>
                <w:sz w:val="16"/>
                <w:szCs w:val="16"/>
              </w:rPr>
              <w:t>-7.22</w:t>
            </w:r>
          </w:p>
        </w:tc>
      </w:tr>
      <w:tr w:rsidR="00001A4E" w:rsidRPr="002719B9" w:rsidTr="00001A4E">
        <w:tc>
          <w:tcPr>
            <w:tcW w:w="1418" w:type="dxa"/>
            <w:vMerge w:val="restart"/>
            <w:tcBorders>
              <w:top w:val="nil"/>
              <w:left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Leaf chlorophyll</w:t>
            </w:r>
            <w:r>
              <w:rPr>
                <w:rFonts w:cs="Times New Roman"/>
                <w:sz w:val="16"/>
                <w:szCs w:val="16"/>
              </w:rPr>
              <w:t xml:space="preserve"> </w:t>
            </w:r>
            <w:r w:rsidRPr="002719B9">
              <w:rPr>
                <w:rFonts w:cs="Times New Roman"/>
                <w:sz w:val="16"/>
                <w:szCs w:val="16"/>
              </w:rPr>
              <w:t>(mg g</w:t>
            </w:r>
            <w:r w:rsidRPr="002719B9">
              <w:rPr>
                <w:rFonts w:cs="Times New Roman"/>
                <w:sz w:val="16"/>
                <w:szCs w:val="16"/>
                <w:vertAlign w:val="superscript"/>
              </w:rPr>
              <w:t>-1</w:t>
            </w:r>
            <w:r w:rsidRPr="002719B9">
              <w:rPr>
                <w:rFonts w:cs="Times New Roman"/>
                <w:sz w:val="16"/>
                <w:szCs w:val="16"/>
              </w:rPr>
              <w:t>)</w:t>
            </w: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2.92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0.12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2.94</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0.58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2.94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0.01</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2.92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-0.50</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2.87</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0.01</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3.00</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4.52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2.96</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2.91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-1.65</w:t>
            </w:r>
          </w:p>
        </w:tc>
      </w:tr>
      <w:tr w:rsidR="00001A4E" w:rsidRPr="002719B9" w:rsidTr="00001A4E">
        <w:tc>
          <w:tcPr>
            <w:tcW w:w="1418" w:type="dxa"/>
            <w:vMerge/>
            <w:tcBorders>
              <w:left w:val="nil"/>
              <w:right w:val="nil"/>
            </w:tcBorders>
          </w:tcPr>
          <w:p w:rsidR="00001A4E" w:rsidRPr="002719B9" w:rsidRDefault="00001A4E" w:rsidP="00001A4E">
            <w:pPr>
              <w:jc w:val="left"/>
              <w:rPr>
                <w:rFonts w:cs="Times New Roman"/>
                <w:sz w:val="16"/>
                <w:szCs w:val="16"/>
              </w:rPr>
            </w:pP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2.57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2.58</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0.11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2.59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0.01</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2.56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-0.84</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2.55</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0.01</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2.59</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1.56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2.59</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2.56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-1.07</w:t>
            </w:r>
          </w:p>
        </w:tc>
      </w:tr>
      <w:tr w:rsidR="00001A4E" w:rsidRPr="002719B9" w:rsidTr="00001A4E">
        <w:tc>
          <w:tcPr>
            <w:tcW w:w="1418" w:type="dxa"/>
            <w:vMerge/>
            <w:tcBorders>
              <w:left w:val="nil"/>
              <w:bottom w:val="nil"/>
              <w:right w:val="nil"/>
            </w:tcBorders>
          </w:tcPr>
          <w:p w:rsidR="00001A4E" w:rsidRPr="002719B9" w:rsidRDefault="00001A4E" w:rsidP="00001A4E">
            <w:pPr>
              <w:jc w:val="left"/>
              <w:rPr>
                <w:rFonts w:cs="Times New Roman"/>
                <w:sz w:val="16"/>
                <w:szCs w:val="16"/>
              </w:rPr>
            </w:pP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2.47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2.46</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-0.44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2.40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0.01</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2.53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5.36</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2.40</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0.01</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2.53</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5.27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2.50</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2.43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-2.91</w:t>
            </w:r>
          </w:p>
        </w:tc>
      </w:tr>
    </w:tbl>
    <w:p w:rsidR="00001A4E" w:rsidRDefault="00001A4E"/>
    <w:tbl>
      <w:tblPr>
        <w:tblStyle w:val="TableGrid"/>
        <w:tblpPr w:leftFromText="180" w:rightFromText="180" w:vertAnchor="page" w:horzAnchor="page" w:tblpX="568" w:tblpY="881"/>
        <w:tblW w:w="15877" w:type="dxa"/>
        <w:tblLayout w:type="fixed"/>
        <w:tblLook w:val="04A0" w:firstRow="1" w:lastRow="0" w:firstColumn="1" w:lastColumn="0" w:noHBand="0" w:noVBand="1"/>
      </w:tblPr>
      <w:tblGrid>
        <w:gridCol w:w="1418"/>
        <w:gridCol w:w="425"/>
        <w:gridCol w:w="709"/>
        <w:gridCol w:w="709"/>
        <w:gridCol w:w="709"/>
        <w:gridCol w:w="708"/>
        <w:gridCol w:w="709"/>
        <w:gridCol w:w="709"/>
        <w:gridCol w:w="709"/>
        <w:gridCol w:w="708"/>
        <w:gridCol w:w="709"/>
        <w:gridCol w:w="709"/>
        <w:gridCol w:w="681"/>
        <w:gridCol w:w="672"/>
        <w:gridCol w:w="692"/>
        <w:gridCol w:w="648"/>
        <w:gridCol w:w="709"/>
        <w:gridCol w:w="709"/>
        <w:gridCol w:w="708"/>
        <w:gridCol w:w="709"/>
        <w:gridCol w:w="709"/>
        <w:gridCol w:w="709"/>
      </w:tblGrid>
      <w:tr w:rsidR="00001A4E" w:rsidRPr="002719B9" w:rsidTr="00001A4E">
        <w:tc>
          <w:tcPr>
            <w:tcW w:w="1418" w:type="dxa"/>
            <w:tcBorders>
              <w:top w:val="single" w:sz="4" w:space="0" w:color="auto"/>
              <w:left w:val="nil"/>
              <w:bottom w:val="single" w:sz="4" w:space="0" w:color="auto"/>
              <w:right w:val="nil"/>
            </w:tcBorders>
          </w:tcPr>
          <w:p w:rsidR="00001A4E" w:rsidRPr="002719B9" w:rsidRDefault="00001A4E" w:rsidP="00001A4E">
            <w:pPr>
              <w:jc w:val="left"/>
              <w:rPr>
                <w:rFonts w:cs="Times New Roman"/>
                <w:sz w:val="16"/>
                <w:szCs w:val="16"/>
              </w:rPr>
            </w:pPr>
            <w:r w:rsidRPr="00001A4E">
              <w:rPr>
                <w:rFonts w:cs="Times New Roman"/>
                <w:b/>
                <w:sz w:val="16"/>
                <w:szCs w:val="16"/>
              </w:rPr>
              <w:lastRenderedPageBreak/>
              <w:t>Response</w:t>
            </w:r>
          </w:p>
        </w:tc>
        <w:tc>
          <w:tcPr>
            <w:tcW w:w="425" w:type="dxa"/>
            <w:tcBorders>
              <w:top w:val="single" w:sz="4" w:space="0" w:color="auto"/>
              <w:left w:val="nil"/>
              <w:bottom w:val="single" w:sz="4" w:space="0" w:color="auto"/>
              <w:right w:val="nil"/>
            </w:tcBorders>
          </w:tcPr>
          <w:p w:rsidR="00001A4E" w:rsidRPr="002719B9" w:rsidRDefault="00001A4E" w:rsidP="00001A4E">
            <w:pPr>
              <w:jc w:val="left"/>
              <w:rPr>
                <w:rFonts w:cs="Times New Roman"/>
                <w:sz w:val="16"/>
                <w:szCs w:val="16"/>
              </w:rPr>
            </w:pPr>
            <w:r w:rsidRPr="00001A4E">
              <w:rPr>
                <w:rFonts w:cs="Times New Roman"/>
                <w:b/>
                <w:sz w:val="16"/>
                <w:szCs w:val="16"/>
              </w:rPr>
              <w:t>Year</w:t>
            </w:r>
          </w:p>
        </w:tc>
        <w:tc>
          <w:tcPr>
            <w:tcW w:w="1418" w:type="dxa"/>
            <w:gridSpan w:val="2"/>
            <w:tcBorders>
              <w:top w:val="single" w:sz="4" w:space="0" w:color="auto"/>
              <w:left w:val="nil"/>
              <w:bottom w:val="single" w:sz="4" w:space="0" w:color="auto"/>
              <w:right w:val="nil"/>
            </w:tcBorders>
            <w:shd w:val="clear" w:color="auto" w:fill="auto"/>
          </w:tcPr>
          <w:p w:rsidR="00001A4E" w:rsidRPr="00001A4E" w:rsidRDefault="00001A4E" w:rsidP="00001A4E">
            <w:pPr>
              <w:jc w:val="left"/>
              <w:rPr>
                <w:rFonts w:cs="Times New Roman"/>
                <w:b/>
                <w:sz w:val="16"/>
                <w:szCs w:val="16"/>
              </w:rPr>
            </w:pPr>
            <w:r w:rsidRPr="00001A4E">
              <w:rPr>
                <w:rFonts w:cs="Times New Roman"/>
                <w:b/>
                <w:sz w:val="16"/>
                <w:szCs w:val="16"/>
              </w:rPr>
              <w:t>Mycorrhiza: None</w:t>
            </w:r>
          </w:p>
        </w:tc>
        <w:tc>
          <w:tcPr>
            <w:tcW w:w="1417" w:type="dxa"/>
            <w:gridSpan w:val="2"/>
            <w:tcBorders>
              <w:top w:val="single" w:sz="4" w:space="0" w:color="auto"/>
              <w:left w:val="nil"/>
              <w:bottom w:val="single" w:sz="4" w:space="0" w:color="auto"/>
              <w:right w:val="nil"/>
            </w:tcBorders>
            <w:shd w:val="clear" w:color="auto" w:fill="auto"/>
          </w:tcPr>
          <w:p w:rsidR="00001A4E" w:rsidRPr="00001A4E" w:rsidRDefault="00001A4E" w:rsidP="00001A4E">
            <w:pPr>
              <w:jc w:val="left"/>
              <w:rPr>
                <w:rFonts w:cs="Times New Roman"/>
                <w:b/>
                <w:sz w:val="16"/>
                <w:szCs w:val="16"/>
              </w:rPr>
            </w:pPr>
            <w:r w:rsidRPr="00001A4E">
              <w:rPr>
                <w:rFonts w:cs="Times New Roman"/>
                <w:b/>
                <w:sz w:val="16"/>
                <w:szCs w:val="16"/>
              </w:rPr>
              <w:t>Mycorrhiza: Inoculated</w:t>
            </w:r>
          </w:p>
        </w:tc>
        <w:tc>
          <w:tcPr>
            <w:tcW w:w="709" w:type="dxa"/>
            <w:tcBorders>
              <w:top w:val="single" w:sz="4" w:space="0" w:color="auto"/>
              <w:left w:val="nil"/>
              <w:bottom w:val="single" w:sz="4" w:space="0" w:color="auto"/>
              <w:right w:val="nil"/>
            </w:tcBorders>
            <w:shd w:val="clear" w:color="auto" w:fill="auto"/>
          </w:tcPr>
          <w:p w:rsidR="00001A4E" w:rsidRPr="00001A4E" w:rsidRDefault="00001A4E" w:rsidP="00001A4E">
            <w:pPr>
              <w:jc w:val="left"/>
              <w:rPr>
                <w:rFonts w:cs="Times New Roman"/>
                <w:b/>
                <w:sz w:val="16"/>
                <w:szCs w:val="16"/>
              </w:rPr>
            </w:pPr>
          </w:p>
        </w:tc>
        <w:tc>
          <w:tcPr>
            <w:tcW w:w="1418" w:type="dxa"/>
            <w:gridSpan w:val="2"/>
            <w:tcBorders>
              <w:top w:val="single" w:sz="4" w:space="0" w:color="auto"/>
              <w:left w:val="nil"/>
              <w:bottom w:val="single" w:sz="4" w:space="0" w:color="auto"/>
              <w:right w:val="nil"/>
            </w:tcBorders>
            <w:shd w:val="clear" w:color="auto" w:fill="auto"/>
          </w:tcPr>
          <w:p w:rsidR="00001A4E" w:rsidRPr="00001A4E" w:rsidRDefault="00001A4E" w:rsidP="00001A4E">
            <w:pPr>
              <w:jc w:val="left"/>
              <w:rPr>
                <w:rFonts w:cs="Times New Roman"/>
                <w:b/>
                <w:sz w:val="16"/>
                <w:szCs w:val="16"/>
              </w:rPr>
            </w:pPr>
            <w:r w:rsidRPr="00001A4E">
              <w:rPr>
                <w:rFonts w:cs="Times New Roman"/>
                <w:b/>
                <w:sz w:val="16"/>
                <w:szCs w:val="16"/>
              </w:rPr>
              <w:t>Nutrient: Low</w:t>
            </w:r>
          </w:p>
        </w:tc>
        <w:tc>
          <w:tcPr>
            <w:tcW w:w="1417" w:type="dxa"/>
            <w:gridSpan w:val="2"/>
            <w:tcBorders>
              <w:top w:val="single" w:sz="4" w:space="0" w:color="auto"/>
              <w:left w:val="nil"/>
              <w:bottom w:val="single" w:sz="4" w:space="0" w:color="auto"/>
              <w:right w:val="nil"/>
            </w:tcBorders>
            <w:shd w:val="clear" w:color="auto" w:fill="auto"/>
          </w:tcPr>
          <w:p w:rsidR="00001A4E" w:rsidRPr="00001A4E" w:rsidRDefault="00001A4E" w:rsidP="00001A4E">
            <w:pPr>
              <w:jc w:val="left"/>
              <w:rPr>
                <w:rFonts w:cs="Times New Roman"/>
                <w:b/>
                <w:sz w:val="16"/>
                <w:szCs w:val="16"/>
              </w:rPr>
            </w:pPr>
            <w:r w:rsidRPr="00001A4E">
              <w:rPr>
                <w:rFonts w:cs="Times New Roman"/>
                <w:b/>
                <w:sz w:val="16"/>
                <w:szCs w:val="16"/>
              </w:rPr>
              <w:t>Nutrient: High</w:t>
            </w:r>
          </w:p>
        </w:tc>
        <w:tc>
          <w:tcPr>
            <w:tcW w:w="709" w:type="dxa"/>
            <w:tcBorders>
              <w:top w:val="single" w:sz="4" w:space="0" w:color="auto"/>
              <w:left w:val="nil"/>
              <w:bottom w:val="single" w:sz="4" w:space="0" w:color="auto"/>
              <w:right w:val="nil"/>
            </w:tcBorders>
            <w:shd w:val="clear" w:color="auto" w:fill="auto"/>
          </w:tcPr>
          <w:p w:rsidR="00001A4E" w:rsidRPr="00001A4E" w:rsidRDefault="00001A4E" w:rsidP="00001A4E">
            <w:pPr>
              <w:jc w:val="left"/>
              <w:rPr>
                <w:rFonts w:cs="Times New Roman"/>
                <w:b/>
                <w:sz w:val="16"/>
                <w:szCs w:val="16"/>
              </w:rPr>
            </w:pPr>
          </w:p>
        </w:tc>
        <w:tc>
          <w:tcPr>
            <w:tcW w:w="1353" w:type="dxa"/>
            <w:gridSpan w:val="2"/>
            <w:tcBorders>
              <w:top w:val="single" w:sz="4" w:space="0" w:color="auto"/>
              <w:left w:val="nil"/>
              <w:bottom w:val="single" w:sz="4" w:space="0" w:color="auto"/>
              <w:right w:val="nil"/>
            </w:tcBorders>
            <w:shd w:val="clear" w:color="auto" w:fill="auto"/>
          </w:tcPr>
          <w:p w:rsidR="00001A4E" w:rsidRPr="00001A4E" w:rsidRDefault="00001A4E" w:rsidP="00001A4E">
            <w:pPr>
              <w:jc w:val="left"/>
              <w:rPr>
                <w:rFonts w:cs="Times New Roman"/>
                <w:b/>
                <w:sz w:val="16"/>
                <w:szCs w:val="16"/>
              </w:rPr>
            </w:pPr>
            <w:r w:rsidRPr="00001A4E">
              <w:rPr>
                <w:rFonts w:cs="Times New Roman"/>
                <w:b/>
                <w:sz w:val="16"/>
                <w:szCs w:val="16"/>
              </w:rPr>
              <w:t>Scion: Dabinett</w:t>
            </w:r>
          </w:p>
        </w:tc>
        <w:tc>
          <w:tcPr>
            <w:tcW w:w="1340" w:type="dxa"/>
            <w:gridSpan w:val="2"/>
            <w:tcBorders>
              <w:top w:val="single" w:sz="4" w:space="0" w:color="auto"/>
              <w:left w:val="nil"/>
              <w:bottom w:val="single" w:sz="4" w:space="0" w:color="auto"/>
              <w:right w:val="nil"/>
            </w:tcBorders>
            <w:shd w:val="clear" w:color="auto" w:fill="auto"/>
          </w:tcPr>
          <w:p w:rsidR="00001A4E" w:rsidRPr="00001A4E" w:rsidRDefault="00001A4E" w:rsidP="00001A4E">
            <w:pPr>
              <w:jc w:val="left"/>
              <w:rPr>
                <w:rFonts w:cs="Times New Roman"/>
                <w:b/>
                <w:sz w:val="16"/>
                <w:szCs w:val="16"/>
              </w:rPr>
            </w:pPr>
            <w:r w:rsidRPr="00001A4E">
              <w:rPr>
                <w:rFonts w:cs="Times New Roman"/>
                <w:b/>
                <w:sz w:val="16"/>
                <w:szCs w:val="16"/>
              </w:rPr>
              <w:t>Scion Michelin</w:t>
            </w:r>
          </w:p>
        </w:tc>
        <w:tc>
          <w:tcPr>
            <w:tcW w:w="709" w:type="dxa"/>
            <w:tcBorders>
              <w:top w:val="single" w:sz="4" w:space="0" w:color="auto"/>
              <w:left w:val="nil"/>
              <w:bottom w:val="single" w:sz="4" w:space="0" w:color="auto"/>
              <w:right w:val="nil"/>
            </w:tcBorders>
            <w:shd w:val="clear" w:color="auto" w:fill="auto"/>
          </w:tcPr>
          <w:p w:rsidR="00001A4E" w:rsidRPr="00001A4E" w:rsidRDefault="00001A4E" w:rsidP="00001A4E">
            <w:pPr>
              <w:jc w:val="left"/>
              <w:rPr>
                <w:rFonts w:cs="Times New Roman"/>
                <w:b/>
                <w:sz w:val="16"/>
                <w:szCs w:val="16"/>
              </w:rPr>
            </w:pPr>
          </w:p>
        </w:tc>
        <w:tc>
          <w:tcPr>
            <w:tcW w:w="1417" w:type="dxa"/>
            <w:gridSpan w:val="2"/>
            <w:tcBorders>
              <w:top w:val="single" w:sz="4" w:space="0" w:color="auto"/>
              <w:left w:val="nil"/>
              <w:bottom w:val="single" w:sz="4" w:space="0" w:color="auto"/>
              <w:right w:val="nil"/>
            </w:tcBorders>
            <w:shd w:val="clear" w:color="auto" w:fill="auto"/>
          </w:tcPr>
          <w:p w:rsidR="00001A4E" w:rsidRPr="00001A4E" w:rsidRDefault="00001A4E" w:rsidP="00001A4E">
            <w:pPr>
              <w:jc w:val="left"/>
              <w:rPr>
                <w:rFonts w:cs="Times New Roman"/>
                <w:b/>
                <w:sz w:val="16"/>
                <w:szCs w:val="16"/>
              </w:rPr>
            </w:pPr>
            <w:r w:rsidRPr="00001A4E">
              <w:rPr>
                <w:rFonts w:cs="Times New Roman"/>
                <w:b/>
                <w:sz w:val="16"/>
                <w:szCs w:val="16"/>
              </w:rPr>
              <w:t>Rootstock: MM106</w:t>
            </w:r>
          </w:p>
        </w:tc>
        <w:tc>
          <w:tcPr>
            <w:tcW w:w="1418" w:type="dxa"/>
            <w:gridSpan w:val="2"/>
            <w:tcBorders>
              <w:top w:val="single" w:sz="4" w:space="0" w:color="auto"/>
              <w:left w:val="nil"/>
              <w:bottom w:val="single" w:sz="4" w:space="0" w:color="auto"/>
              <w:right w:val="nil"/>
            </w:tcBorders>
            <w:shd w:val="clear" w:color="auto" w:fill="auto"/>
          </w:tcPr>
          <w:p w:rsidR="00001A4E" w:rsidRPr="00001A4E" w:rsidRDefault="00001A4E" w:rsidP="00001A4E">
            <w:pPr>
              <w:jc w:val="left"/>
              <w:rPr>
                <w:rFonts w:cs="Times New Roman"/>
                <w:b/>
                <w:sz w:val="16"/>
                <w:szCs w:val="16"/>
              </w:rPr>
            </w:pPr>
            <w:r w:rsidRPr="00001A4E">
              <w:rPr>
                <w:rFonts w:cs="Times New Roman"/>
                <w:b/>
                <w:sz w:val="16"/>
                <w:szCs w:val="16"/>
              </w:rPr>
              <w:t>Rootstock: MM111</w:t>
            </w:r>
          </w:p>
        </w:tc>
        <w:tc>
          <w:tcPr>
            <w:tcW w:w="709"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p>
        </w:tc>
      </w:tr>
      <w:tr w:rsidR="00001A4E" w:rsidRPr="002719B9" w:rsidTr="00001A4E">
        <w:tc>
          <w:tcPr>
            <w:tcW w:w="1418" w:type="dxa"/>
            <w:tcBorders>
              <w:top w:val="single" w:sz="4" w:space="0" w:color="auto"/>
              <w:left w:val="nil"/>
              <w:bottom w:val="single" w:sz="4" w:space="0" w:color="auto"/>
              <w:right w:val="nil"/>
            </w:tcBorders>
          </w:tcPr>
          <w:p w:rsidR="00001A4E" w:rsidRPr="002719B9" w:rsidRDefault="00001A4E" w:rsidP="00001A4E">
            <w:pPr>
              <w:jc w:val="left"/>
              <w:rPr>
                <w:rFonts w:cs="Times New Roman"/>
                <w:sz w:val="16"/>
                <w:szCs w:val="16"/>
              </w:rPr>
            </w:pPr>
          </w:p>
        </w:tc>
        <w:tc>
          <w:tcPr>
            <w:tcW w:w="425" w:type="dxa"/>
            <w:tcBorders>
              <w:top w:val="single" w:sz="4" w:space="0" w:color="auto"/>
              <w:left w:val="nil"/>
              <w:bottom w:val="single" w:sz="4" w:space="0" w:color="auto"/>
              <w:right w:val="nil"/>
            </w:tcBorders>
          </w:tcPr>
          <w:p w:rsidR="00001A4E" w:rsidRPr="002719B9" w:rsidRDefault="00001A4E" w:rsidP="00001A4E">
            <w:pPr>
              <w:jc w:val="left"/>
              <w:rPr>
                <w:rFonts w:cs="Times New Roman"/>
                <w:sz w:val="16"/>
                <w:szCs w:val="16"/>
              </w:rPr>
            </w:pPr>
          </w:p>
        </w:tc>
        <w:tc>
          <w:tcPr>
            <w:tcW w:w="709"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Mean</w:t>
            </w:r>
          </w:p>
        </w:tc>
        <w:tc>
          <w:tcPr>
            <w:tcW w:w="709"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SE</w:t>
            </w:r>
          </w:p>
        </w:tc>
        <w:tc>
          <w:tcPr>
            <w:tcW w:w="709"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Mean</w:t>
            </w:r>
          </w:p>
        </w:tc>
        <w:tc>
          <w:tcPr>
            <w:tcW w:w="708"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SE</w:t>
            </w:r>
          </w:p>
        </w:tc>
        <w:tc>
          <w:tcPr>
            <w:tcW w:w="709"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 change</w:t>
            </w:r>
          </w:p>
        </w:tc>
        <w:tc>
          <w:tcPr>
            <w:tcW w:w="709"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Mean</w:t>
            </w:r>
          </w:p>
        </w:tc>
        <w:tc>
          <w:tcPr>
            <w:tcW w:w="709"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SE</w:t>
            </w:r>
          </w:p>
        </w:tc>
        <w:tc>
          <w:tcPr>
            <w:tcW w:w="708"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Mean</w:t>
            </w:r>
          </w:p>
        </w:tc>
        <w:tc>
          <w:tcPr>
            <w:tcW w:w="709"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SE</w:t>
            </w:r>
          </w:p>
        </w:tc>
        <w:tc>
          <w:tcPr>
            <w:tcW w:w="709"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 change</w:t>
            </w:r>
          </w:p>
        </w:tc>
        <w:tc>
          <w:tcPr>
            <w:tcW w:w="681"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Mean</w:t>
            </w:r>
          </w:p>
        </w:tc>
        <w:tc>
          <w:tcPr>
            <w:tcW w:w="672"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SE</w:t>
            </w:r>
          </w:p>
        </w:tc>
        <w:tc>
          <w:tcPr>
            <w:tcW w:w="692"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Mean</w:t>
            </w:r>
          </w:p>
        </w:tc>
        <w:tc>
          <w:tcPr>
            <w:tcW w:w="648"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SE</w:t>
            </w:r>
          </w:p>
        </w:tc>
        <w:tc>
          <w:tcPr>
            <w:tcW w:w="709"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 change</w:t>
            </w:r>
          </w:p>
        </w:tc>
        <w:tc>
          <w:tcPr>
            <w:tcW w:w="709"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Mean</w:t>
            </w:r>
          </w:p>
        </w:tc>
        <w:tc>
          <w:tcPr>
            <w:tcW w:w="708"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SE</w:t>
            </w:r>
          </w:p>
        </w:tc>
        <w:tc>
          <w:tcPr>
            <w:tcW w:w="709"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Mean</w:t>
            </w:r>
          </w:p>
        </w:tc>
        <w:tc>
          <w:tcPr>
            <w:tcW w:w="709"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SE</w:t>
            </w:r>
          </w:p>
        </w:tc>
        <w:tc>
          <w:tcPr>
            <w:tcW w:w="709" w:type="dxa"/>
            <w:tcBorders>
              <w:top w:val="single" w:sz="4" w:space="0" w:color="auto"/>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 change</w:t>
            </w:r>
          </w:p>
        </w:tc>
      </w:tr>
      <w:tr w:rsidR="00001A4E" w:rsidRPr="002719B9" w:rsidTr="00001A4E">
        <w:tc>
          <w:tcPr>
            <w:tcW w:w="1418" w:type="dxa"/>
            <w:vMerge w:val="restart"/>
            <w:tcBorders>
              <w:top w:val="single" w:sz="4" w:space="0" w:color="auto"/>
              <w:left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Tree height (cm)</w:t>
            </w:r>
          </w:p>
        </w:tc>
        <w:tc>
          <w:tcPr>
            <w:tcW w:w="425" w:type="dxa"/>
            <w:tcBorders>
              <w:top w:val="single" w:sz="4" w:space="0" w:color="auto"/>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1</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196.20</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1.42</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193.70</w:t>
            </w:r>
          </w:p>
        </w:tc>
        <w:tc>
          <w:tcPr>
            <w:tcW w:w="708"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1.69</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-1.29</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195.90</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1.53</w:t>
            </w:r>
          </w:p>
        </w:tc>
        <w:tc>
          <w:tcPr>
            <w:tcW w:w="708"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194.00</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1.60</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-0.96</w:t>
            </w:r>
          </w:p>
        </w:tc>
        <w:tc>
          <w:tcPr>
            <w:tcW w:w="681"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187.30</w:t>
            </w:r>
          </w:p>
        </w:tc>
        <w:tc>
          <w:tcPr>
            <w:tcW w:w="672"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1.28</w:t>
            </w:r>
          </w:p>
        </w:tc>
        <w:tc>
          <w:tcPr>
            <w:tcW w:w="692"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202.60</w:t>
            </w:r>
          </w:p>
        </w:tc>
        <w:tc>
          <w:tcPr>
            <w:tcW w:w="648"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1.34</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8.16</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192.80</w:t>
            </w:r>
          </w:p>
        </w:tc>
        <w:tc>
          <w:tcPr>
            <w:tcW w:w="708"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1.42</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197.10</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1.67</w:t>
            </w:r>
          </w:p>
        </w:tc>
        <w:tc>
          <w:tcPr>
            <w:tcW w:w="709" w:type="dxa"/>
            <w:tcBorders>
              <w:top w:val="single" w:sz="4" w:space="0" w:color="auto"/>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2.23</w:t>
            </w:r>
          </w:p>
        </w:tc>
      </w:tr>
      <w:tr w:rsidR="00001A4E" w:rsidRPr="002719B9" w:rsidTr="00001A4E">
        <w:tc>
          <w:tcPr>
            <w:tcW w:w="1418" w:type="dxa"/>
            <w:vMerge/>
            <w:tcBorders>
              <w:left w:val="nil"/>
              <w:right w:val="nil"/>
            </w:tcBorders>
          </w:tcPr>
          <w:p w:rsidR="00001A4E" w:rsidRPr="002719B9" w:rsidRDefault="00001A4E" w:rsidP="00001A4E">
            <w:pPr>
              <w:jc w:val="left"/>
              <w:rPr>
                <w:rFonts w:cs="Times New Roman"/>
                <w:sz w:val="16"/>
                <w:szCs w:val="16"/>
              </w:rPr>
            </w:pP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179.10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4.26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193.70</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4.36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8.15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188.50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4.34</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184.40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4.42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-2.17</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176.50</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4.07</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196.40</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4.41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11.27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196.60</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4.60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179.30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-10.32</w:t>
            </w:r>
          </w:p>
        </w:tc>
      </w:tr>
      <w:tr w:rsidR="00001A4E" w:rsidRPr="002719B9" w:rsidTr="00001A4E">
        <w:tc>
          <w:tcPr>
            <w:tcW w:w="1418" w:type="dxa"/>
            <w:vMerge/>
            <w:tcBorders>
              <w:left w:val="nil"/>
              <w:bottom w:val="nil"/>
              <w:right w:val="nil"/>
            </w:tcBorders>
          </w:tcPr>
          <w:p w:rsidR="00001A4E" w:rsidRPr="002719B9" w:rsidRDefault="00001A4E" w:rsidP="00001A4E">
            <w:pPr>
              <w:jc w:val="left"/>
              <w:rPr>
                <w:rFonts w:cs="Times New Roman"/>
                <w:sz w:val="16"/>
                <w:szCs w:val="16"/>
              </w:rPr>
            </w:pP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171.10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3.38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174.50</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3.92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1.98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174.10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3.86</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171.55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3.45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-1.49</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156.40</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3.03</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189.20</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3.30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20.97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183.40</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3.70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162.50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3.22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-11.39</w:t>
            </w:r>
          </w:p>
        </w:tc>
      </w:tr>
      <w:tr w:rsidR="00001A4E" w:rsidRPr="002719B9" w:rsidTr="00001A4E">
        <w:tc>
          <w:tcPr>
            <w:tcW w:w="1418" w:type="dxa"/>
            <w:vMerge w:val="restart"/>
            <w:tcBorders>
              <w:top w:val="nil"/>
              <w:left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Trunk diameter (cm)</w:t>
            </w: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1.86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1.85</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-0.26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1.84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0.03</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1.87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2.00</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1.79</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0.01</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1.92</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7.64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1.86</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1.85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-0.69</w:t>
            </w:r>
          </w:p>
        </w:tc>
      </w:tr>
      <w:tr w:rsidR="00001A4E" w:rsidRPr="002719B9" w:rsidTr="00001A4E">
        <w:tc>
          <w:tcPr>
            <w:tcW w:w="1418" w:type="dxa"/>
            <w:vMerge/>
            <w:tcBorders>
              <w:left w:val="nil"/>
              <w:right w:val="nil"/>
            </w:tcBorders>
          </w:tcPr>
          <w:p w:rsidR="00001A4E" w:rsidRPr="002719B9" w:rsidRDefault="00001A4E" w:rsidP="00001A4E">
            <w:pPr>
              <w:jc w:val="left"/>
              <w:rPr>
                <w:rFonts w:cs="Times New Roman"/>
                <w:sz w:val="16"/>
                <w:szCs w:val="16"/>
              </w:rPr>
            </w:pP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2.30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2.31</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0.12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2.29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0.03</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2.32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1.00</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2.19</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0.01</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2.42</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10.47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2.23</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2.39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7.17</w:t>
            </w:r>
          </w:p>
        </w:tc>
      </w:tr>
      <w:tr w:rsidR="00001A4E" w:rsidRPr="002719B9" w:rsidTr="00001A4E">
        <w:tc>
          <w:tcPr>
            <w:tcW w:w="1418" w:type="dxa"/>
            <w:vMerge/>
            <w:tcBorders>
              <w:left w:val="nil"/>
              <w:bottom w:val="nil"/>
              <w:right w:val="nil"/>
            </w:tcBorders>
          </w:tcPr>
          <w:p w:rsidR="00001A4E" w:rsidRPr="002719B9" w:rsidRDefault="00001A4E" w:rsidP="00001A4E">
            <w:pPr>
              <w:jc w:val="left"/>
              <w:rPr>
                <w:rFonts w:cs="Times New Roman"/>
                <w:sz w:val="16"/>
                <w:szCs w:val="16"/>
              </w:rPr>
            </w:pP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2.59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2.58</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-0.57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2.56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0.02</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2.60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1.55</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2.49</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0.01</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2.67</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7.12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2.51</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2.66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0.02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5.97</w:t>
            </w:r>
          </w:p>
        </w:tc>
      </w:tr>
      <w:tr w:rsidR="00001A4E" w:rsidRPr="002719B9" w:rsidTr="00001A4E">
        <w:tc>
          <w:tcPr>
            <w:tcW w:w="1418" w:type="dxa"/>
            <w:tcBorders>
              <w:top w:val="nil"/>
              <w:left w:val="nil"/>
              <w:bottom w:val="nil"/>
              <w:right w:val="nil"/>
            </w:tcBorders>
          </w:tcPr>
          <w:p w:rsidR="00001A4E" w:rsidRPr="002719B9" w:rsidRDefault="00001A4E" w:rsidP="00001A4E">
            <w:pPr>
              <w:jc w:val="left"/>
              <w:rPr>
                <w:rFonts w:cs="Times New Roman"/>
                <w:sz w:val="16"/>
                <w:szCs w:val="16"/>
                <w:highlight w:val="red"/>
              </w:rPr>
            </w:pPr>
            <w:r w:rsidRPr="002719B9">
              <w:rPr>
                <w:rFonts w:cs="Times New Roman"/>
                <w:sz w:val="16"/>
                <w:szCs w:val="16"/>
              </w:rPr>
              <w:t>Root length(cm)</w:t>
            </w:r>
            <w:r w:rsidRPr="002719B9">
              <w:rPr>
                <w:rFonts w:cs="Times New Roman"/>
                <w:sz w:val="16"/>
                <w:szCs w:val="16"/>
                <w:vertAlign w:val="superscript"/>
              </w:rPr>
              <w:t>a</w:t>
            </w: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119.60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7.28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96.47</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5.71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-19.33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106.0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6.28</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110.1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7.04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3.86</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97.21</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6.69</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118.9</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6.43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22.31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110.0</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6.81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106.1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6.25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-3.64</w:t>
            </w:r>
          </w:p>
        </w:tc>
      </w:tr>
      <w:tr w:rsidR="00001A4E" w:rsidRPr="002719B9" w:rsidTr="00001A4E">
        <w:tc>
          <w:tcPr>
            <w:tcW w:w="1418"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Fruit biomass (g)</w:t>
            </w: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133.66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23.13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85.59</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15.68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-35.00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113.95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22.03</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105.30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17.60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-7.59</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88.04</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23.20</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31.21</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10.08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-83.40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152.58</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23.30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66.68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14.36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-56.29</w:t>
            </w:r>
          </w:p>
        </w:tc>
      </w:tr>
      <w:tr w:rsidR="00001A4E" w:rsidRPr="002719B9" w:rsidTr="00001A4E">
        <w:tc>
          <w:tcPr>
            <w:tcW w:w="1418"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Fruit number</w:t>
            </w: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1.80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0.31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1.28</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0.22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-28.88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1.56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0.28</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1.52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0.25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-2.56</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2.56</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0.29</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0.52</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0.18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-79.60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2.02</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0.30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1.06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0.23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-47.50</w:t>
            </w:r>
          </w:p>
        </w:tc>
      </w:tr>
      <w:tr w:rsidR="00001A4E" w:rsidRPr="002719B9" w:rsidTr="00001A4E">
        <w:tc>
          <w:tcPr>
            <w:tcW w:w="1418"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Flower number</w:t>
            </w: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32.55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5.49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33.88</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5.47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 xml:space="preserve"> 4.08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26.07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4.46</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40.36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6.24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54.81</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51.72</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6.06</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14.71</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3.84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-71.55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54.12</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6.27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12.31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3.11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-77.25</w:t>
            </w:r>
          </w:p>
        </w:tc>
      </w:tr>
      <w:tr w:rsidR="00001A4E" w:rsidRPr="002719B9" w:rsidTr="00001A4E">
        <w:tc>
          <w:tcPr>
            <w:tcW w:w="1418" w:type="dxa"/>
            <w:tcBorders>
              <w:top w:val="nil"/>
              <w:left w:val="nil"/>
              <w:bottom w:val="nil"/>
              <w:right w:val="nil"/>
            </w:tcBorders>
          </w:tcPr>
          <w:p w:rsidR="00001A4E" w:rsidRPr="002719B9" w:rsidRDefault="00001A4E" w:rsidP="00001A4E">
            <w:pPr>
              <w:jc w:val="left"/>
              <w:rPr>
                <w:rFonts w:cs="Times New Roman"/>
                <w:sz w:val="16"/>
                <w:szCs w:val="16"/>
              </w:rPr>
            </w:pP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7.75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1.73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13.23</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2.45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70.70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10.47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2.11</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10.51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2.17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0.38</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11.85</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2.13</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9.13</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2.14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-22.95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15.51</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2.60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5.47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1.33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-64.73</w:t>
            </w:r>
          </w:p>
        </w:tc>
      </w:tr>
      <w:tr w:rsidR="00001A4E" w:rsidRPr="002719B9" w:rsidTr="00001A4E">
        <w:tc>
          <w:tcPr>
            <w:tcW w:w="1418" w:type="dxa"/>
            <w:tcBorders>
              <w:top w:val="nil"/>
              <w:left w:val="nil"/>
              <w:bottom w:val="nil"/>
              <w:right w:val="nil"/>
            </w:tcBorders>
          </w:tcPr>
          <w:p w:rsidR="00001A4E" w:rsidRPr="002719B9" w:rsidRDefault="00001A4E" w:rsidP="00001A4E">
            <w:pPr>
              <w:jc w:val="left"/>
              <w:rPr>
                <w:rFonts w:cs="Times New Roman"/>
                <w:sz w:val="16"/>
                <w:szCs w:val="16"/>
              </w:rPr>
            </w:pPr>
            <w:r>
              <w:rPr>
                <w:rFonts w:cs="Times New Roman"/>
                <w:sz w:val="16"/>
                <w:szCs w:val="16"/>
              </w:rPr>
              <w:t xml:space="preserve">Total dry shoot </w:t>
            </w:r>
            <w:r w:rsidRPr="002719B9">
              <w:rPr>
                <w:rFonts w:cs="Times New Roman"/>
                <w:sz w:val="16"/>
                <w:szCs w:val="16"/>
              </w:rPr>
              <w:t>biomass (g)</w:t>
            </w: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526.83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22.23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501.89</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23.55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-4.73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516.73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23.66</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512.00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22.41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-0.91</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496.37</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19.63</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532.36</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25.47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7.25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553.24</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22.49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475.49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20.62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-14.05</w:t>
            </w:r>
          </w:p>
        </w:tc>
      </w:tr>
      <w:tr w:rsidR="00001A4E" w:rsidRPr="002719B9" w:rsidTr="00001A4E">
        <w:tc>
          <w:tcPr>
            <w:tcW w:w="1418" w:type="dxa"/>
            <w:tcBorders>
              <w:top w:val="nil"/>
              <w:left w:val="nil"/>
              <w:bottom w:val="nil"/>
              <w:right w:val="nil"/>
            </w:tcBorders>
          </w:tcPr>
          <w:p w:rsidR="00001A4E" w:rsidRPr="002719B9" w:rsidRDefault="00001A4E" w:rsidP="00001A4E">
            <w:pPr>
              <w:jc w:val="left"/>
              <w:rPr>
                <w:rFonts w:cs="Times New Roman"/>
                <w:sz w:val="16"/>
                <w:szCs w:val="16"/>
              </w:rPr>
            </w:pPr>
            <w:r>
              <w:rPr>
                <w:rFonts w:cs="Times New Roman"/>
                <w:sz w:val="16"/>
                <w:szCs w:val="16"/>
              </w:rPr>
              <w:t xml:space="preserve">Total dry root </w:t>
            </w:r>
            <w:r w:rsidRPr="002719B9">
              <w:rPr>
                <w:rFonts w:cs="Times New Roman"/>
                <w:sz w:val="16"/>
                <w:szCs w:val="16"/>
              </w:rPr>
              <w:t>biomass (g)</w:t>
            </w: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323.75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20.11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302.91</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20.58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-6.43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342.08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20.99</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284.58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18.03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-16.80</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283.33</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14.76</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343.33</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23.27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21.17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354.58</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18.32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272.08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18.81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-23.26</w:t>
            </w:r>
          </w:p>
        </w:tc>
      </w:tr>
      <w:tr w:rsidR="00001A4E" w:rsidRPr="002719B9" w:rsidTr="00001A4E">
        <w:tc>
          <w:tcPr>
            <w:tcW w:w="1418"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Pathogen infection (cm)</w:t>
            </w:r>
          </w:p>
        </w:tc>
        <w:tc>
          <w:tcPr>
            <w:tcW w:w="425" w:type="dxa"/>
            <w:tcBorders>
              <w:top w:val="nil"/>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rPr>
              <w:t>2&amp;3</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570.11</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26.09</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465.50</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25.02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-18.34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505.76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26.86</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529.85</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25.52</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4.76</w:t>
            </w:r>
          </w:p>
        </w:tc>
        <w:tc>
          <w:tcPr>
            <w:tcW w:w="681"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600.85</w:t>
            </w:r>
          </w:p>
        </w:tc>
        <w:tc>
          <w:tcPr>
            <w:tcW w:w="67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23.03</w:t>
            </w:r>
          </w:p>
        </w:tc>
        <w:tc>
          <w:tcPr>
            <w:tcW w:w="692"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434.76</w:t>
            </w:r>
          </w:p>
        </w:tc>
        <w:tc>
          <w:tcPr>
            <w:tcW w:w="64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25.90</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-27.64</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456.73</w:t>
            </w:r>
          </w:p>
        </w:tc>
        <w:tc>
          <w:tcPr>
            <w:tcW w:w="708"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27.36</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578.87</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23.08</w:t>
            </w:r>
          </w:p>
        </w:tc>
        <w:tc>
          <w:tcPr>
            <w:tcW w:w="709" w:type="dxa"/>
            <w:tcBorders>
              <w:top w:val="nil"/>
              <w:left w:val="nil"/>
              <w:bottom w:val="nil"/>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26.74</w:t>
            </w:r>
          </w:p>
        </w:tc>
      </w:tr>
      <w:tr w:rsidR="00001A4E" w:rsidRPr="002719B9" w:rsidTr="00001A4E">
        <w:tc>
          <w:tcPr>
            <w:tcW w:w="1418" w:type="dxa"/>
            <w:tcBorders>
              <w:top w:val="nil"/>
              <w:left w:val="nil"/>
              <w:bottom w:val="single" w:sz="4" w:space="0" w:color="auto"/>
              <w:right w:val="nil"/>
            </w:tcBorders>
          </w:tcPr>
          <w:p w:rsidR="00001A4E" w:rsidRPr="002719B9" w:rsidRDefault="00001A4E" w:rsidP="00001A4E">
            <w:pPr>
              <w:jc w:val="left"/>
              <w:rPr>
                <w:rFonts w:cs="Times New Roman"/>
                <w:sz w:val="16"/>
                <w:szCs w:val="16"/>
              </w:rPr>
            </w:pPr>
            <w:r w:rsidRPr="002719B9">
              <w:rPr>
                <w:rFonts w:cs="Times New Roman"/>
                <w:sz w:val="16"/>
                <w:szCs w:val="16"/>
              </w:rPr>
              <w:t>AMF colonisation (%)</w:t>
            </w:r>
          </w:p>
        </w:tc>
        <w:tc>
          <w:tcPr>
            <w:tcW w:w="425" w:type="dxa"/>
            <w:tcBorders>
              <w:top w:val="nil"/>
              <w:left w:val="nil"/>
              <w:bottom w:val="single" w:sz="4" w:space="0" w:color="auto"/>
              <w:right w:val="nil"/>
            </w:tcBorders>
          </w:tcPr>
          <w:p w:rsidR="00001A4E" w:rsidRPr="002719B9" w:rsidRDefault="00001A4E" w:rsidP="00001A4E">
            <w:pPr>
              <w:jc w:val="left"/>
              <w:rPr>
                <w:rFonts w:cs="Times New Roman"/>
                <w:sz w:val="16"/>
                <w:szCs w:val="16"/>
              </w:rPr>
            </w:pPr>
            <w:r w:rsidRPr="002719B9">
              <w:rPr>
                <w:rFonts w:cs="Times New Roman"/>
                <w:sz w:val="16"/>
                <w:szCs w:val="16"/>
              </w:rPr>
              <w:t>3</w:t>
            </w:r>
          </w:p>
        </w:tc>
        <w:tc>
          <w:tcPr>
            <w:tcW w:w="709"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0.00</w:t>
            </w:r>
          </w:p>
        </w:tc>
        <w:tc>
          <w:tcPr>
            <w:tcW w:w="709"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0.00</w:t>
            </w:r>
          </w:p>
        </w:tc>
        <w:tc>
          <w:tcPr>
            <w:tcW w:w="709"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31.02</w:t>
            </w:r>
          </w:p>
        </w:tc>
        <w:tc>
          <w:tcPr>
            <w:tcW w:w="708"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1.39</w:t>
            </w:r>
          </w:p>
        </w:tc>
        <w:tc>
          <w:tcPr>
            <w:tcW w:w="709"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31.02</w:t>
            </w:r>
          </w:p>
        </w:tc>
        <w:tc>
          <w:tcPr>
            <w:tcW w:w="709"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42.30</w:t>
            </w:r>
          </w:p>
        </w:tc>
        <w:tc>
          <w:tcPr>
            <w:tcW w:w="709"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0.88</w:t>
            </w:r>
          </w:p>
        </w:tc>
        <w:tc>
          <w:tcPr>
            <w:tcW w:w="708"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19.73</w:t>
            </w:r>
          </w:p>
        </w:tc>
        <w:tc>
          <w:tcPr>
            <w:tcW w:w="709"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b/>
                <w:sz w:val="16"/>
                <w:szCs w:val="16"/>
              </w:rPr>
              <w:t>0.71</w:t>
            </w:r>
          </w:p>
        </w:tc>
        <w:tc>
          <w:tcPr>
            <w:tcW w:w="709"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-53.36</w:t>
            </w:r>
          </w:p>
        </w:tc>
        <w:tc>
          <w:tcPr>
            <w:tcW w:w="681"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29.73</w:t>
            </w:r>
          </w:p>
        </w:tc>
        <w:tc>
          <w:tcPr>
            <w:tcW w:w="672"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1.89</w:t>
            </w:r>
          </w:p>
        </w:tc>
        <w:tc>
          <w:tcPr>
            <w:tcW w:w="692"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32.3</w:t>
            </w:r>
          </w:p>
        </w:tc>
        <w:tc>
          <w:tcPr>
            <w:tcW w:w="648"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2.03</w:t>
            </w:r>
          </w:p>
        </w:tc>
        <w:tc>
          <w:tcPr>
            <w:tcW w:w="709"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b/>
                <w:sz w:val="16"/>
                <w:szCs w:val="16"/>
              </w:rPr>
              <w:t>8.64</w:t>
            </w:r>
          </w:p>
        </w:tc>
        <w:tc>
          <w:tcPr>
            <w:tcW w:w="709"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30.88</w:t>
            </w:r>
          </w:p>
        </w:tc>
        <w:tc>
          <w:tcPr>
            <w:tcW w:w="708"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1.95</w:t>
            </w:r>
          </w:p>
        </w:tc>
        <w:tc>
          <w:tcPr>
            <w:tcW w:w="709"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31.15</w:t>
            </w:r>
          </w:p>
        </w:tc>
        <w:tc>
          <w:tcPr>
            <w:tcW w:w="709"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b/>
                <w:sz w:val="16"/>
                <w:szCs w:val="16"/>
              </w:rPr>
            </w:pPr>
            <w:r w:rsidRPr="002719B9">
              <w:rPr>
                <w:rFonts w:cs="Times New Roman"/>
                <w:sz w:val="16"/>
                <w:szCs w:val="16"/>
              </w:rPr>
              <w:t>2.00</w:t>
            </w:r>
          </w:p>
        </w:tc>
        <w:tc>
          <w:tcPr>
            <w:tcW w:w="709" w:type="dxa"/>
            <w:tcBorders>
              <w:top w:val="nil"/>
              <w:left w:val="nil"/>
              <w:bottom w:val="single" w:sz="4" w:space="0" w:color="auto"/>
              <w:right w:val="nil"/>
            </w:tcBorders>
            <w:shd w:val="clear" w:color="auto" w:fill="auto"/>
          </w:tcPr>
          <w:p w:rsidR="00001A4E" w:rsidRPr="002719B9" w:rsidRDefault="00001A4E" w:rsidP="00001A4E">
            <w:pPr>
              <w:jc w:val="left"/>
              <w:rPr>
                <w:rFonts w:cs="Times New Roman"/>
                <w:sz w:val="16"/>
                <w:szCs w:val="16"/>
              </w:rPr>
            </w:pPr>
            <w:r w:rsidRPr="002719B9">
              <w:rPr>
                <w:rFonts w:cs="Times New Roman"/>
                <w:sz w:val="16"/>
                <w:szCs w:val="16"/>
              </w:rPr>
              <w:t>0.87</w:t>
            </w:r>
          </w:p>
        </w:tc>
      </w:tr>
      <w:tr w:rsidR="00001A4E" w:rsidRPr="002719B9" w:rsidTr="00001A4E">
        <w:tc>
          <w:tcPr>
            <w:tcW w:w="15877" w:type="dxa"/>
            <w:gridSpan w:val="22"/>
            <w:tcBorders>
              <w:top w:val="single" w:sz="4" w:space="0" w:color="auto"/>
              <w:left w:val="nil"/>
              <w:bottom w:val="nil"/>
              <w:right w:val="nil"/>
            </w:tcBorders>
          </w:tcPr>
          <w:p w:rsidR="00001A4E" w:rsidRPr="002719B9" w:rsidRDefault="00001A4E" w:rsidP="00001A4E">
            <w:pPr>
              <w:jc w:val="left"/>
              <w:rPr>
                <w:rFonts w:cs="Times New Roman"/>
                <w:sz w:val="16"/>
                <w:szCs w:val="16"/>
              </w:rPr>
            </w:pPr>
            <w:r w:rsidRPr="002719B9">
              <w:rPr>
                <w:rFonts w:cs="Times New Roman"/>
                <w:sz w:val="16"/>
                <w:szCs w:val="16"/>
                <w:vertAlign w:val="superscript"/>
              </w:rPr>
              <w:t>a</w:t>
            </w:r>
            <w:r w:rsidRPr="002719B9">
              <w:rPr>
                <w:rFonts w:cs="Times New Roman"/>
                <w:sz w:val="16"/>
                <w:szCs w:val="16"/>
              </w:rPr>
              <w:t xml:space="preserve"> Subsample of the tree root system measured using mini-</w:t>
            </w:r>
            <w:proofErr w:type="spellStart"/>
            <w:r w:rsidRPr="002719B9">
              <w:rPr>
                <w:rFonts w:cs="Times New Roman"/>
                <w:sz w:val="16"/>
                <w:szCs w:val="16"/>
              </w:rPr>
              <w:t>rhizotron</w:t>
            </w:r>
            <w:proofErr w:type="spellEnd"/>
            <w:r w:rsidRPr="002719B9">
              <w:rPr>
                <w:rFonts w:cs="Times New Roman"/>
                <w:sz w:val="16"/>
                <w:szCs w:val="16"/>
              </w:rPr>
              <w:t xml:space="preserve"> imaging; Mini-</w:t>
            </w:r>
            <w:proofErr w:type="spellStart"/>
            <w:r w:rsidRPr="002719B9">
              <w:rPr>
                <w:rFonts w:cs="Times New Roman"/>
                <w:sz w:val="16"/>
                <w:szCs w:val="16"/>
              </w:rPr>
              <w:t>rhizotron</w:t>
            </w:r>
            <w:proofErr w:type="spellEnd"/>
            <w:r w:rsidRPr="002719B9">
              <w:rPr>
                <w:rFonts w:cs="Times New Roman"/>
                <w:sz w:val="16"/>
                <w:szCs w:val="16"/>
              </w:rPr>
              <w:t xml:space="preserve"> tubers were 7cm diameter x 47 cm depth with an imaging area of 869cm</w:t>
            </w:r>
            <w:r w:rsidRPr="002719B9">
              <w:rPr>
                <w:rFonts w:cs="Times New Roman"/>
                <w:sz w:val="16"/>
                <w:szCs w:val="16"/>
                <w:vertAlign w:val="superscript"/>
              </w:rPr>
              <w:t xml:space="preserve">2  </w:t>
            </w:r>
          </w:p>
        </w:tc>
      </w:tr>
    </w:tbl>
    <w:p w:rsidR="00A57540" w:rsidRDefault="00A57540" w:rsidP="00A57540"/>
    <w:p w:rsidR="00A57540" w:rsidRDefault="00A57540" w:rsidP="00A57540">
      <w:pPr>
        <w:sectPr w:rsidR="00A57540" w:rsidSect="00892881">
          <w:pgSz w:w="16838" w:h="11906" w:orient="landscape"/>
          <w:pgMar w:top="2268" w:right="1134" w:bottom="1134" w:left="1134" w:header="709" w:footer="709" w:gutter="0"/>
          <w:cols w:space="708"/>
          <w:docGrid w:linePitch="360"/>
        </w:sectPr>
      </w:pPr>
    </w:p>
    <w:p w:rsidR="00A57540" w:rsidRPr="00C043EA" w:rsidRDefault="00A57540" w:rsidP="00913AEC">
      <w:pPr>
        <w:pStyle w:val="Heading2"/>
        <w:rPr>
          <w:u w:val="single"/>
        </w:rPr>
      </w:pPr>
      <w:bookmarkStart w:id="178" w:name="_Toc469855028"/>
      <w:bookmarkStart w:id="179" w:name="_Toc469856028"/>
      <w:bookmarkStart w:id="180" w:name="_Toc469931937"/>
      <w:bookmarkStart w:id="181" w:name="_Toc469982258"/>
      <w:r w:rsidRPr="0005310B">
        <w:lastRenderedPageBreak/>
        <w:t>Discussion</w:t>
      </w:r>
      <w:bookmarkEnd w:id="178"/>
      <w:bookmarkEnd w:id="179"/>
      <w:bookmarkEnd w:id="180"/>
      <w:bookmarkEnd w:id="181"/>
    </w:p>
    <w:p w:rsidR="00A57540" w:rsidRDefault="00A57540" w:rsidP="00A57540">
      <w:pPr>
        <w:contextualSpacing/>
        <w:rPr>
          <w:rFonts w:cs="Times New Roman"/>
        </w:rPr>
      </w:pPr>
      <w:r w:rsidRPr="00C043EA">
        <w:rPr>
          <w:rFonts w:cs="Times New Roman"/>
        </w:rPr>
        <w:t xml:space="preserve">In addition to their various nutritional benefits, the ability of arbuscular mycorrhizal fungi (AMF) to modulate the immune function of their host plants, conferring broad-spectrum disease resistance, is becoming increasingly recognised </w:t>
      </w:r>
      <w:r w:rsidRPr="00C043EA">
        <w:rPr>
          <w:rFonts w:cs="Times New Roman"/>
        </w:rPr>
        <w:fldChar w:fldCharType="begin"/>
      </w:r>
      <w:r w:rsidR="00954B3D">
        <w:rPr>
          <w:rFonts w:cs="Times New Roman"/>
        </w:rPr>
        <w:instrText xml:space="preserve"> ADDIN ZOTERO_ITEM CSL_CITATION {"citationID":"2c5b56mcoi","properties":{"formattedCitation":"{\\rtf (Cameron {\\i{}et al.}, 2013)}","plainCitation":"(Cameron et al., 2013)"},"citationItems":[{"id":3,"uris":["http://zotero.org/users/local/d1gJDEOw/items/T4PEQX3U"],"uri":["http://zotero.org/users/local/d1gJDEOw/items/T4PEQX3U"],"itemData":{"id":3,"type":"article-journal","title":"Mycorrhiza-induced resistance: more than the sum of its parts?","container-title":"Trends in Plant Science","page":"539-545","volume":"18","issue":"10","source":"Web of Science","abstract":"Plants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mycorrhizosphere.","DOI":"10.1016/j.tplants.2013.06.004","ISSN":"1360-1385","note":"WOS:000325597200003","shortTitle":"Mycorrhiza-induced resistance","journalAbbreviation":"Trends Plant Sci.","language":"English","author":[{"family":"Cameron","given":"Duncan D."},{"family":"Neal","given":"Andrew L."},{"family":"Wees","given":"Saskia C. M.","non-dropping-particle":"van"},{"family":"Ton","given":"Jurriaan"}],"issued":{"date-parts":[["2013",10]]}}}],"schema":"https://github.com/citation-style-language/schema/raw/master/csl-citation.json"} </w:instrText>
      </w:r>
      <w:r w:rsidRPr="00C043EA">
        <w:rPr>
          <w:rFonts w:cs="Times New Roman"/>
        </w:rPr>
        <w:fldChar w:fldCharType="separate"/>
      </w:r>
      <w:r w:rsidR="00954B3D" w:rsidRPr="00954B3D">
        <w:rPr>
          <w:rFonts w:cs="Times New Roman"/>
          <w:szCs w:val="24"/>
        </w:rPr>
        <w:t xml:space="preserve">(Cameron </w:t>
      </w:r>
      <w:r w:rsidR="00954B3D" w:rsidRPr="00954B3D">
        <w:rPr>
          <w:rFonts w:cs="Times New Roman"/>
          <w:i/>
          <w:iCs/>
          <w:szCs w:val="24"/>
        </w:rPr>
        <w:t>et al.</w:t>
      </w:r>
      <w:r w:rsidR="00954B3D" w:rsidRPr="00954B3D">
        <w:rPr>
          <w:rFonts w:cs="Times New Roman"/>
          <w:szCs w:val="24"/>
        </w:rPr>
        <w:t>, 2013)</w:t>
      </w:r>
      <w:r w:rsidRPr="00C043EA">
        <w:rPr>
          <w:rFonts w:cs="Times New Roman"/>
        </w:rPr>
        <w:fldChar w:fldCharType="end"/>
      </w:r>
      <w:r w:rsidRPr="00C043EA">
        <w:rPr>
          <w:rFonts w:cs="Times New Roman"/>
        </w:rPr>
        <w:t>. To date, the majority of this evidence comes from</w:t>
      </w:r>
      <w:r>
        <w:rPr>
          <w:rFonts w:cs="Times New Roman"/>
        </w:rPr>
        <w:t xml:space="preserve"> non woody annual crop plants </w:t>
      </w:r>
      <w:r>
        <w:rPr>
          <w:rFonts w:cs="Times New Roman"/>
        </w:rPr>
        <w:fldChar w:fldCharType="begin"/>
      </w:r>
      <w:r w:rsidR="00954B3D">
        <w:rPr>
          <w:rFonts w:cs="Times New Roman"/>
        </w:rPr>
        <w:instrText xml:space="preserve"> ADDIN ZOTERO_ITEM CSL_CITATION {"citationID":"ZeitvLFo","properties":{"formattedCitation":"{\\rtf (Gange &amp; West, 1994; Pozo {\\i{}et al.}, 2002; Fritz {\\i{}et al.}, 2006; Campos-Soriano {\\i{}et al.}, 2012)}","plainCitation":"(Gange &amp; West, 1994; Pozo et al., 2002; Fritz et al., 2006; Campos-Soriano et al., 2012)"},"citationItems":[{"id":5,"uris":["http://zotero.org/users/local/d1gJDEOw/items/MFQHSXEX"],"uri":["http://zotero.org/users/local/d1gJDEOw/items/MFQHSXEX"],"itemData":{"id":5,"type":"article-journal","title":"Interactions Between Arbuscular Mycorrhizal Fungi and Foliar-Feeding Insects in Plantago-Lanceolata L","container-title":"New Phytologist","page":"79-87","volume":"128","issue":"1","source":"Web of Science","abstract":"A field experiment was conducted to investigate whether infection by arbuscular mycorrhizal (AM) fungi has any effect on herbivory by foliar-feeding insects. Plants of Plantago lanceolata L. were grown in a randomized block design and natural levels of mycorrhizal infection reduced by the application of the granular fungicide iprodione. Plant growth responses were examined and herbivore bioassays performed by rearing both a chewing and sucking insect on the leaves of mycorrhizal and fungicide-treated plants. Fungicide application successfully reduced mycorrhizal infection, and this led to reductions in foliar biomass, caused by a lower leaf number. However, fungicide-treated plants suffered consistently higher levels of damage by generalist chewing and leaf-mining insects, which colonized the plants. The chewing insect bioassay confirmed the field results, in that larvae of Arctia caja L. (Lepidoptera: Arctiidae) consumed more leaf material from plants in which infection was reduced. There was no evidence that AM fungi altered food quality for the chewing insect. Instead, infection caused an increase in the carbon/nutrient balance, which in turn led to increased levels of the carbon-based feeding deterrents, aucubin and catalpol. The sucking insect, Myzus persicae (Sulzer) reacted in an opposite fashion to the chewer, with performance being greater on mycorrhizal plants. Again, there was no evidence that an alteration in food quality was the cause, and in this case infection may result in changes in leaf morphology which benefit the insect. We suggest that under conditions of high light and low nutrient availability, AM infection can alter the carbon/nutrient balance of plants, leading to an increased allocation to carbon-based defences. This can have important consequences for insect herbivore performance and the patterns of herbivory in field situations.","DOI":"10.1111/j.1469-8137.1994.tb03989.x","ISSN":"0028-646X","note":"WOS:A1994PK32000009","journalAbbreviation":"New Phytol.","language":"English","author":[{"family":"Gange","given":"Ac"},{"family":"West","given":"Hm"}],"issued":{"date-parts":[["1994",9]]}}},{"id":92,"uris":["http://zotero.org/users/local/d1gJDEOw/items/JASRPC2Q"],"uri":["http://zotero.org/users/local/d1gJDEOw/items/JASRPC2Q"],"itemData":{"id":92,"type":"article-journal","title":"Localized versus systemic effect of arbuscular mycorrhizal fungi on defence responses to Phytophthora infection in tomato plants","container-title":"Journal of Experimental Botany","page":"525-534","volume":"53","issue":"368","source":"jxb.oxfordjournals.org","abstract":"Development of biological control for plant diseases is accepted as a durable and environmentally friendly alternative for agrochemicals. Arbuscular mycorrhizal fungi (AMF), which form symbiotic associations with root systems of most agricultural, horticultural and hardwood crop species, have been suggested as widespread potential bioprotective agents. In the present study the ability of two AMF (Glomus mosseae and Glomus intraradices) to induce local or systemic resistance to Phytophthora parasitica in tomato roots have been compared using a split root experimental system. Glomus mosseae was effective in reducing disease symptoms produced by P. parasitica infection, and evidence points to a combination of local and systemic mechanisms being responsible for this bioprotector effect. The biochemical analysis of different plant defence‐related enzymes showed a local induction of mycorrhiza‐related new isoforms of the hydrolytic enzymes chitinase, chitosanase and β‐1,3‐glucanase, as well as superoxide dismutase, an enzyme which is involved in cell protection against oxidative stress. Systemic alterations of the activity of some of the constitutive isoforms were also observed in non‐mycorrhizal roots of mycorrhizal plants. Studies on the lytic activity against Phytophthora cell wall of root protein extracts also corroborated a systemic effect of mycorrhizal symbiosis on tomato resistance to Phytophthora.","DOI":"10.1093/jexbot/53.368.525","ISSN":"0022-0957, 1460-2431","note":"PMID: 11847251","journalAbbreviation":"J. Exp. Bot.","language":"en","author":[{"family":"Pozo","given":"Maria J."},{"family":"Cordier","given":"Christelle"},{"family":"Dumas‐Gaudot","given":"Eliane"},{"family":"Gianinazzi","given":"Silvio"},{"family":"Barea","given":"Jose M."},{"family":"Azcón‐Aguilar","given":"Concepción"}],"issued":{"date-parts":[["2002",1,3]]}}},{"id":71,"uris":["http://zotero.org/users/local/d1gJDEOw/items/NXZED4TH"],"uri":["http://zotero.org/users/local/d1gJDEOw/items/NXZED4TH"],"itemData":{"id":71,"type":"article-journal","title":"Arbuscular mycorrhiza reduces susceptibility of tomato to Alternaria solani","container-title":"Mycorrhiza","page":"413-419","volume":"16","issue":"6","abstract":"Mycorrhiza frequently leads to the control of root pathogens, but appears to have the opposite effect on leaf pathogens. In this study, we studied mycorrhizal effects on the development of early blight in tomato (Solanum lycopersicum) caused by the necrotrophic fungus Alternaria solani. Alternaria-induced necrosis and chlorosis of all leaves were studied in mycorrhizal and non-mycorrhizal plants over time course and at different soil P levels. Mycorrhizal tomato plants had significantly less A. solani symptoms than non-mycorrhizal plants, but neither plant growth nor phosphate uptake was enhanced by mycorrhizas. An increased P supply had no effect on disease severity in non-mycorrhizal plants, but led to a higher disease severity in mycorrhizal plants. This was parallel to a P-supply-induced reduction in mycorrhiza formation. The protective effect of mycorrhizas towards development of A. solani has some parallels to induced systemic resistance, mediated by rhizobacteria: both biocontrol agents are root-associated organisms and both are effective against necrotrophic pathogens. The possible mechanisms involved are discussed.","DOI":"10.1007/s00572-006-0051-z","ISSN":"1432-1890","journalAbbreviation":"Mycorrhiza","author":[{"family":"Fritz","given":"Maendy"},{"family":"Jakobsen","given":"Iver"},{"family":"Lyngkjær","given":"Michael Foged"},{"family":"Thordal-Christensen","given":"Hans"},{"family":"Pons-Kühnemann","given":"Jörn"}],"issued":{"date-parts":[["2006"]]}}},{"id":103,"uris":["http://zotero.org/users/local/d1gJDEOw/items/D25FEAXF"],"uri":["http://zotero.org/users/local/d1gJDEOw/items/D25FEAXF"],"itemData":{"id":103,"type":"article-journal","title":"The arbuscular mycorrhizal symbiosis promotes the systemic induction of regulatory defence-related genes in rice leaves and confers resistance to pathogen infection","container-title":"Molecular Plant Pathology","page":"579-592","volume":"13","issue":"6","source":"Wiley Online Library","abstract":"Arbuscular mycorrhizal (AM) symbioses are mutualistic associations between soil fungi and most vascular plants. Their association benefits the host plant by improving nutrition, mainly phosphorus nutrition, and by providing increased capability to cope with adverse conditions. In this study, we investigated the transcriptional changes triggered in rice leaves as a result of AM symbiosis, focusing on the relevance of the plant defence response. We showed that root colonization by the AM fungus Glomus intraradices is accompanied by the systemic induction of genes that play a regulatory role in the host defence response, such as OsNPR1, OsAP2, OsEREBP and OsJAmyb. Genes involved in signal transduction processes (OsDUF26 and OsMPK6) and genes that function in calcium-mediated signalling processes (OsCBP, OsCaM and OsCML4) are also up-regulated in leaves of mycorrhizal rice plants in the absence of pathogen infection. In addition, the mycorrhizal rice plants exhibit a stronger induction of defence marker genes [i.e. pathogenesis-related (PR) genes] in their leaves in response to infection by the blast fungus Magnaporthe oryzae. Evidence indicates that mycorrhizal rice plants show enhanced resistance to the rice blast fungus. Overall, these results suggest that the protective effect of the AM symbiosis in rice plants relies on both the systemic activation of defence regulatory genes in the absence of pathogen challenge and the priming for stronger expression of defence effector genes during pathogen infection. The possible mechanisms involved in the mycorrhiza-induced resistance to M. oryzae infection are discussed.","DOI":"10.1111/j.1364-3703.2011.00773.x","ISSN":"1364-3703","language":"en","author":[{"family":"Campos-Soriano","given":"Lidia"},{"family":"García-Martínez","given":"José"},{"family":"Segundo","given":"Blanca San"}],"issued":{"date-parts":[["2012",8,1]]}}}],"schema":"https://github.com/citation-style-language/schema/raw/master/csl-citation.json"} </w:instrText>
      </w:r>
      <w:r>
        <w:rPr>
          <w:rFonts w:cs="Times New Roman"/>
        </w:rPr>
        <w:fldChar w:fldCharType="separate"/>
      </w:r>
      <w:r w:rsidR="00954B3D" w:rsidRPr="00954B3D">
        <w:rPr>
          <w:rFonts w:cs="Times New Roman"/>
          <w:szCs w:val="24"/>
        </w:rPr>
        <w:t>(</w:t>
      </w:r>
      <w:proofErr w:type="spellStart"/>
      <w:r w:rsidR="00954B3D" w:rsidRPr="00954B3D">
        <w:rPr>
          <w:rFonts w:cs="Times New Roman"/>
          <w:szCs w:val="24"/>
        </w:rPr>
        <w:t>Gange</w:t>
      </w:r>
      <w:proofErr w:type="spellEnd"/>
      <w:r w:rsidR="00954B3D" w:rsidRPr="00954B3D">
        <w:rPr>
          <w:rFonts w:cs="Times New Roman"/>
          <w:szCs w:val="24"/>
        </w:rPr>
        <w:t xml:space="preserve"> &amp; West, 1994; </w:t>
      </w:r>
      <w:proofErr w:type="spellStart"/>
      <w:r w:rsidR="00954B3D" w:rsidRPr="00954B3D">
        <w:rPr>
          <w:rFonts w:cs="Times New Roman"/>
          <w:szCs w:val="24"/>
        </w:rPr>
        <w:t>Pozo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2002; Fritz </w:t>
      </w:r>
      <w:r w:rsidR="00954B3D" w:rsidRPr="00954B3D">
        <w:rPr>
          <w:rFonts w:cs="Times New Roman"/>
          <w:i/>
          <w:iCs/>
          <w:szCs w:val="24"/>
        </w:rPr>
        <w:t>et al.</w:t>
      </w:r>
      <w:r w:rsidR="00954B3D" w:rsidRPr="00954B3D">
        <w:rPr>
          <w:rFonts w:cs="Times New Roman"/>
          <w:szCs w:val="24"/>
        </w:rPr>
        <w:t xml:space="preserve">, 2006; Campos-Soriano </w:t>
      </w:r>
      <w:r w:rsidR="00954B3D" w:rsidRPr="00954B3D">
        <w:rPr>
          <w:rFonts w:cs="Times New Roman"/>
          <w:i/>
          <w:iCs/>
          <w:szCs w:val="24"/>
        </w:rPr>
        <w:t>et al.</w:t>
      </w:r>
      <w:r w:rsidR="00954B3D" w:rsidRPr="00954B3D">
        <w:rPr>
          <w:rFonts w:cs="Times New Roman"/>
          <w:szCs w:val="24"/>
        </w:rPr>
        <w:t>, 2012)</w:t>
      </w:r>
      <w:r>
        <w:rPr>
          <w:rFonts w:cs="Times New Roman"/>
        </w:rPr>
        <w:fldChar w:fldCharType="end"/>
      </w:r>
      <w:r w:rsidRPr="00C043EA">
        <w:rPr>
          <w:rFonts w:cs="Times New Roman"/>
        </w:rPr>
        <w:t xml:space="preserve"> while little is known about the effects of AMF on the immune function of longer lived plants such as apples.</w:t>
      </w:r>
      <w:r>
        <w:rPr>
          <w:rFonts w:cs="Times New Roman"/>
        </w:rPr>
        <w:t xml:space="preserve"> </w:t>
      </w:r>
      <w:r w:rsidRPr="00C043EA">
        <w:rPr>
          <w:rFonts w:cs="Times New Roman"/>
        </w:rPr>
        <w:t xml:space="preserve">Here, we provide the first evidence, in a simulated orchard setting, that AMF can significantly reduce the disease severity of the apple canker pathogen </w:t>
      </w:r>
      <w:r w:rsidRPr="00C043EA">
        <w:rPr>
          <w:rFonts w:cs="Times New Roman"/>
          <w:i/>
        </w:rPr>
        <w:t>Neonectria ditissima</w:t>
      </w:r>
      <w:r>
        <w:rPr>
          <w:rFonts w:cs="Times New Roman"/>
        </w:rPr>
        <w:t>.</w:t>
      </w:r>
    </w:p>
    <w:p w:rsidR="00A57540" w:rsidRPr="00C043EA" w:rsidRDefault="00A57540" w:rsidP="00A57540">
      <w:pPr>
        <w:pStyle w:val="Heading3"/>
      </w:pPr>
      <w:bookmarkStart w:id="182" w:name="_Toc469855029"/>
      <w:bookmarkStart w:id="183" w:name="_Toc469856029"/>
      <w:bookmarkStart w:id="184" w:name="_Toc469931938"/>
      <w:bookmarkStart w:id="185" w:name="_Toc469982259"/>
      <w:r w:rsidRPr="00C043EA">
        <w:t>Mycorrhizal effects upon apple canker resistance</w:t>
      </w:r>
      <w:bookmarkEnd w:id="182"/>
      <w:bookmarkEnd w:id="183"/>
      <w:bookmarkEnd w:id="184"/>
      <w:bookmarkEnd w:id="185"/>
      <w:r w:rsidRPr="00C043EA">
        <w:t xml:space="preserve"> </w:t>
      </w:r>
    </w:p>
    <w:p w:rsidR="00A57540" w:rsidRPr="00C043EA" w:rsidRDefault="00A57540" w:rsidP="00861E0B">
      <w:r w:rsidRPr="00C043EA">
        <w:t xml:space="preserve">In our study, inoculation with mycorrhiza improved resistance of apple trees to the fungal pathogen </w:t>
      </w:r>
      <w:r w:rsidRPr="00C043EA">
        <w:rPr>
          <w:i/>
        </w:rPr>
        <w:t>Neonectria ditissima</w:t>
      </w:r>
      <w:r w:rsidRPr="00C043EA">
        <w:t xml:space="preserve"> on average reduced the amount of infected material by 18</w:t>
      </w:r>
      <w:r w:rsidRPr="00516666">
        <w:t>% (</w:t>
      </w:r>
      <w:r w:rsidRPr="00516666">
        <w:rPr>
          <w:highlight w:val="yellow"/>
        </w:rPr>
        <w:fldChar w:fldCharType="begin"/>
      </w:r>
      <w:r w:rsidRPr="00516666">
        <w:instrText xml:space="preserve"> REF _Ref469733564 \h </w:instrText>
      </w:r>
      <w:r w:rsidRPr="00516666">
        <w:rPr>
          <w:highlight w:val="yellow"/>
        </w:rPr>
        <w:instrText xml:space="preserve"> \* MERGEFORMAT </w:instrText>
      </w:r>
      <w:r w:rsidRPr="00516666">
        <w:rPr>
          <w:highlight w:val="yellow"/>
        </w:rPr>
      </w:r>
      <w:r w:rsidRPr="00516666">
        <w:rPr>
          <w:highlight w:val="yellow"/>
        </w:rPr>
        <w:fldChar w:fldCharType="separate"/>
      </w:r>
      <w:r w:rsidR="00E0714D" w:rsidRPr="00E37CE6">
        <w:t xml:space="preserve">Figure </w:t>
      </w:r>
      <w:r w:rsidR="00E0714D">
        <w:rPr>
          <w:noProof/>
        </w:rPr>
        <w:t>2.3</w:t>
      </w:r>
      <w:r w:rsidRPr="00516666">
        <w:rPr>
          <w:highlight w:val="yellow"/>
        </w:rPr>
        <w:fldChar w:fldCharType="end"/>
      </w:r>
      <w:r w:rsidRPr="00516666">
        <w:t>).</w:t>
      </w:r>
      <w:r w:rsidRPr="00C043EA">
        <w:t>To our knowledge, this is the first study to report the benefit of mycorrhiza</w:t>
      </w:r>
      <w:r>
        <w:t xml:space="preserve"> for resistance to this pathogen. Previous studies based on apple seedlings have reported</w:t>
      </w:r>
      <w:r w:rsidRPr="00C043EA">
        <w:t xml:space="preserve"> beneficial effect of AMF</w:t>
      </w:r>
      <w:r>
        <w:t xml:space="preserve"> inoculation</w:t>
      </w:r>
      <w:r w:rsidRPr="00C043EA">
        <w:t xml:space="preserve"> for </w:t>
      </w:r>
      <w:r>
        <w:t xml:space="preserve">above ground protect against </w:t>
      </w:r>
      <w:r w:rsidRPr="00C043EA">
        <w:t>stem brown canker (</w:t>
      </w:r>
      <w:proofErr w:type="spellStart"/>
      <w:r w:rsidRPr="00C043EA">
        <w:rPr>
          <w:i/>
        </w:rPr>
        <w:t>Botryosphaeria</w:t>
      </w:r>
      <w:proofErr w:type="spellEnd"/>
      <w:r w:rsidRPr="00C043EA">
        <w:rPr>
          <w:i/>
        </w:rPr>
        <w:t xml:space="preserve"> </w:t>
      </w:r>
      <w:proofErr w:type="spellStart"/>
      <w:r w:rsidRPr="00C043EA">
        <w:rPr>
          <w:i/>
        </w:rPr>
        <w:t>ribis</w:t>
      </w:r>
      <w:proofErr w:type="spellEnd"/>
      <w:r w:rsidRPr="00C043EA">
        <w:t xml:space="preserve">) </w:t>
      </w:r>
      <w:r w:rsidRPr="00C043EA">
        <w:fldChar w:fldCharType="begin"/>
      </w:r>
      <w:r w:rsidR="00954B3D">
        <w:instrText xml:space="preserve"> ADDIN ZOTERO_ITEM CSL_CITATION {"citationID":"207dcrj1s","properties":{"formattedCitation":"{\\rtf (Krishna {\\i{}et al.}, 2010)}","plainCitation":"(Krishna et al., 2010)"},"citationItems":[{"id":18,"uris":["http://zotero.org/users/local/d1gJDEOw/items/F68EWQ2G"],"uri":["http://zotero.org/users/local/d1gJDEOw/items/F68EWQ2G"],"itemData":{"id":18,"type":"article-journal","title":"Suppression of Botryosphaeria canker of apple by arbuscular mycorrhizal fungi","container-title":"Crop Protection","page":"1049-1054","volume":"29","issue":"9","source":"ScienceDirect","abstract":"Stem brown canker or Botryosphaeria canker disease impairs the growth and kills the shoots, limbs and even trunks of infected apple trees. Apple roots are usually colonized by arbuscular mycorrhizal fungi, which may have a positive influence on plant growth and suppression of diseases. In order to assess the efficacy of AM to suppress the disease severity and plant growth enhancement, nine AMF inoculation treatments (Sclerocystis dussi, Glomus intraradices, G. fasciculatum, G. bagyaraji, G. leptotichum, G. monosporum, Gigaspora margarita, a mixed AM culture and a non-mycorrhizal control treatment) were used in this present study. Two-year-old potted apple plants, maintained under glasshouse conditions, were either pre-inoculated with AMF followed by stem inoculation with Botryosphaeria ribis or simultaneously inoculated with Botryosphaeria ribis and AM. The results indicated that the incidence of canker was less severe in plants inoculated with AMF in comparison to non-mycorrhizal control. Timing of inoculation also had a significant effect on disease development and plant survival. Plants pre-inoculated with mycorrhiza performed better over those inoculated simultaneously with Botryosphaeria ribis and AM fungi. Furthermore, AM inoculation resulted in improved survival and growth of AMF-colonized plants; though, it varied by species of AM fungi utilized.","DOI":"10.1016/j.cropro.2010.05.005","ISSN":"0261-2194","journalAbbreviation":"Crop Protection","author":[{"family":"Krishna","given":"Hare"},{"family":"Das","given":"Biswajit"},{"family":"Attri","given":"Brij Lal"},{"family":"Grover","given":"Minakshi"},{"family":"Ahmed","given":"Nazeer"}],"issued":{"date-parts":[["2010",9]]}}}],"schema":"https://github.com/citation-style-language/schema/raw/master/csl-citation.json"} </w:instrText>
      </w:r>
      <w:r w:rsidRPr="00C043EA">
        <w:fldChar w:fldCharType="separate"/>
      </w:r>
      <w:r w:rsidR="00954B3D" w:rsidRPr="00954B3D">
        <w:rPr>
          <w:rFonts w:cs="Times New Roman"/>
          <w:szCs w:val="24"/>
        </w:rPr>
        <w:t xml:space="preserve">(Krishna </w:t>
      </w:r>
      <w:r w:rsidR="00954B3D" w:rsidRPr="00954B3D">
        <w:rPr>
          <w:rFonts w:cs="Times New Roman"/>
          <w:i/>
          <w:iCs/>
          <w:szCs w:val="24"/>
        </w:rPr>
        <w:t>et al.</w:t>
      </w:r>
      <w:r w:rsidR="00954B3D" w:rsidRPr="00954B3D">
        <w:rPr>
          <w:rFonts w:cs="Times New Roman"/>
          <w:szCs w:val="24"/>
        </w:rPr>
        <w:t>, 2010)</w:t>
      </w:r>
      <w:r w:rsidRPr="00C043EA">
        <w:fldChar w:fldCharType="end"/>
      </w:r>
      <w:r w:rsidRPr="00C043EA">
        <w:t xml:space="preserve"> and for below ground defence of apple against white root rot (</w:t>
      </w:r>
      <w:proofErr w:type="spellStart"/>
      <w:r w:rsidRPr="00C043EA">
        <w:rPr>
          <w:i/>
        </w:rPr>
        <w:t>Dematophora</w:t>
      </w:r>
      <w:proofErr w:type="spellEnd"/>
      <w:r w:rsidRPr="00C043EA">
        <w:rPr>
          <w:i/>
        </w:rPr>
        <w:t xml:space="preserve"> </w:t>
      </w:r>
      <w:proofErr w:type="spellStart"/>
      <w:r w:rsidRPr="00C043EA">
        <w:rPr>
          <w:i/>
        </w:rPr>
        <w:t>necatrix</w:t>
      </w:r>
      <w:proofErr w:type="spellEnd"/>
      <w:r w:rsidRPr="00C043EA">
        <w:t xml:space="preserve">) </w:t>
      </w:r>
      <w:r w:rsidRPr="00C043EA">
        <w:fldChar w:fldCharType="begin"/>
      </w:r>
      <w:r w:rsidR="00954B3D">
        <w:instrText xml:space="preserve"> ADDIN ZOTERO_ITEM CSL_CITATION {"citationID":"1mat825bee","properties":{"formattedCitation":"(Raj &amp; Sharma, 2009)","plainCitation":"(Raj &amp; Sharma, 2009)"},"citationItems":[{"id":69,"uris":["http://zotero.org/users/local/d1gJDEOw/items/Q6K4PJT3"],"uri":["http://zotero.org/users/local/d1gJDEOw/items/Q6K4PJT3"],"itemData":{"id":69,"type":"article-journal","title":"Integration of soil solarization and chemical sterilization with beneficial microorganisms for the control of white root rot and growth of nursery apple","container-title":"Scientia Horticulturae","page":"126-131","volume":"119","issue":"2","abstract":"White root rot (Dematophora necatrix (Mart.)) is a serious disease of apple (Malus domestica Borkh) in nurseries and orchards in India. In 2002 and 2003, field experiments were conducted to integrate soil solarization with native isolates of Azotobacter chrococcum and vesicular–arbuscular mycorrhizal fungi and observe its effect on the incidence of white root rot and growth of the saplings. Apple seeds coated with two native isolates of A. chrococcum (AZUHF1 and AZUHF2) were sown in plots inoculated with 4 native isolates of va-mycorrhiza, i.e. AMUHF1 (Glomus fesiculatum), AMUHF2 (Glomus macrocarpum), AMUHF3 (Glomus mosseae) and AMUHF4 (Gigaspora sp.) in 14 different combinations and these plots were solarized with transparent polyethylene mulch (25 μm thick) for 40 days in summer months. Soil solarization resulted around 9 °C higher temperature with average maximum temperature of 38–39 °C. Inoculation of saplings with AMUHF1 isolate of va-mycorrhiza and AZUHF1 isolate of A. chrococcum and then their planting in solarized soil was found most effective with no incidence of white root rot in comparison to 33.6–35.4% in control accompanied with 78–113% increase in shoot length and 81.6–84.3% increase in root length. Shoot and root length of the saplings was 9.6–10.6 and 9.2–16.0% higher, respectively, in solarized plots in comparison to sterilized plots.","DOI":"10.1016/j.scienta.2008.07.025","ISSN":"0304-4238","journalAbbreviation":"Scientia Horticulturae","author":[{"family":"Raj","given":"Harender"},{"family":"Sharma","given":"S.D."}],"issued":{"date-parts":[["2009",1,6]]}}}],"schema":"https://github.com/citation-style-language/schema/raw/master/csl-citation.json"} </w:instrText>
      </w:r>
      <w:r w:rsidRPr="00C043EA">
        <w:fldChar w:fldCharType="separate"/>
      </w:r>
      <w:r w:rsidR="00954B3D" w:rsidRPr="00954B3D">
        <w:rPr>
          <w:rFonts w:cs="Times New Roman"/>
        </w:rPr>
        <w:t>(Raj &amp; Sharma, 2009)</w:t>
      </w:r>
      <w:r w:rsidRPr="00C043EA">
        <w:fldChar w:fldCharType="end"/>
      </w:r>
      <w:r w:rsidRPr="00C043EA">
        <w:t xml:space="preserve"> infection by the root rot pathogens (</w:t>
      </w:r>
      <w:proofErr w:type="spellStart"/>
      <w:r w:rsidRPr="00C043EA">
        <w:rPr>
          <w:i/>
        </w:rPr>
        <w:t>Phytophthora</w:t>
      </w:r>
      <w:proofErr w:type="spellEnd"/>
      <w:r w:rsidRPr="00C043EA">
        <w:rPr>
          <w:i/>
        </w:rPr>
        <w:t xml:space="preserve"> </w:t>
      </w:r>
      <w:proofErr w:type="spellStart"/>
      <w:r w:rsidRPr="00C043EA">
        <w:rPr>
          <w:i/>
        </w:rPr>
        <w:t>cactorum</w:t>
      </w:r>
      <w:proofErr w:type="spellEnd"/>
      <w:r w:rsidRPr="00C043EA">
        <w:t xml:space="preserve"> and </w:t>
      </w:r>
      <w:r w:rsidRPr="00C043EA">
        <w:rPr>
          <w:i/>
        </w:rPr>
        <w:t xml:space="preserve">Pythium </w:t>
      </w:r>
      <w:proofErr w:type="spellStart"/>
      <w:r w:rsidRPr="00C043EA">
        <w:rPr>
          <w:i/>
        </w:rPr>
        <w:t>ultimum</w:t>
      </w:r>
      <w:proofErr w:type="spellEnd"/>
      <w:r w:rsidRPr="00C043EA">
        <w:t xml:space="preserve">) </w:t>
      </w:r>
      <w:r w:rsidRPr="00C043EA">
        <w:fldChar w:fldCharType="begin"/>
      </w:r>
      <w:r w:rsidR="00954B3D">
        <w:instrText xml:space="preserve"> ADDIN ZOTERO_ITEM CSL_CITATION {"citationID":"jpddjqfm2","properties":{"formattedCitation":"(Utkhede &amp; Smith, 2000)","plainCitation":"(Utkhede &amp; Smith, 2000)"},"citationItems":[{"id":70,"uris":["http://zotero.org/users/local/d1gJDEOw/items/H6WQIJ46"],"uri":["http://zotero.org/users/local/d1gJDEOw/items/H6WQIJ46"],"itemData":{"id":70,"type":"article-journal","title":"Impact of chemical, biological and cultural treatments on the growth and yield of apple in replant-disease soil","container-title":"Australasian Plant Pathology","page":"129-136","volume":"29","issue":"2","abstract":"An orchard experiment was established to determine the long-term (six year) effects of chemical (sodium methyldithiocarbonate — metam sodium), fertiliser (monoammonium phosphate) and biological agents [strain B8 of Enterobacter agglomerans, strain EBW-4 of Bacillus subtilis and Glomus intraradices (GI)] alone and in selected combinations on tree growth, fruit production and root rot incidence of apple trees in apple-replant-disease soil that was conducive to replant disease over six years. The response was measured by increases in trunk cross-sectional area, fruit yield and percent root rot of Gala apple trees on M.9 rootstock. The application of E. agglomerans (B8), B. subtilis (EBW-4), G. intraradices (GI), metam sodium (MS), MS + B8, MS + GI and B8 + EBW-4 significantly increased fruit yield, tree trunk growth and reduced infection by Phytophthora cactorum and Pythium ultimum. These results suggest the potential use of E. aerogenes (B8), B. subtilis (EBW-4) and G. intraradices to increase growth and fruit production of apple trees planted in soil conducive to replant disease.","DOI":"10.1071/AP00021","ISSN":"1448-6032","journalAbbreviation":"Australasian Plant Pathology","author":[{"family":"Utkhede","given":"R. S."},{"family":"Smith","given":"E. M."}],"issued":{"date-parts":[["2000"]]}}}],"schema":"https://github.com/citation-style-language/schema/raw/master/csl-citation.json"} </w:instrText>
      </w:r>
      <w:r w:rsidRPr="00C043EA">
        <w:fldChar w:fldCharType="separate"/>
      </w:r>
      <w:r w:rsidR="00954B3D" w:rsidRPr="00954B3D">
        <w:rPr>
          <w:rFonts w:cs="Times New Roman"/>
        </w:rPr>
        <w:t>(</w:t>
      </w:r>
      <w:proofErr w:type="spellStart"/>
      <w:r w:rsidR="00954B3D" w:rsidRPr="00954B3D">
        <w:rPr>
          <w:rFonts w:cs="Times New Roman"/>
        </w:rPr>
        <w:t>Utkhede</w:t>
      </w:r>
      <w:proofErr w:type="spellEnd"/>
      <w:r w:rsidR="00954B3D" w:rsidRPr="00954B3D">
        <w:rPr>
          <w:rFonts w:cs="Times New Roman"/>
        </w:rPr>
        <w:t xml:space="preserve"> &amp; Smith, 2000)</w:t>
      </w:r>
      <w:r w:rsidRPr="00C043EA">
        <w:fldChar w:fldCharType="end"/>
      </w:r>
      <w:r>
        <w:t xml:space="preserve">, </w:t>
      </w:r>
      <w:r w:rsidRPr="00C043EA">
        <w:t xml:space="preserve"> reduced infection by the root lesion nematode </w:t>
      </w:r>
      <w:proofErr w:type="spellStart"/>
      <w:r w:rsidRPr="00C043EA">
        <w:rPr>
          <w:i/>
        </w:rPr>
        <w:t>Pratylenchus</w:t>
      </w:r>
      <w:proofErr w:type="spellEnd"/>
      <w:r w:rsidRPr="00C043EA">
        <w:rPr>
          <w:i/>
        </w:rPr>
        <w:t xml:space="preserve"> </w:t>
      </w:r>
      <w:proofErr w:type="spellStart"/>
      <w:r w:rsidRPr="00C043EA">
        <w:rPr>
          <w:i/>
        </w:rPr>
        <w:t>penetrans</w:t>
      </w:r>
      <w:proofErr w:type="spellEnd"/>
      <w:r w:rsidRPr="00C043EA">
        <w:t xml:space="preserve"> and improved growth in nematode infested soils </w:t>
      </w:r>
      <w:r w:rsidRPr="00C043EA">
        <w:fldChar w:fldCharType="begin"/>
      </w:r>
      <w:r w:rsidR="00954B3D">
        <w:instrText xml:space="preserve"> ADDIN ZOTERO_ITEM CSL_CITATION {"citationID":"uj0l2o9nq","properties":{"formattedCitation":"{\\rtf (Forge {\\i{}et al.}, 2001)}","plainCitation":"(Forge et al., 2001)"},"citationItems":[{"id":68,"uris":["http://zotero.org/users/local/d1gJDEOw/items/4XHBZECG"],"uri":["http://zotero.org/users/local/d1gJDEOw/items/4XHBZECG"],"itemData":{"id":68,"type":"article-journal","title":"Effects of preplant inoculation of apple (Malus domestica Borkh.) with arbuscular mycorrhizal fungi on population growth of the root-lesion nematode, Pratylenchus penetrans","container-title":"Plant and Soil","page":"185-196","volume":"236","issue":"2","abstract":"Six species of arbuscular mycorrhizal (AM) fungi (Glomus aggregatum, G. clarum, G. etunicatum, G. intraradices, G. mosseae and G. versiforme) were evaluated, in three greenhouse experiments, for their effects on reproduction of the root-lesion nematode, Pratylenchus penetrans, and growth of Ottawa 3 apple rootstock. Glomus mosseae increased total dry weights of nematode-inoculated and non-inoculated rootstock in all three greenhouse experiments, and G. intraradices increased dry weights in two of three greenhouse experiments. Plants inoculated with G. mosseae generally supported fewer P. penetrans per gram of root than plants inoculated with other AM fungi, but did not differ significantly from the controls in any greenhouse experiment. Colonization of roots by AM fungi was reduced by P. penetrans at initial inoculum densities greater than 250 nematodes/L soil. In field trials, preplant inoculation with either G. intraradices or G. mosseae increased rootstock growth and leaf concentrations of P, Mg, Zn and Cu in fumigated plots but not in non-fumigated plots, indicating that colonization by native AM fungi in non-fumigated plots may have been sufficient for adequate nutrient acquisition. The abundance of vesicles and arbuscules was greater in roots of plants inoculated with AM fungi before planting than in roots of non-inoculated plants, in both fumigated and non-fumigated plots. P. penetrans per gram of root and per 50 ml soil were significantly lower for G. mosseae- inoculated plants than for non-inoculated plants in fumigated soil but not in non-fumigated soil.","DOI":"10.1023/A:1012743028974","ISSN":"1573-5036","journalAbbreviation":"Plant and Soil","author":[{"family":"Forge","given":"Thomas"},{"family":"Muehlchen","given":"Andrea"},{"family":"Hackenberg","given":"Clemens"},{"family":"Neilsen","given":"Gerry"},{"family":"Vrain","given":"Thierry"}],"issued":{"date-parts":[["2001"]]}}}],"schema":"https://github.com/citation-style-language/schema/raw/master/csl-citation.json"} </w:instrText>
      </w:r>
      <w:r w:rsidRPr="00C043EA">
        <w:fldChar w:fldCharType="separate"/>
      </w:r>
      <w:r w:rsidR="00954B3D" w:rsidRPr="00954B3D">
        <w:rPr>
          <w:rFonts w:cs="Times New Roman"/>
          <w:szCs w:val="24"/>
        </w:rPr>
        <w:t xml:space="preserve">(Forge </w:t>
      </w:r>
      <w:r w:rsidR="00954B3D" w:rsidRPr="00954B3D">
        <w:rPr>
          <w:rFonts w:cs="Times New Roman"/>
          <w:i/>
          <w:iCs/>
          <w:szCs w:val="24"/>
        </w:rPr>
        <w:t>et al.</w:t>
      </w:r>
      <w:r w:rsidR="00954B3D" w:rsidRPr="00954B3D">
        <w:rPr>
          <w:rFonts w:cs="Times New Roman"/>
          <w:szCs w:val="24"/>
        </w:rPr>
        <w:t>, 2001)</w:t>
      </w:r>
      <w:r w:rsidRPr="00C043EA">
        <w:fldChar w:fldCharType="end"/>
      </w:r>
      <w:r w:rsidRPr="00C043EA">
        <w:t>.   These studies report a corresponding increase in growth with reduced pathogen damage of AMF plants an effect which is partly attributed to beneficial effects of AMF to plant health arising from positive effects on plant nutrition. For example Krishna et al.,</w:t>
      </w:r>
      <w:r w:rsidR="00E52B3A">
        <w:t>(</w:t>
      </w:r>
      <w:r w:rsidRPr="00C043EA">
        <w:t>2010</w:t>
      </w:r>
      <w:r w:rsidR="00E52B3A">
        <w:t>)</w:t>
      </w:r>
      <w:r w:rsidRPr="00C043EA">
        <w:t xml:space="preserve"> found inoculation with </w:t>
      </w:r>
      <w:r w:rsidRPr="00C043EA">
        <w:rPr>
          <w:i/>
        </w:rPr>
        <w:t>R.</w:t>
      </w:r>
      <w:r>
        <w:rPr>
          <w:i/>
        </w:rPr>
        <w:t xml:space="preserve"> </w:t>
      </w:r>
      <w:proofErr w:type="spellStart"/>
      <w:r w:rsidRPr="00C043EA">
        <w:rPr>
          <w:i/>
        </w:rPr>
        <w:t>intraradices</w:t>
      </w:r>
      <w:proofErr w:type="spellEnd"/>
      <w:r w:rsidRPr="00C043EA">
        <w:t xml:space="preserve">  on averaged increased tree survival by 49% compared to non-inoculated trees and that AMF trees also showed substantially increased shoot growth and leafiness </w:t>
      </w:r>
      <w:r w:rsidRPr="00C043EA">
        <w:fldChar w:fldCharType="begin"/>
      </w:r>
      <w:r w:rsidR="00954B3D">
        <w:instrText xml:space="preserve"> ADDIN ZOTERO_ITEM CSL_CITATION {"citationID":"rcn7g34tp","properties":{"formattedCitation":"{\\rtf (Krishna {\\i{}et al.}, 2010)}","plainCitation":"(Krishna et al., 2010)"},"citationItems":[{"id":18,"uris":["http://zotero.org/users/local/d1gJDEOw/items/F68EWQ2G"],"uri":["http://zotero.org/users/local/d1gJDEOw/items/F68EWQ2G"],"itemData":{"id":18,"type":"article-journal","title":"Suppression of Botryosphaeria canker of apple by arbuscular mycorrhizal fungi","container-title":"Crop Protection","page":"1049-1054","volume":"29","issue":"9","source":"ScienceDirect","abstract":"Stem brown canker or Botryosphaeria canker disease impairs the growth and kills the shoots, limbs and even trunks of infected apple trees. Apple roots are usually colonized by arbuscular mycorrhizal fungi, which may have a positive influence on plant growth and suppression of diseases. In order to assess the efficacy of AM to suppress the disease severity and plant growth enhancement, nine AMF inoculation treatments (Sclerocystis dussi, Glomus intraradices, G. fasciculatum, G. bagyaraji, G. leptotichum, G. monosporum, Gigaspora margarita, a mixed AM culture and a non-mycorrhizal control treatment) were used in this present study. Two-year-old potted apple plants, maintained under glasshouse conditions, were either pre-inoculated with AMF followed by stem inoculation with Botryosphaeria ribis or simultaneously inoculated with Botryosphaeria ribis and AM. The results indicated that the incidence of canker was less severe in plants inoculated with AMF in comparison to non-mycorrhizal control. Timing of inoculation also had a significant effect on disease development and plant survival. Plants pre-inoculated with mycorrhiza performed better over those inoculated simultaneously with Botryosphaeria ribis and AM fungi. Furthermore, AM inoculation resulted in improved survival and growth of AMF-colonized plants; though, it varied by species of AM fungi utilized.","DOI":"10.1016/j.cropro.2010.05.005","ISSN":"0261-2194","journalAbbreviation":"Crop Protection","author":[{"family":"Krishna","given":"Hare"},{"family":"Das","given":"Biswajit"},{"family":"Attri","given":"Brij Lal"},{"family":"Grover","given":"Minakshi"},{"family":"Ahmed","given":"Nazeer"}],"issued":{"date-parts":[["2010",9]]}}}],"schema":"https://github.com/citation-style-language/schema/raw/master/csl-citation.json"} </w:instrText>
      </w:r>
      <w:r w:rsidRPr="00C043EA">
        <w:fldChar w:fldCharType="separate"/>
      </w:r>
      <w:r w:rsidR="00954B3D" w:rsidRPr="00954B3D">
        <w:rPr>
          <w:rFonts w:cs="Times New Roman"/>
          <w:szCs w:val="24"/>
        </w:rPr>
        <w:t xml:space="preserve">(Krishna </w:t>
      </w:r>
      <w:r w:rsidR="00954B3D" w:rsidRPr="00954B3D">
        <w:rPr>
          <w:rFonts w:cs="Times New Roman"/>
          <w:i/>
          <w:iCs/>
          <w:szCs w:val="24"/>
        </w:rPr>
        <w:t>et al.</w:t>
      </w:r>
      <w:r w:rsidR="00954B3D" w:rsidRPr="00954B3D">
        <w:rPr>
          <w:rFonts w:cs="Times New Roman"/>
          <w:szCs w:val="24"/>
        </w:rPr>
        <w:t>, 2010)</w:t>
      </w:r>
      <w:r w:rsidRPr="00C043EA">
        <w:fldChar w:fldCharType="end"/>
      </w:r>
      <w:r w:rsidRPr="00C043EA">
        <w:t>. In contrast our results show no beneficial effect of AMF on root or shoot growth or N and P leaf nutrient</w:t>
      </w:r>
      <w:r>
        <w:t xml:space="preserve"> </w:t>
      </w:r>
      <w:r w:rsidRPr="00C043EA">
        <w:t>concentrations</w:t>
      </w:r>
      <w:r>
        <w:t xml:space="preserve"> or changes in C: N ratios</w:t>
      </w:r>
      <w:r w:rsidRPr="00C043EA">
        <w:t xml:space="preserve"> suggesting that mycorrhiza induced resistance may not be nutritionally related.</w:t>
      </w:r>
      <w:r>
        <w:t xml:space="preserve"> It is also unlikely to be related to water stress as trees were provided with supplementary watering where necessary over dry periods</w:t>
      </w:r>
      <w:r w:rsidRPr="00955979">
        <w:rPr>
          <w:i/>
        </w:rPr>
        <w:t>.</w:t>
      </w:r>
      <w:r>
        <w:t xml:space="preserve"> </w:t>
      </w:r>
    </w:p>
    <w:p w:rsidR="00A57540" w:rsidRDefault="00A57540" w:rsidP="00861E0B">
      <w:r>
        <w:t xml:space="preserve">The role of AMF in plant defence may partly explain reduced infection of AMF inoculated trees shown by data from this study. </w:t>
      </w:r>
      <w:r w:rsidRPr="00C043EA">
        <w:t xml:space="preserve">AMF colonisation may </w:t>
      </w:r>
      <w:r>
        <w:t>induce</w:t>
      </w:r>
      <w:r w:rsidRPr="00C043EA">
        <w:t xml:space="preserve"> a systemic enhanced defensive capacity to pathogens which is independent of reduced pathogen susceptibility due to improved plant nutrition </w:t>
      </w:r>
      <w:r w:rsidRPr="00C043EA">
        <w:fldChar w:fldCharType="begin"/>
      </w:r>
      <w:r w:rsidR="00954B3D">
        <w:instrText xml:space="preserve"> ADDIN ZOTERO_ITEM CSL_CITATION {"citationID":"BzsACRKk","properties":{"unsorted":true,"formattedCitation":"{\\rtf (Fritz {\\i{}et al.}, 2006; Liu {\\i{}et al.}, 2007; Jung {\\i{}et al.}, 2012)}","plainCitation":"(Fritz et al., 2006; Liu et al., 2007; Jung et al., 2012)"},"citationItems":[{"id":71,"uris":["http://zotero.org/users/local/d1gJDEOw/items/NXZED4TH"],"uri":["http://zotero.org/users/local/d1gJDEOw/items/NXZED4TH"],"itemData":{"id":71,"type":"article-journal","title":"Arbuscular mycorrhiza reduces susceptibility of tomato to Alternaria solani","container-title":"Mycorrhiza","page":"413-419","volume":"16","issue":"6","abstract":"Mycorrhiza frequently leads to the control of root pathogens, but appears to have the opposite effect on leaf pathogens. In this study, we studied mycorrhizal effects on the development of early blight in tomato (Solanum lycopersicum) caused by the necrotrophic fungus Alternaria solani. Alternaria-induced necrosis and chlorosis of all leaves were studied in mycorrhizal and non-mycorrhizal plants over time course and at different soil P levels. Mycorrhizal tomato plants had significantly less A. solani symptoms than non-mycorrhizal plants, but neither plant growth nor phosphate uptake was enhanced by mycorrhizas. An increased P supply had no effect on disease severity in non-mycorrhizal plants, but led to a higher disease severity in mycorrhizal plants. This was parallel to a P-supply-induced reduction in mycorrhiza formation. The protective effect of mycorrhizas towards development of A. solani has some parallels to induced systemic resistance, mediated by rhizobacteria: both biocontrol agents are root-associated organisms and both are effective against necrotrophic pathogens. The possible mechanisms involved are discussed.","DOI":"10.1007/s00572-006-0051-z","ISSN":"1432-1890","journalAbbreviation":"Mycorrhiza","author":[{"family":"Fritz","given":"Maendy"},{"family":"Jakobsen","given":"Iver"},{"family":"Lyngkjær","given":"Michael Foged"},{"family":"Thordal-Christensen","given":"Hans"},{"family":"Pons-Kühnemann","given":"Jörn"}],"issued":{"date-parts":[["2006"]]}}},{"id":75,"uris":["http://zotero.org/users/local/d1gJDEOw/items/4BVHGNH4"],"uri":["http://zotero.org/users/local/d1gJDEOw/items/4BVHGNH4"],"itemData":{"id":75,"type":"article-journal","title":"Arbuscular mycorrhizal symbiosis is accompanied by local and systemic alterations in gene expression and an increase in disease resistance in the shoots","container-title":"Plant Journal","page":"529-544","volume":"50","issue":"3","source":"Web of Science","abstract":"In natural ecosystems, the roots of many plants exist in association with arbuscular mycorrhizal (AM) fungi, and the resulting symbiosis has profound effects on the plant. The most frequently documented response is an increase in phosphorus nutrition; however, other effects have been noted, including increased resistance to abiotic and biotic stresses. Here we used a 16 000-feature oligonucleotide array and real-time quantitative RT-PCR to explore transcriptional changes triggered in Medicago truncatula roots and shoots as a result of AM symbiosis. By controlling the experimental conditions, phosphorus-related effects were minimized, and both local and systemic transcriptional responses to the AM fungus were revealed. The transcriptional response of the roots and shoots differed in both the magnitude of gene induction and the predicted functional categories of the mycorrhiza-regulated genes. In the roots, genes regulated in response to three different AM fungi were identified, and, through split-root experiments, an additional layer of regulation, in the colonized or non-colonized sections of the mycorrhizal root system, was uncovered. Transcript profiles of the shoots of mycorrhizal plants indicated the systemic induction of many genes predicted to be involved in stress or defense responses, and suggested that mycorrhizal plants might display enhanced disease resistance. Experimental evidence supports this prediction, and mycorrhizal M. truncatula plants showed increased resistance to a virulent bacterial pathogen, Xanthomonas campestris. Thus, the symbiosis is accompanied by a complex pattern of local and systemic changes in gene expression, including the induction of a functional defense response.","DOI":"10.1111/j.1365-313X.2007.03069.x","ISSN":"0960-7412","note":"WOS:000245945300013","journalAbbreviation":"Plant J.","language":"English","author":[{"family":"Liu","given":"Jinyuan"},{"family":"Maldonado-Mendoza","given":"Ignacio"},{"family":"Lopez-Meyer","given":"Melina"},{"family":"Cheung","given":"Foo"},{"family":"Town","given":"Christopher D."},{"family":"Harrison","given":"Maria J."}],"issued":{"date-parts":[["2007",5]]}}},{"id":73,"uris":["http://zotero.org/users/local/d1gJDEOw/items/CIKUHM33"],"uri":["http://zotero.org/users/local/d1gJDEOw/items/CIKUHM33"],"itemData":{"id":73,"type":"article-journal","title":"Mycorrhiza-Induced Resistance and Priming of Plant Defenses","container-title":"Journal of Chemical Ecology","page":"651-664","volume":"38","issue":"6","abstract":"Symbioses between plants and beneficial soil microorganisms like arbuscular-mycorrhizal fungi (AMF) are known to promote plant growth and help plants to cope with biotic and abiotic stresses. Profound physiological changes take place in the host plant upon root colonization by AMF affecting the interactions with a wide range of organisms below- and above-ground. Protective effects of the symbiosis against pathogens, pests, and parasitic plants have been described for many plant species, including agriculturally important crop varieties. Besides mechanisms such as improved plant nutrition and competition, experimental evidence supports a major role of plant defenses in the observed protection. During mycorrhiza establishment, modulation of plant defense responses occurs thus achieving a functional symbiosis. As a consequence of this modulation, a mild, but effective activation of the plant immune responses seems to occur, not only locally but also systemically. This activation leads to a primed state of the plant that allows a more efficient activation of defense mechanisms in response to attack by potential enemies. Here, we give an overview of the impact on interactions between mycorrhizal plants and pathogens, herbivores, and parasitic plants, and we summarize the current knowledge of the underlying mechanisms. We focus on the priming of jasmonate-regulated plant defense mechanisms that play a central role in the induction of resistance by arbuscular mycorrhizas.","DOI":"10.1007/s10886-012-0134-6","ISSN":"1573-1561","journalAbbreviation":"Journal of Chemical Ecology","author":[{"family":"Jung","given":"Sabine C."},{"family":"Martinez-Medina","given":"Ainhoa"},{"family":"Lopez-Raez","given":"Juan A."},{"family":"Pozo","given":"Maria J."}],"issued":{"date-parts":[["2012"]]}}}],"schema":"https://github.com/citation-style-language/schema/raw/master/csl-citation.json"} </w:instrText>
      </w:r>
      <w:r w:rsidRPr="00C043EA">
        <w:fldChar w:fldCharType="separate"/>
      </w:r>
      <w:r w:rsidR="00954B3D" w:rsidRPr="00954B3D">
        <w:rPr>
          <w:rFonts w:cs="Times New Roman"/>
          <w:szCs w:val="24"/>
        </w:rPr>
        <w:t xml:space="preserve">(Fritz </w:t>
      </w:r>
      <w:r w:rsidR="00954B3D" w:rsidRPr="00954B3D">
        <w:rPr>
          <w:rFonts w:cs="Times New Roman"/>
          <w:i/>
          <w:iCs/>
          <w:szCs w:val="24"/>
        </w:rPr>
        <w:t>et al.</w:t>
      </w:r>
      <w:r w:rsidR="00954B3D" w:rsidRPr="00954B3D">
        <w:rPr>
          <w:rFonts w:cs="Times New Roman"/>
          <w:szCs w:val="24"/>
        </w:rPr>
        <w:t xml:space="preserve">, 2006; Liu </w:t>
      </w:r>
      <w:r w:rsidR="00954B3D" w:rsidRPr="00954B3D">
        <w:rPr>
          <w:rFonts w:cs="Times New Roman"/>
          <w:i/>
          <w:iCs/>
          <w:szCs w:val="24"/>
        </w:rPr>
        <w:t>et al.</w:t>
      </w:r>
      <w:r w:rsidR="00954B3D" w:rsidRPr="00954B3D">
        <w:rPr>
          <w:rFonts w:cs="Times New Roman"/>
          <w:szCs w:val="24"/>
        </w:rPr>
        <w:t xml:space="preserve">, 2007; Jung </w:t>
      </w:r>
      <w:r w:rsidR="00954B3D" w:rsidRPr="00954B3D">
        <w:rPr>
          <w:rFonts w:cs="Times New Roman"/>
          <w:i/>
          <w:iCs/>
          <w:szCs w:val="24"/>
        </w:rPr>
        <w:t>et al.</w:t>
      </w:r>
      <w:r w:rsidR="00954B3D" w:rsidRPr="00954B3D">
        <w:rPr>
          <w:rFonts w:cs="Times New Roman"/>
          <w:szCs w:val="24"/>
        </w:rPr>
        <w:t>, 2012)</w:t>
      </w:r>
      <w:r w:rsidRPr="00C043EA">
        <w:fldChar w:fldCharType="end"/>
      </w:r>
      <w:r w:rsidRPr="00C043EA">
        <w:t>. Colonisation by</w:t>
      </w:r>
      <w:r>
        <w:t xml:space="preserve"> AMF</w:t>
      </w:r>
      <w:r w:rsidRPr="00C043EA">
        <w:t xml:space="preserve"> triggers some of the same initial defence responses that are elicited by the plant immune system in response to </w:t>
      </w:r>
      <w:proofErr w:type="spellStart"/>
      <w:r w:rsidRPr="00C043EA">
        <w:t>biotrophic</w:t>
      </w:r>
      <w:proofErr w:type="spellEnd"/>
      <w:r w:rsidRPr="00C043EA">
        <w:t xml:space="preserve"> pathogens </w:t>
      </w:r>
      <w:r w:rsidRPr="00C043EA">
        <w:fldChar w:fldCharType="begin"/>
      </w:r>
      <w:r w:rsidR="00954B3D">
        <w:instrText xml:space="preserve"> ADDIN ZOTERO_ITEM CSL_CITATION {"citationID":"24ur3lrb8","properties":{"formattedCitation":"(Paszkowski, 2006)","plainCitation":"(Paszkowski, 2006)"},"citationItems":[{"id":79,"uris":["http://zotero.org/users/local/d1gJDEOw/items/5VMXG9IW"],"uri":["http://zotero.org/users/local/d1gJDEOw/items/5VMXG9IW"],"itemData":{"id":79,"type":"article-journal","title":"Mutualism and parasitism: the yin and yang of plant symbioses","container-title":"Current Opinion in Plant Biology","collection-title":"Biotic interactions / edited by Anne Osbourn and Sheng Yang He","page":"364-370","volume":"9","issue":"4","source":"ScienceDirect","abstract":"Plants are solar-powered sugar factories that feed a multitude of other organisms. Many of these organisms associate directly with host plants to gain access to the plant's photosynthates. Such symbioses encompass a wide collection of styles ranging from mutualistic to commensal and parasitic. Among these, the mutualistic arbuscular mycorrhizal (AM) symbiosis is one of the evolutionarily oldest symbioses of plants, relying on the formation of an intimate relationship between fungi of the Glomeromycota and roots of the majority of vascular flowering plants. In this symbiosis, the fungus intracellularly colonizes living root cells, implying the existence of an extreme form of compatibility. Interestingly, molecular events that happen in the plant in response to mycorrhizal colonization also occur in other beneficial and, as recently shown, even antagonistic plant symbioses. Thus, basic ‘compatibility modules’ appear to be partially conserved between mutualism and parasitism.","DOI":"10.1016/j.pbi.2006.05.008","ISSN":"1369-5266","shortTitle":"Mutualism and parasitism","journalAbbreviation":"Current Opinion in Plant Biology","author":[{"family":"Paszkowski","given":"Uta"}],"issued":{"date-parts":[["2006",8]]}}}],"schema":"https://github.com/citation-style-language/schema/raw/master/csl-citation.json"} </w:instrText>
      </w:r>
      <w:r w:rsidRPr="00C043EA">
        <w:fldChar w:fldCharType="separate"/>
      </w:r>
      <w:r w:rsidR="00954B3D" w:rsidRPr="00954B3D">
        <w:rPr>
          <w:rFonts w:cs="Times New Roman"/>
        </w:rPr>
        <w:t>(</w:t>
      </w:r>
      <w:proofErr w:type="spellStart"/>
      <w:r w:rsidR="00954B3D" w:rsidRPr="00954B3D">
        <w:rPr>
          <w:rFonts w:cs="Times New Roman"/>
        </w:rPr>
        <w:t>Paszkowski</w:t>
      </w:r>
      <w:proofErr w:type="spellEnd"/>
      <w:r w:rsidR="00954B3D" w:rsidRPr="00954B3D">
        <w:rPr>
          <w:rFonts w:cs="Times New Roman"/>
        </w:rPr>
        <w:t>, 2006)</w:t>
      </w:r>
      <w:r w:rsidRPr="00C043EA">
        <w:fldChar w:fldCharType="end"/>
      </w:r>
      <w:r>
        <w:t xml:space="preserve"> and AMF</w:t>
      </w:r>
      <w:r w:rsidRPr="00C043EA">
        <w:t xml:space="preserve"> must modulate the plant defences to be able to effectively colonise the host plant. This modulation</w:t>
      </w:r>
      <w:r>
        <w:t xml:space="preserve"> which is</w:t>
      </w:r>
      <w:r w:rsidRPr="00C043EA">
        <w:t xml:space="preserve"> known as priming</w:t>
      </w:r>
      <w:r>
        <w:t>,</w:t>
      </w:r>
      <w:r w:rsidRPr="00C043EA">
        <w:t xml:space="preserve"> pre-conditions the plant immune system so that although defences are not actively expressed, in response to attack the defence system </w:t>
      </w:r>
      <w:r w:rsidRPr="00C043EA">
        <w:lastRenderedPageBreak/>
        <w:t xml:space="preserve">can respond more efficiently (faster and stronger) than a plant which is not in a primed state </w:t>
      </w:r>
      <w:r w:rsidRPr="00C043EA">
        <w:fldChar w:fldCharType="begin"/>
      </w:r>
      <w:r w:rsidR="00954B3D">
        <w:instrText xml:space="preserve"> ADDIN ZOTERO_ITEM CSL_CITATION {"citationID":"1hli7uvn1j","properties":{"formattedCitation":"{\\rtf (Pozo &amp; Azc\\uc0\\u243{}n-Aguilar, 2007)}","plainCitation":"(Pozo &amp; Azcón-Aguilar, 2007)"},"citationItems":[{"id":82,"uris":["http://zotero.org/users/local/d1gJDEOw/items/WI6UHIEX"],"uri":["http://zotero.org/users/local/d1gJDEOw/items/WI6UHIEX"],"itemData":{"id":82,"type":"article-journal","title":"Unraveling mycorrhiza-induced resistance","container-title":"Current Opinion in Plant Biology","collection-title":"Special Issue on Biotic InteractionsEdited by Jane Glazebrook and Jurriaan Ton","page":"393-398","volume":"10","issue":"4","source":"ScienceDirect","abstract":"Arbuscular mycorrhizal symbioses have a significant impact on plant interactions with other organisms. Increased resistance to soil-borne pathogens has been widely described in mycorrhizal plants. By contrast, effects on shoot diseases largely rely on the lifestyle and challenge strategy of the attacker. Among the potential mechanisms involved in the resistance of mycorrhizal systems, the induction of plant defenses is the most controversial. During mycorrhiza formation, modulation of plant defense responses occurs, potentially through cross-talk between salicylic acid and jasmonate dependent signaling pathways. This modulation may impact plant responses to potential enemies by priming the tissues for a more efficient activation of defense mechanisms.","DOI":"10.1016/j.pbi.2007.05.004","ISSN":"1369-5266","journalAbbreviation":"Current Opinion in Plant Biology","author":[{"family":"Pozo","given":"María J"},{"family":"Azcón-Aguilar","given":"Concepción"}],"issued":{"date-parts":[["2007",8]]}}}],"schema":"https://github.com/citation-style-language/schema/raw/master/csl-citation.json"} </w:instrText>
      </w:r>
      <w:r w:rsidRPr="00C043EA">
        <w:fldChar w:fldCharType="separate"/>
      </w:r>
      <w:r w:rsidR="00954B3D" w:rsidRPr="00954B3D">
        <w:rPr>
          <w:rFonts w:cs="Times New Roman"/>
          <w:szCs w:val="24"/>
        </w:rPr>
        <w:t>(</w:t>
      </w:r>
      <w:proofErr w:type="spellStart"/>
      <w:r w:rsidR="00954B3D" w:rsidRPr="00954B3D">
        <w:rPr>
          <w:rFonts w:cs="Times New Roman"/>
          <w:szCs w:val="24"/>
        </w:rPr>
        <w:t>Pozo</w:t>
      </w:r>
      <w:proofErr w:type="spellEnd"/>
      <w:r w:rsidR="00954B3D" w:rsidRPr="00954B3D">
        <w:rPr>
          <w:rFonts w:cs="Times New Roman"/>
          <w:szCs w:val="24"/>
        </w:rPr>
        <w:t xml:space="preserve"> &amp; </w:t>
      </w:r>
      <w:proofErr w:type="spellStart"/>
      <w:r w:rsidR="00954B3D" w:rsidRPr="00954B3D">
        <w:rPr>
          <w:rFonts w:cs="Times New Roman"/>
          <w:szCs w:val="24"/>
        </w:rPr>
        <w:t>Azcón</w:t>
      </w:r>
      <w:proofErr w:type="spellEnd"/>
      <w:r w:rsidR="00954B3D" w:rsidRPr="00954B3D">
        <w:rPr>
          <w:rFonts w:cs="Times New Roman"/>
          <w:szCs w:val="24"/>
        </w:rPr>
        <w:t>-Aguilar, 2007)</w:t>
      </w:r>
      <w:r w:rsidRPr="00C043EA">
        <w:fldChar w:fldCharType="end"/>
      </w:r>
      <w:r>
        <w:t>.</w:t>
      </w:r>
    </w:p>
    <w:p w:rsidR="00A57540" w:rsidRDefault="00A57540" w:rsidP="00861E0B">
      <w:r w:rsidRPr="00C043EA">
        <w:t xml:space="preserve">Although the molecular basis for </w:t>
      </w:r>
      <w:r>
        <w:t>AMF</w:t>
      </w:r>
      <w:r w:rsidRPr="00C043EA">
        <w:t xml:space="preserve"> induced response is not fully understood, colonisation of roots by AMF is known to result in priming of salicylic acid dependent genes in a similar way to systemic acquired resistance </w:t>
      </w:r>
      <w:r w:rsidRPr="00C043EA">
        <w:fldChar w:fldCharType="begin"/>
      </w:r>
      <w:r w:rsidR="00954B3D">
        <w:instrText xml:space="preserve"> ADDIN ZOTERO_ITEM CSL_CITATION {"citationID":"1cvnot9vd1","properties":{"formattedCitation":"{\\rtf (Gallou {\\i{}et al.}, 2011)}","plainCitation":"(Gallou et al., 2011)"},"citationItems":[{"id":85,"uris":["http://zotero.org/users/local/d1gJDEOw/items/GHXH5TIC"],"uri":["http://zotero.org/users/local/d1gJDEOw/items/GHXH5TIC"],"itemData":{"id":85,"type":"article-journal","title":"Mycorrhiza induced resistance in potato plantlets challenged by Phytophthora infestans","container-title":"Physiological and Molecular Plant Pathology","page":"20-26","volume":"76","issue":"1","source":"ScienceDirect","abstract":"Biological control of soil-borne pathogens by arbuscular mycorrhizal (AM) fungi has been repeatedly demonstrated. However, their role in the control of above-ground hemibiotrophic pathogens is less conclusive. Here, we investigated in vitro the impact of an AM fungus on Phytophthora infestans in potato plants. The leaf infection index was decreased in mycorrhizal potato plants. Real-Time Quantitative PCR revealed the induction of two pathogenesis related genes (PR1 and PR2) in the leaves of mycorrhizal plants shortly after infection with P. infestans. These results suggested a systemic resistance in mycorrhizal plants, related to the priming of the two PR genes in potato.","DOI":"10.1016/j.pmpp.2011.06.005","ISSN":"0885-5765","journalAbbreviation":"Physiological and Molecular Plant Pathology","author":[{"family":"Gallou","given":"Adrien"},{"family":"Lucero Mosquera","given":"Hernán Patricio"},{"family":"Cranenbrouck","given":"Sylvie"},{"family":"Suárez","given":"Juan Pablo"},{"family":"Declerck","given":"Stéphane"}],"issued":{"date-parts":[["2011",6]]}}}],"schema":"https://github.com/citation-style-language/schema/raw/master/csl-citation.json"} </w:instrText>
      </w:r>
      <w:r w:rsidRPr="00C043EA">
        <w:fldChar w:fldCharType="separate"/>
      </w:r>
      <w:r w:rsidR="00954B3D" w:rsidRPr="00954B3D">
        <w:rPr>
          <w:rFonts w:cs="Times New Roman"/>
          <w:szCs w:val="24"/>
        </w:rPr>
        <w:t>(</w:t>
      </w:r>
      <w:proofErr w:type="spellStart"/>
      <w:r w:rsidR="00954B3D" w:rsidRPr="00954B3D">
        <w:rPr>
          <w:rFonts w:cs="Times New Roman"/>
          <w:szCs w:val="24"/>
        </w:rPr>
        <w:t>Gallou</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2011)</w:t>
      </w:r>
      <w:r w:rsidRPr="00C043EA">
        <w:fldChar w:fldCharType="end"/>
      </w:r>
      <w:r w:rsidRPr="00C043EA">
        <w:t xml:space="preserve">. Mycorrhiza induced resistance is also known to be associated with activation of </w:t>
      </w:r>
      <w:proofErr w:type="spellStart"/>
      <w:r w:rsidRPr="00C043EA">
        <w:t>jasmonic</w:t>
      </w:r>
      <w:proofErr w:type="spellEnd"/>
      <w:r w:rsidRPr="00C043EA">
        <w:t xml:space="preserve"> acid related defences which are thought to play a prominent role in plant defence </w:t>
      </w:r>
      <w:r w:rsidRPr="00C043EA">
        <w:fldChar w:fldCharType="begin"/>
      </w:r>
      <w:r w:rsidR="00954B3D">
        <w:instrText xml:space="preserve"> ADDIN ZOTERO_ITEM CSL_CITATION {"citationID":"v98ad2vv0","properties":{"formattedCitation":"{\\rtf (Pozo &amp; Azc\\uc0\\u243{}n-Aguilar, 2007; Hao {\\i{}et al.}, 2012)}","plainCitation":"(Pozo &amp; Azcón-Aguilar, 2007; Hao et al., 2012)"},"citationItems":[{"id":88,"uris":["http://zotero.org/users/local/d1gJDEOw/items/PMZ233X9"],"uri":["http://zotero.org/users/local/d1gJDEOw/items/PMZ233X9"],"itemData":{"id":88,"type":"article-journal","title":"Local and systemic mycorrhiza-induced protection against the ectoparasitic nematode Xiphinema index involves priming of defence gene responses in grapevine","container-title":"Journal of Experimental Botany","page":"3657-3672","volume":"63","issue":"10","source":"jxb.oxfordjournals.org","abstract":"The ectoparasitic dagger nematode (Xiphinema index), vector of Grapevine fanleaf virus (GFLV), provokes gall formation and can cause severe damage to the root system of grapevines. Mycorrhiza formation by Glomus (syn. Rhizophagus) intraradices BEG141 reduced both gall formation on roots of the grapevine rootstock SO4 (Vitis berlandieri×V. riparia) and nematode number in the surrounding soil. Suppressive effects increased with time and were greater when the nematode was post-inoculated rather than co-inoculated with the arbuscular mycorrhizal (AM) fungus. Using a split-root system, decreased X. index development was shown in mycorrhizal and non-mycorrhizal parts of mycorrhizal root systems, indicating that both local and systemic induced bioprotection mechanisms were active against the ectoparasitic nematode. Expression analyses of ESTs (expressed sequence tags) generated in an SSH (subtractive suppressive hybridization) library, representing plant genes up-regulated during mycorrhiza-induced control of X. index, and of described grapevine defence genes showed activation of chitinase 1b, pathogenesis-related 10, glutathione S-transferase, stilbene synthase 1, 5-enolpyruvyl shikimate-3-phosphate synthase, and a heat shock proein 70-interacting protein in association with the observed local and/or systemic induced bioprotection against the nematode. Overall, the data suggest priming of grapevine defence responses by the AM fungus and transmission of a plant-mediated signal to non-mycorrhizal tissues. Grapevine gene responses during AM-induced local and systemic bioprotection against X. index point to biological processes that are related either to direct effects on the nematode or to protection against nematode-imposed stress to maintain root tissue integrity.","DOI":"10.1093/jxb/ers046","ISSN":"0022-0957, 1460-2431","note":"PMID: 22407649","journalAbbreviation":"J. Exp. Bot.","language":"en","author":[{"family":"Hao","given":"Zhipeng"},{"family":"Fayolle","given":"Léon"},{"family":"Tuinen","given":"Diederik","dropping-particle":"van"},{"family":"Chatagnier","given":"Odile"},{"family":"Li","given":"Xiaolin"},{"family":"Gianinazzi","given":"Silvio"},{"family":"Gianinazzi-Pearson","given":"Vivienne"}],"issued":{"date-parts":[["2012",1,6]]}}},{"id":82,"uris":["http://zotero.org/users/local/d1gJDEOw/items/WI6UHIEX"],"uri":["http://zotero.org/users/local/d1gJDEOw/items/WI6UHIEX"],"itemData":{"id":82,"type":"article-journal","title":"Unraveling mycorrhiza-induced resistance","container-title":"Current Opinion in Plant Biology","collection-title":"Special Issue on Biotic InteractionsEdited by Jane Glazebrook and Jurriaan Ton","page":"393-398","volume":"10","issue":"4","source":"ScienceDirect","abstract":"Arbuscular mycorrhizal symbioses have a significant impact on plant interactions with other organisms. Increased resistance to soil-borne pathogens has been widely described in mycorrhizal plants. By contrast, effects on shoot diseases largely rely on the lifestyle and challenge strategy of the attacker. Among the potential mechanisms involved in the resistance of mycorrhizal systems, the induction of plant defenses is the most controversial. During mycorrhiza formation, modulation of plant defense responses occurs, potentially through cross-talk between salicylic acid and jasmonate dependent signaling pathways. This modulation may impact plant responses to potential enemies by priming the tissues for a more efficient activation of defense mechanisms.","DOI":"10.1016/j.pbi.2007.05.004","ISSN":"1369-5266","journalAbbreviation":"Current Opinion in Plant Biology","author":[{"family":"Pozo","given":"María J"},{"family":"Azcón-Aguilar","given":"Concepción"}],"issued":{"date-parts":[["2007",8]]}}}],"schema":"https://github.com/citation-style-language/schema/raw/master/csl-citation.json"} </w:instrText>
      </w:r>
      <w:r w:rsidRPr="00C043EA">
        <w:fldChar w:fldCharType="separate"/>
      </w:r>
      <w:r w:rsidR="00954B3D" w:rsidRPr="00954B3D">
        <w:rPr>
          <w:rFonts w:cs="Times New Roman"/>
          <w:szCs w:val="24"/>
        </w:rPr>
        <w:t>(</w:t>
      </w:r>
      <w:proofErr w:type="spellStart"/>
      <w:r w:rsidR="00954B3D" w:rsidRPr="00954B3D">
        <w:rPr>
          <w:rFonts w:cs="Times New Roman"/>
          <w:szCs w:val="24"/>
        </w:rPr>
        <w:t>Pozo</w:t>
      </w:r>
      <w:proofErr w:type="spellEnd"/>
      <w:r w:rsidR="00954B3D" w:rsidRPr="00954B3D">
        <w:rPr>
          <w:rFonts w:cs="Times New Roman"/>
          <w:szCs w:val="24"/>
        </w:rPr>
        <w:t xml:space="preserve"> &amp; </w:t>
      </w:r>
      <w:proofErr w:type="spellStart"/>
      <w:r w:rsidR="00954B3D" w:rsidRPr="00954B3D">
        <w:rPr>
          <w:rFonts w:cs="Times New Roman"/>
          <w:szCs w:val="24"/>
        </w:rPr>
        <w:t>Azcón</w:t>
      </w:r>
      <w:proofErr w:type="spellEnd"/>
      <w:r w:rsidR="00954B3D" w:rsidRPr="00954B3D">
        <w:rPr>
          <w:rFonts w:cs="Times New Roman"/>
          <w:szCs w:val="24"/>
        </w:rPr>
        <w:t xml:space="preserve">-Aguilar, 2007; </w:t>
      </w:r>
      <w:proofErr w:type="spellStart"/>
      <w:r w:rsidR="00954B3D" w:rsidRPr="00954B3D">
        <w:rPr>
          <w:rFonts w:cs="Times New Roman"/>
          <w:szCs w:val="24"/>
        </w:rPr>
        <w:t>Hao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2012)</w:t>
      </w:r>
      <w:r w:rsidRPr="00C043EA">
        <w:fldChar w:fldCharType="end"/>
      </w:r>
      <w:r w:rsidRPr="00C043EA">
        <w:t xml:space="preserve"> and cell wall related defences </w:t>
      </w:r>
      <w:r w:rsidRPr="00C043EA">
        <w:fldChar w:fldCharType="begin"/>
      </w:r>
      <w:r w:rsidR="00954B3D">
        <w:instrText xml:space="preserve"> ADDIN ZOTERO_ITEM CSL_CITATION {"citationID":"9gbJPtJz","properties":{"formattedCitation":"{\\rtf (Pozo {\\i{}et al.}, 2002; Abdel-Fattah {\\i{}et al.}, 2011)}","plainCitation":"(Pozo et al., 2002; Abdel-Fattah et al., 2011)"},"citationItems":[{"id":100,"uris":["http://zotero.org/users/local/d1gJDEOw/items/5RICT9BA"],"uri":["http://zotero.org/users/local/d1gJDEOw/items/5RICT9BA"],"itemData":{"id":100,"type":"article-journal","title":"Induction of defense responses in common bean plants by arbuscular mycorrhizal fungi","container-title":"Microbiological Research","page":"268-281","volume":"166","issue":"4","source":"ScienceDirect","abstract":"Summary\nInteraction between arbuscular mycorrhizal fungi as a bio-agent and Rhizoctonia root rot disease of common bean plant was investigated in this study under natural conditions in pot experiment. A mixture of Egyptian formulated AM (Multi-VAM) in suspension form (1 × 106 unit L−1 in concentration) was used at dilution of 5 ml L−1 water. The results demonstrated that colonization of bean plants with AM fungi significantly increased growth parameters, yield parameters and mineral nutrient concentrations and reduced the negative effects on these parameters as well as both disease severity and disease incidence. Different physical and biochemical mechanisms have been shown to play a role in enhancement of plant resistance against Rhizoctonia solani, namely, improved plant nutrition, improved plant growth, increase in cell wall thickening, cytoplasmic granulation, and accumulation of some antimicrobial substances (phenolic compounds and defense related enzymes).","DOI":"10.1016/j.micres.2010.04.004","ISSN":"0944-5013","journalAbbreviation":"Microbiological Research","author":[{"family":"Abdel-Fattah","given":"G. M."},{"family":"El-Haddad","given":"S. A."},{"family":"Hafez","given":"E. E."},{"family":"Rashad","given":"Y. M."}],"issued":{"date-parts":[["2011",5,20]]}}},{"id":92,"uris":["http://zotero.org/users/local/d1gJDEOw/items/JASRPC2Q"],"uri":["http://zotero.org/users/local/d1gJDEOw/items/JASRPC2Q"],"itemData":{"id":92,"type":"article-journal","title":"Localized versus systemic effect of arbuscular mycorrhizal fungi on defence responses to Phytophthora infection in tomato plants","container-title":"Journal of Experimental Botany","page":"525-534","volume":"53","issue":"368","source":"jxb.oxfordjournals.org","abstract":"Development of biological control for plant diseases is accepted as a durable and environmentally friendly alternative for agrochemicals. Arbuscular mycorrhizal fungi (AMF), which form symbiotic associations with root systems of most agricultural, horticultural and hardwood crop species, have been suggested as widespread potential bioprotective agents. In the present study the ability of two AMF (Glomus mosseae and Glomus intraradices) to induce local or systemic resistance to Phytophthora parasitica in tomato roots have been compared using a split root experimental system. Glomus mosseae was effective in reducing disease symptoms produced by P. parasitica infection, and evidence points to a combination of local and systemic mechanisms being responsible for this bioprotector effect. The biochemical analysis of different plant defence‐related enzymes showed a local induction of mycorrhiza‐related new isoforms of the hydrolytic enzymes chitinase, chitosanase and β‐1,3‐glucanase, as well as superoxide dismutase, an enzyme which is involved in cell protection against oxidative stress. Systemic alterations of the activity of some of the constitutive isoforms were also observed in non‐mycorrhizal roots of mycorrhizal plants. Studies on the lytic activity against Phytophthora cell wall of root protein extracts also corroborated a systemic effect of mycorrhizal symbiosis on tomato resistance to Phytophthora.","DOI":"10.1093/jexbot/53.368.525","ISSN":"0022-0957, 1460-2431","note":"PMID: 11847251","journalAbbreviation":"J. Exp. Bot.","language":"en","author":[{"family":"Pozo","given":"Maria J."},{"family":"Cordier","given":"Christelle"},{"family":"Dumas‐Gaudot","given":"Eliane"},{"family":"Gianinazzi","given":"Silvio"},{"family":"Barea","given":"Jose M."},{"family":"Azcón‐Aguilar","given":"Concepción"}],"issued":{"date-parts":[["2002",1,3]]}}}],"schema":"https://github.com/citation-style-language/schema/raw/master/csl-citation.json"} </w:instrText>
      </w:r>
      <w:r w:rsidRPr="00C043EA">
        <w:fldChar w:fldCharType="separate"/>
      </w:r>
      <w:r w:rsidR="00954B3D" w:rsidRPr="00954B3D">
        <w:rPr>
          <w:rFonts w:cs="Times New Roman"/>
          <w:szCs w:val="24"/>
        </w:rPr>
        <w:t>(</w:t>
      </w:r>
      <w:proofErr w:type="spellStart"/>
      <w:r w:rsidR="00954B3D" w:rsidRPr="00954B3D">
        <w:rPr>
          <w:rFonts w:cs="Times New Roman"/>
          <w:szCs w:val="24"/>
        </w:rPr>
        <w:t>Pozo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2002; Abdel-Fattah </w:t>
      </w:r>
      <w:r w:rsidR="00954B3D" w:rsidRPr="00954B3D">
        <w:rPr>
          <w:rFonts w:cs="Times New Roman"/>
          <w:i/>
          <w:iCs/>
          <w:szCs w:val="24"/>
        </w:rPr>
        <w:t>et al.</w:t>
      </w:r>
      <w:r w:rsidR="00954B3D" w:rsidRPr="00954B3D">
        <w:rPr>
          <w:rFonts w:cs="Times New Roman"/>
          <w:szCs w:val="24"/>
        </w:rPr>
        <w:t>, 2011)</w:t>
      </w:r>
      <w:r w:rsidRPr="00C043EA">
        <w:fldChar w:fldCharType="end"/>
      </w:r>
      <w:r w:rsidRPr="00C043EA">
        <w:t xml:space="preserve">. Primed </w:t>
      </w:r>
      <w:proofErr w:type="spellStart"/>
      <w:r w:rsidRPr="00C043EA">
        <w:t>jasmonate</w:t>
      </w:r>
      <w:proofErr w:type="spellEnd"/>
      <w:r w:rsidRPr="00C043EA">
        <w:t xml:space="preserve"> regulated defences are known to be effective in restricting development of </w:t>
      </w:r>
      <w:proofErr w:type="spellStart"/>
      <w:r w:rsidRPr="00C043EA">
        <w:t>nectrotrophic</w:t>
      </w:r>
      <w:proofErr w:type="spellEnd"/>
      <w:r w:rsidRPr="00C043EA">
        <w:t xml:space="preserve"> fungi which include </w:t>
      </w:r>
      <w:r w:rsidRPr="00C043EA">
        <w:rPr>
          <w:i/>
        </w:rPr>
        <w:t>Neonectria ditissima</w:t>
      </w:r>
      <w:r w:rsidRPr="00C043EA">
        <w:t xml:space="preserve"> (Jung et al, 2012) and have been reported for </w:t>
      </w:r>
      <w:proofErr w:type="spellStart"/>
      <w:r w:rsidRPr="00C043EA">
        <w:t>nectrotrophic</w:t>
      </w:r>
      <w:proofErr w:type="spellEnd"/>
      <w:r w:rsidRPr="00C043EA">
        <w:t xml:space="preserve"> pathogens infecting tomato </w:t>
      </w:r>
      <w:r w:rsidRPr="00C043EA">
        <w:fldChar w:fldCharType="begin"/>
      </w:r>
      <w:r w:rsidR="00954B3D">
        <w:instrText xml:space="preserve"> ADDIN ZOTERO_ITEM CSL_CITATION {"citationID":"biv4u59r4","properties":{"formattedCitation":"{\\rtf (Fritz {\\i{}et al.}, 2006)}","plainCitation":"(Fritz et al., 2006)"},"citationItems":[{"id":71,"uris":["http://zotero.org/users/local/d1gJDEOw/items/NXZED4TH"],"uri":["http://zotero.org/users/local/d1gJDEOw/items/NXZED4TH"],"itemData":{"id":71,"type":"article-journal","title":"Arbuscular mycorrhiza reduces susceptibility of tomato to Alternaria solani","container-title":"Mycorrhiza","page":"413-419","volume":"16","issue":"6","abstract":"Mycorrhiza frequently leads to the control of root pathogens, but appears to have the opposite effect on leaf pathogens. In this study, we studied mycorrhizal effects on the development of early blight in tomato (Solanum lycopersicum) caused by the necrotrophic fungus Alternaria solani. Alternaria-induced necrosis and chlorosis of all leaves were studied in mycorrhizal and non-mycorrhizal plants over time course and at different soil P levels. Mycorrhizal tomato plants had significantly less A. solani symptoms than non-mycorrhizal plants, but neither plant growth nor phosphate uptake was enhanced by mycorrhizas. An increased P supply had no effect on disease severity in non-mycorrhizal plants, but led to a higher disease severity in mycorrhizal plants. This was parallel to a P-supply-induced reduction in mycorrhiza formation. The protective effect of mycorrhizas towards development of A. solani has some parallels to induced systemic resistance, mediated by rhizobacteria: both biocontrol agents are root-associated organisms and both are effective against necrotrophic pathogens. The possible mechanisms involved are discussed.","DOI":"10.1007/s00572-006-0051-z","ISSN":"1432-1890","journalAbbreviation":"Mycorrhiza","author":[{"family":"Fritz","given":"Maendy"},{"family":"Jakobsen","given":"Iver"},{"family":"Lyngkjær","given":"Michael Foged"},{"family":"Thordal-Christensen","given":"Hans"},{"family":"Pons-Kühnemann","given":"Jörn"}],"issued":{"date-parts":[["2006"]]}}}],"schema":"https://github.com/citation-style-language/schema/raw/master/csl-citation.json"} </w:instrText>
      </w:r>
      <w:r w:rsidRPr="00C043EA">
        <w:fldChar w:fldCharType="separate"/>
      </w:r>
      <w:r w:rsidR="00954B3D" w:rsidRPr="00954B3D">
        <w:rPr>
          <w:rFonts w:cs="Times New Roman"/>
          <w:szCs w:val="24"/>
        </w:rPr>
        <w:t xml:space="preserve">(Fritz </w:t>
      </w:r>
      <w:r w:rsidR="00954B3D" w:rsidRPr="00954B3D">
        <w:rPr>
          <w:rFonts w:cs="Times New Roman"/>
          <w:i/>
          <w:iCs/>
          <w:szCs w:val="24"/>
        </w:rPr>
        <w:t>et al.</w:t>
      </w:r>
      <w:r w:rsidR="00954B3D" w:rsidRPr="00954B3D">
        <w:rPr>
          <w:rFonts w:cs="Times New Roman"/>
          <w:szCs w:val="24"/>
        </w:rPr>
        <w:t>, 2006)</w:t>
      </w:r>
      <w:r w:rsidRPr="00C043EA">
        <w:fldChar w:fldCharType="end"/>
      </w:r>
      <w:r w:rsidRPr="00C043EA">
        <w:t xml:space="preserve"> and rice </w:t>
      </w:r>
      <w:r w:rsidRPr="00C043EA">
        <w:fldChar w:fldCharType="begin"/>
      </w:r>
      <w:r w:rsidR="00954B3D">
        <w:instrText xml:space="preserve"> ADDIN ZOTERO_ITEM CSL_CITATION {"citationID":"1cdvvpqipl","properties":{"formattedCitation":"{\\rtf (Campos-Soriano {\\i{}et al.}, 2012)}","plainCitation":"(Campos-Soriano et al., 2012)"},"citationItems":[{"id":103,"uris":["http://zotero.org/users/local/d1gJDEOw/items/D25FEAXF"],"uri":["http://zotero.org/users/local/d1gJDEOw/items/D25FEAXF"],"itemData":{"id":103,"type":"article-journal","title":"The arbuscular mycorrhizal symbiosis promotes the systemic induction of regulatory defence-related genes in rice leaves and confers resistance to pathogen infection","container-title":"Molecular Plant Pathology","page":"579-592","volume":"13","issue":"6","source":"Wiley Online Library","abstract":"Arbuscular mycorrhizal (AM) symbioses are mutualistic associations between soil fungi and most vascular plants. Their association benefits the host plant by improving nutrition, mainly phosphorus nutrition, and by providing increased capability to cope with adverse conditions. In this study, we investigated the transcriptional changes triggered in rice leaves as a result of AM symbiosis, focusing on the relevance of the plant defence response. We showed that root colonization by the AM fungus Glomus intraradices is accompanied by the systemic induction of genes that play a regulatory role in the host defence response, such as OsNPR1, OsAP2, OsEREBP and OsJAmyb. Genes involved in signal transduction processes (OsDUF26 and OsMPK6) and genes that function in calcium-mediated signalling processes (OsCBP, OsCaM and OsCML4) are also up-regulated in leaves of mycorrhizal rice plants in the absence of pathogen infection. In addition, the mycorrhizal rice plants exhibit a stronger induction of defence marker genes [i.e. pathogenesis-related (PR) genes] in their leaves in response to infection by the blast fungus Magnaporthe oryzae. Evidence indicates that mycorrhizal rice plants show enhanced resistance to the rice blast fungus. Overall, these results suggest that the protective effect of the AM symbiosis in rice plants relies on both the systemic activation of defence regulatory genes in the absence of pathogen challenge and the priming for stronger expression of defence effector genes during pathogen infection. The possible mechanisms involved in the mycorrhiza-induced resistance to M. oryzae infection are discussed.","DOI":"10.1111/j.1364-3703.2011.00773.x","ISSN":"1364-3703","language":"en","author":[{"family":"Campos-Soriano","given":"Lidia"},{"family":"García-Martínez","given":"José"},{"family":"Segundo","given":"Blanca San"}],"issued":{"date-parts":[["2012",8,1]]}}}],"schema":"https://github.com/citation-style-language/schema/raw/master/csl-citation.json"} </w:instrText>
      </w:r>
      <w:r w:rsidRPr="00C043EA">
        <w:fldChar w:fldCharType="separate"/>
      </w:r>
      <w:r w:rsidR="00954B3D" w:rsidRPr="00954B3D">
        <w:rPr>
          <w:rFonts w:cs="Times New Roman"/>
          <w:szCs w:val="24"/>
        </w:rPr>
        <w:t xml:space="preserve">(Campos-Soriano </w:t>
      </w:r>
      <w:r w:rsidR="00954B3D" w:rsidRPr="00954B3D">
        <w:rPr>
          <w:rFonts w:cs="Times New Roman"/>
          <w:i/>
          <w:iCs/>
          <w:szCs w:val="24"/>
        </w:rPr>
        <w:t>et al.</w:t>
      </w:r>
      <w:r w:rsidR="00954B3D" w:rsidRPr="00954B3D">
        <w:rPr>
          <w:rFonts w:cs="Times New Roman"/>
          <w:szCs w:val="24"/>
        </w:rPr>
        <w:t>, 2012)</w:t>
      </w:r>
      <w:r w:rsidRPr="00C043EA">
        <w:fldChar w:fldCharType="end"/>
      </w:r>
      <w:r w:rsidRPr="00C043EA">
        <w:t>.</w:t>
      </w:r>
      <w:r>
        <w:t xml:space="preserve"> </w:t>
      </w:r>
      <w:r w:rsidRPr="00C043EA">
        <w:t>Mycorrhiza induced resistance is thought to result from culmination of both the direct plant response to mycorrhizal infection</w:t>
      </w:r>
      <w:r>
        <w:t xml:space="preserve"> by priming and also synergistic interactions between mycorrhiza and rhizobacteria within the rhizosphere. </w:t>
      </w:r>
      <w:r w:rsidRPr="00C043EA">
        <w:t xml:space="preserve">(Cameron </w:t>
      </w:r>
      <w:r w:rsidRPr="00C043EA">
        <w:rPr>
          <w:i/>
        </w:rPr>
        <w:t>et al</w:t>
      </w:r>
      <w:r w:rsidRPr="00C043EA">
        <w:t>., 2013).</w:t>
      </w:r>
      <w:r>
        <w:t xml:space="preserve"> Mycorrhizal infection of host plants may influence recruitment of rhizobacteria through alteration of host root exudes within the soil </w:t>
      </w:r>
      <w:r>
        <w:fldChar w:fldCharType="begin"/>
      </w:r>
      <w:r w:rsidR="00954B3D">
        <w:instrText xml:space="preserve"> ADDIN ZOTERO_ITEM CSL_CITATION {"citationID":"137rlseshi","properties":{"formattedCitation":"{\\rtf (Frey-Klett {\\i{}et al.}, 2007)}","plainCitation":"(Frey-Klett et al., 2007)"},"citationItems":[{"id":738,"uris":["http://zotero.org/users/local/d1gJDEOw/items/6ITJ72XV"],"uri":["http://zotero.org/users/local/d1gJDEOw/items/6ITJ72XV"],"itemData":{"id":738,"type":"article-journal","title":"The mycorrhiza helper bacteria revisited","container-title":"The New Phytologist","page":"22-36","volume":"176","issue":"1","source":"PubMed","abstract":"In natural conditions, mycorrhizal fungi are surrounded by complex microbial communities, which modulate the mycorrhizal symbiosis. Here, the focus is on the so-called mycorrhiza helper bacteria (MHB). This concept is revisited, and the distinction is made between the helper bacteria, which assist mycorrhiza formation, and those that interact positively with the functioning of the symbiosis. After considering some examples of MHB from the literature, the ecological and evolutionary implications of the relationships of MHB with mycorrhizal fungi are discussed. The question of the specificity of the MHB effect is addressed, and an assessment is made of progress in understanding the mechanisms of the MHB effect, which has been made possible through the development of genomics. Finally, clear evidence is presented suggesting that some MHB promote the functioning of the mycorrhizal symbiosis. This is illustrated for three critical functions of practical significance: nutrient mobilization from soil minerals, fixation of atmospheric nitrogen, and protection of plants against root pathogens. The review concludes with discussion of future research priorities regarding the potentially very fruitful concept of MHB.","DOI":"10.1111/j.1469-8137.2007.02191.x","ISSN":"0028-646X","note":"PMID: 17803639","journalAbbreviation":"New Phytol.","language":"eng","author":[{"family":"Frey-Klett","given":"P."},{"family":"Garbaye","given":"J."},{"family":"Tarkka","given":"M."}],"issued":{"date-parts":[["2007"]]}}}],"schema":"https://github.com/citation-style-language/schema/raw/master/csl-citation.json"} </w:instrText>
      </w:r>
      <w:r>
        <w:fldChar w:fldCharType="separate"/>
      </w:r>
      <w:r w:rsidR="00954B3D" w:rsidRPr="00954B3D">
        <w:rPr>
          <w:rFonts w:cs="Times New Roman"/>
          <w:szCs w:val="24"/>
        </w:rPr>
        <w:t>(Frey-</w:t>
      </w:r>
      <w:proofErr w:type="spellStart"/>
      <w:r w:rsidR="00954B3D" w:rsidRPr="00954B3D">
        <w:rPr>
          <w:rFonts w:cs="Times New Roman"/>
          <w:szCs w:val="24"/>
        </w:rPr>
        <w:t>Klett</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2007)</w:t>
      </w:r>
      <w:r>
        <w:fldChar w:fldCharType="end"/>
      </w:r>
      <w:r>
        <w:t xml:space="preserve"> some of which are known to have an important effects upon plant growth and systemic resistance </w:t>
      </w:r>
      <w:r>
        <w:fldChar w:fldCharType="begin"/>
      </w:r>
      <w:r w:rsidR="00954B3D">
        <w:instrText xml:space="preserve"> ADDIN ZOTERO_ITEM CSL_CITATION {"citationID":"pMWUGoNt","properties":{"formattedCitation":"{\\rtf (Lioussanne, 2013; D\\uc0\\u8217{}Alessandro {\\i{}et al.}, 2014)}","plainCitation":"(Lioussanne, 2013; D’Alessandro et al., 2014)"},"citationItems":[{"id":742,"uris":["http://zotero.org/users/local/d1gJDEOw/items/W33UZVB6"],"uri":["http://zotero.org/users/local/d1gJDEOw/items/W33UZVB6"],"itemData":{"id":742,"type":"article-journal","title":"The role of the arbuscular mycorrhiza-associated rhizobacteria in the biocontrol of soilborne phytopathogens: a review","container-title":"Spanish Journal of Agricultural Research","page":"51-61","volume":"8","issue":"S1","source":"revistas.inia.es","abstract":"The mutualistic symbiosis of most land plants with arbuscular mycorrhizal (AM) fungi has been shown to favor mineral and water nutrition and to increase resistance to abiotic and biotic stresses. This review reports the main mechanisms involved in the control of the disease symptoms and of the intraradical proliferation of soilborne phytopathogens by root colonization with AM fungi, with a special emphasis on the role of the rhizobacteria shown to be specifically associated with the AM extraradical network and the mycorrhizosphere (the soil zone with particular characteristics under the influence of the root/AM association). The mycorrhizosphere would constitute an environment conducive to microorganisms antagonistic to pathogen proliferation. Moreover, attempts to identify rhizobacteria from AM structures and/or the mycorrhizosphere often lead to the isolation of organisms showing strong properties of antagonism on various soilborne pathogens. The ability of AM fungi to control soilborne diseases would be strongly related to their capacity to specifically stimulate the establishment of rhizobacteria unfavorable to pathogen development within the mycorrhizosphere before root infection. Current knowledge concerning the mechanisms involved in AM/rhizobacteria interactions are also described in this review.","DOI":"10.5424/sjar/201008S1-5301","ISSN":"2171-9292","shortTitle":"The role of the arbuscular mycorrhiza-associated rhizobacteria in the biocontrol of soilborne phytopathogens","language":"en","author":[{"family":"Lioussanne","given":"L."}],"issued":{"date-parts":[["2013",11,14]]}}},{"id":740,"uris":["http://zotero.org/users/local/d1gJDEOw/items/QFCQEJIA"],"uri":["http://zotero.org/users/local/d1gJDEOw/items/QFCQEJIA"],"itemData":{"id":740,"type":"article-journal","title":"Volatiles produced by soil-borne endophytic bacteria increase plant pathogen resistance and affect tritrophic interactions","container-title":"Plant, Cell &amp; Environment","page":"813-826","volume":"37","issue":"4","source":"PubMed","abstract":"Volatile organic compounds (VOCs) released by soil microorganisms influence plant growth and pathogen resistance. Yet, very little is known about their influence on herbivores and higher trophic levels. We studied the origin and role of a major bacterial VOC, 2,3-butanediol (2,3-BD), on plant growth, pathogen and herbivore resistance, and the attraction of natural enemies in maize. One of the major contributors to 2,3-BD in the headspace of soil-grown maize seedlings was identified as Enterobacter aerogenes, an endophytic bacterium that colonizes the plants. The production of 2,3-BD by E. aerogenes rendered maize plants more resistant against the Northern corn leaf blight fungus Setosphaeria turcica. On the contrary, E. aerogenes-inoculated plants were less resistant against the caterpillar Spodoptera littoralis. The effect of 2,3-BD on the attraction of the parasitoid Cotesia marginiventris was more variable: 2,3-BD application to the headspace of the plants had no effect on the parasitoids, but application to the soil increased parasitoid attraction. Furthermore, inoculation of seeds with E. aerogenes decreased plant attractiveness, whereas inoculation of soil with a total extract of soil microbes increased parasitoid attraction, suggesting that the effect of 2,3-BD on the parasitoid is indirect and depends on the composition of the microbial community.","DOI":"10.1111/pce.12220","ISSN":"1365-3040","note":"PMID: 24127750\nPMCID: PMC4194311","journalAbbreviation":"Plant Cell Environ.","language":"eng","author":[{"family":"D'Alessandro","given":"Marco"},{"family":"Erb","given":"Matthias"},{"family":"Ton","given":"Jurriaan"},{"family":"Brandenburg","given":"Anna"},{"family":"Karlen","given":"Danielle"},{"family":"Zopfi","given":"Jakob"},{"family":"Turlings","given":"Ted C. J."}],"issued":{"date-parts":[["2014",4]]}}}],"schema":"https://github.com/citation-style-language/schema/raw/master/csl-citation.json"}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Lioussanne</w:t>
      </w:r>
      <w:proofErr w:type="spellEnd"/>
      <w:r w:rsidR="00954B3D" w:rsidRPr="00954B3D">
        <w:rPr>
          <w:rFonts w:cs="Times New Roman"/>
          <w:szCs w:val="24"/>
        </w:rPr>
        <w:t xml:space="preserve">, 2013; D’Alessandro </w:t>
      </w:r>
      <w:r w:rsidR="00954B3D" w:rsidRPr="00954B3D">
        <w:rPr>
          <w:rFonts w:cs="Times New Roman"/>
          <w:i/>
          <w:iCs/>
          <w:szCs w:val="24"/>
        </w:rPr>
        <w:t>et al.</w:t>
      </w:r>
      <w:r w:rsidR="00954B3D" w:rsidRPr="00954B3D">
        <w:rPr>
          <w:rFonts w:cs="Times New Roman"/>
          <w:szCs w:val="24"/>
        </w:rPr>
        <w:t>, 2014)</w:t>
      </w:r>
      <w:r>
        <w:fldChar w:fldCharType="end"/>
      </w:r>
      <w:r>
        <w:t xml:space="preserve">. Recent work by  </w:t>
      </w:r>
      <w:r>
        <w:fldChar w:fldCharType="begin"/>
      </w:r>
      <w:r w:rsidR="00954B3D">
        <w:instrText xml:space="preserve"> ADDIN ZOTERO_ITEM CSL_CITATION {"citationID":"32h5ro0is","properties":{"formattedCitation":"{\\rtf (P\\uc0\\u233{}rez-de-Luque {\\i{}et al.}, in press)}","plainCitation":"(Pérez-de-Luque et al., in press)"},"citationItems":[{"id":737,"uris":["http://zotero.org/users/local/d1gJDEOw/items/CU7GH6V3"],"uri":["http://zotero.org/users/local/d1gJDEOw/items/CU7GH6V3"],"itemData":{"id":737,"type":"article-journal","title":"A call to arms: resolving the interactive effects of arbuscular mycorrhiza and plant growth promoting rhizobacteria (PGPR) on plant health","author":[{"family":"Pérez-de-Luque","given":"Alejandro"},{"family":"Tille","given":"Stefanie"},{"family":"Johnson","given":"Irene"},{"family":"Pascual-Pardo","given":"David"},{"family":"Ton","given":"Jurian"},{"family":"Cameron","given":"Duncan D."}],"issued":{"literal":"in press"}}}],"schema":"https://github.com/citation-style-language/schema/raw/master/csl-citation.json"} </w:instrText>
      </w:r>
      <w:r>
        <w:fldChar w:fldCharType="separate"/>
      </w:r>
      <w:r w:rsidR="00954B3D" w:rsidRPr="00954B3D">
        <w:rPr>
          <w:rFonts w:cs="Times New Roman"/>
          <w:szCs w:val="24"/>
        </w:rPr>
        <w:t>(Pérez-de-</w:t>
      </w:r>
      <w:proofErr w:type="spellStart"/>
      <w:r w:rsidR="00954B3D" w:rsidRPr="00954B3D">
        <w:rPr>
          <w:rFonts w:cs="Times New Roman"/>
          <w:szCs w:val="24"/>
        </w:rPr>
        <w:t>Luque</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in press)</w:t>
      </w:r>
      <w:r>
        <w:fldChar w:fldCharType="end"/>
      </w:r>
      <w:r>
        <w:t xml:space="preserve"> has demonstrated how synergistic interactions between </w:t>
      </w:r>
      <w:r w:rsidRPr="00071C86">
        <w:rPr>
          <w:i/>
        </w:rPr>
        <w:t xml:space="preserve">R. </w:t>
      </w:r>
      <w:proofErr w:type="spellStart"/>
      <w:r w:rsidRPr="00071C86">
        <w:rPr>
          <w:i/>
        </w:rPr>
        <w:t>intraradices</w:t>
      </w:r>
      <w:proofErr w:type="spellEnd"/>
      <w:r>
        <w:t xml:space="preserve"> and rhizobacteria may affect growth and priming response (</w:t>
      </w:r>
      <w:proofErr w:type="spellStart"/>
      <w:r>
        <w:t>callose</w:t>
      </w:r>
      <w:proofErr w:type="spellEnd"/>
      <w:r>
        <w:t xml:space="preserve"> deposition) thus highlighting the importance of both direct and indirect effects of AMF upon host plant health.  </w:t>
      </w:r>
    </w:p>
    <w:p w:rsidR="00A57540" w:rsidRDefault="00A57540" w:rsidP="00861E0B">
      <w:r w:rsidRPr="00C043EA">
        <w:rPr>
          <w:lang w:val="en-US"/>
        </w:rPr>
        <w:t xml:space="preserve">Interestingly, our results reveal that the degree of pathogen suppression we reported was not negatively influence by nutrient–induced reductions in mycorrhizal </w:t>
      </w:r>
      <w:r w:rsidR="00223448" w:rsidRPr="00EC275C">
        <w:t>colonisation</w:t>
      </w:r>
      <w:r w:rsidRPr="00C043EA">
        <w:rPr>
          <w:lang w:val="en-US"/>
        </w:rPr>
        <w:t xml:space="preserve">.  Specifically, mycorrhizal </w:t>
      </w:r>
      <w:r w:rsidRPr="00E85633">
        <w:t>colonisation</w:t>
      </w:r>
      <w:r w:rsidRPr="00C043EA">
        <w:rPr>
          <w:lang w:val="en-US"/>
        </w:rPr>
        <w:t xml:space="preserve"> was on average reduced by 50% under high nutrient treatment, nutrient application did not significantly affect pathogen infection levels. This suggests that even at relatively low levels of </w:t>
      </w:r>
      <w:r w:rsidRPr="003C6D28">
        <w:t>colonisation</w:t>
      </w:r>
      <w:r w:rsidRPr="00C043EA">
        <w:rPr>
          <w:lang w:val="en-US"/>
        </w:rPr>
        <w:t xml:space="preserve"> (~20%) mycorrhiza are able to induce a significant response in the host immune system.</w:t>
      </w:r>
    </w:p>
    <w:p w:rsidR="00A57540" w:rsidRDefault="00A57540" w:rsidP="00A57540">
      <w:pPr>
        <w:pStyle w:val="Heading3"/>
      </w:pPr>
      <w:bookmarkStart w:id="186" w:name="_Toc469855030"/>
      <w:bookmarkStart w:id="187" w:name="_Toc469856030"/>
      <w:bookmarkStart w:id="188" w:name="_Toc469931939"/>
      <w:bookmarkStart w:id="189" w:name="_Toc469982260"/>
      <w:r w:rsidRPr="00C043EA">
        <w:t>Nutrient treatment effects</w:t>
      </w:r>
      <w:bookmarkEnd w:id="186"/>
      <w:bookmarkEnd w:id="187"/>
      <w:bookmarkEnd w:id="188"/>
      <w:bookmarkEnd w:id="189"/>
      <w:r w:rsidRPr="00C043EA">
        <w:t xml:space="preserve"> </w:t>
      </w:r>
    </w:p>
    <w:p w:rsidR="00A57540" w:rsidRDefault="00A57540" w:rsidP="00861E0B">
      <w:r>
        <w:t xml:space="preserve">Our results show a </w:t>
      </w:r>
      <w:r w:rsidRPr="00C043EA">
        <w:t>clear negative effect of nutrient application</w:t>
      </w:r>
      <w:r>
        <w:t xml:space="preserve"> rates</w:t>
      </w:r>
      <w:r w:rsidRPr="00C043EA">
        <w:t xml:space="preserve"> upon mycorrhizal colonisation </w:t>
      </w:r>
      <w:r>
        <w:t>(</w:t>
      </w:r>
      <w:r w:rsidR="00F6521E">
        <w:fldChar w:fldCharType="begin"/>
      </w:r>
      <w:r w:rsidR="00F6521E">
        <w:instrText xml:space="preserve"> REF _Ref469858303 \h </w:instrText>
      </w:r>
      <w:r w:rsidR="00F6521E">
        <w:fldChar w:fldCharType="separate"/>
      </w:r>
      <w:r w:rsidR="00E0714D" w:rsidRPr="00C043EA">
        <w:t xml:space="preserve">Figure </w:t>
      </w:r>
      <w:r w:rsidR="00E0714D">
        <w:rPr>
          <w:noProof/>
        </w:rPr>
        <w:t>2</w:t>
      </w:r>
      <w:r w:rsidR="00E0714D">
        <w:t>.</w:t>
      </w:r>
      <w:r w:rsidR="00E0714D">
        <w:rPr>
          <w:noProof/>
        </w:rPr>
        <w:t>2</w:t>
      </w:r>
      <w:r w:rsidR="00F6521E">
        <w:fldChar w:fldCharType="end"/>
      </w:r>
      <w:r>
        <w:t>). Similar r</w:t>
      </w:r>
      <w:r w:rsidRPr="00C043EA">
        <w:t>eduction</w:t>
      </w:r>
      <w:r>
        <w:t>s</w:t>
      </w:r>
      <w:r w:rsidRPr="00C043EA">
        <w:t xml:space="preserve"> in mycorrhizal colonisation in response to</w:t>
      </w:r>
      <w:r>
        <w:t xml:space="preserve"> routine agricultural</w:t>
      </w:r>
      <w:r w:rsidRPr="00C043EA">
        <w:t xml:space="preserve"> fertili</w:t>
      </w:r>
      <w:r>
        <w:t>ser application have been reported by studies examining AMF crop symbiosis in the field</w:t>
      </w:r>
      <w:r w:rsidRPr="00C043EA">
        <w:t xml:space="preserve"> (Johnson </w:t>
      </w:r>
      <w:r w:rsidRPr="00C043EA">
        <w:rPr>
          <w:i/>
        </w:rPr>
        <w:t>et al</w:t>
      </w:r>
      <w:r w:rsidRPr="00C043EA">
        <w:t xml:space="preserve">., 2005; Gosling </w:t>
      </w:r>
      <w:r w:rsidRPr="00C043EA">
        <w:rPr>
          <w:i/>
        </w:rPr>
        <w:t>et al</w:t>
      </w:r>
      <w:r w:rsidRPr="00C043EA">
        <w:t xml:space="preserve">., 2006; Li </w:t>
      </w:r>
      <w:r w:rsidRPr="00C043EA">
        <w:rPr>
          <w:i/>
        </w:rPr>
        <w:t>et al</w:t>
      </w:r>
      <w:r w:rsidRPr="00C043EA">
        <w:t>., 2006)</w:t>
      </w:r>
      <w:r>
        <w:t>.</w:t>
      </w:r>
      <w:r w:rsidRPr="00C043EA">
        <w:t xml:space="preserve"> </w:t>
      </w:r>
      <w:r>
        <w:t xml:space="preserve">Reduced colonisation of apple treated within inorganic NPK fertiliser has also been found in apple seedlings </w:t>
      </w:r>
      <w:r>
        <w:fldChar w:fldCharType="begin"/>
      </w:r>
      <w:r w:rsidR="00954B3D">
        <w:instrText xml:space="preserve"> ADDIN ZOTERO_ITEM CSL_CITATION {"citationID":"1810s1anb6","properties":{"formattedCitation":"{\\rtf (Miller {\\i{}et al.}, 1985a)}","plainCitation":"(Miller et al., 1985a)"},"citationItems":[{"id":169,"uris":["http://zotero.org/users/local/d1gJDEOw/items/7U7J7NHE"],"uri":["http://zotero.org/users/local/d1gJDEOw/items/7U7J7NHE"],"itemData":{"id":169,"type":"article-journal","title":"Mycorrhizal Fungi at 18-Apple Rootstock Plantings in the United-States","container-title":"New Phytologist","page":"379-391","volume":"100","issue":"3","source":"Web of Science","DOI":"10.1111/j.1469-8137.1985.tb02787.x","ISSN":"0028-646X","note":"WOS:A1985AND4800010","journalAbbreviation":"New Phytol.","language":"English","author":[{"family":"Miller","given":"Dd"},{"family":"Domoto","given":"Pa"},{"family":"Walker","given":"C."}],"issued":{"date-parts":[["1985"]]}}}],"schema":"https://github.com/citation-style-language/schema/raw/master/csl-citation.json"} </w:instrText>
      </w:r>
      <w:r>
        <w:fldChar w:fldCharType="separate"/>
      </w:r>
      <w:r w:rsidR="00954B3D" w:rsidRPr="00954B3D">
        <w:rPr>
          <w:rFonts w:cs="Times New Roman"/>
          <w:szCs w:val="24"/>
        </w:rPr>
        <w:t xml:space="preserve">(Miller </w:t>
      </w:r>
      <w:r w:rsidR="00954B3D" w:rsidRPr="00954B3D">
        <w:rPr>
          <w:rFonts w:cs="Times New Roman"/>
          <w:i/>
          <w:iCs/>
          <w:szCs w:val="24"/>
        </w:rPr>
        <w:t>et al.</w:t>
      </w:r>
      <w:r w:rsidR="00954B3D" w:rsidRPr="00954B3D">
        <w:rPr>
          <w:rFonts w:cs="Times New Roman"/>
          <w:szCs w:val="24"/>
        </w:rPr>
        <w:t>, 1985a)</w:t>
      </w:r>
      <w:r>
        <w:fldChar w:fldCharType="end"/>
      </w:r>
      <w:r>
        <w:t xml:space="preserve"> </w:t>
      </w:r>
      <w:r w:rsidRPr="00C043EA">
        <w:t>and for</w:t>
      </w:r>
      <w:r>
        <w:t xml:space="preserve"> newly planted apple trees receiving inorganic NPK fertilisers at standard rates in comparison to mulch treatments</w:t>
      </w:r>
      <w:r w:rsidR="00EC275C">
        <w:t xml:space="preserve"> </w:t>
      </w:r>
      <w:r w:rsidR="00EC275C">
        <w:fldChar w:fldCharType="begin"/>
      </w:r>
      <w:r w:rsidR="00EC275C">
        <w:instrText xml:space="preserve"> ADDIN ZOTERO_ITEM CSL_CITATION {"citationID":"cc3sne2f0","properties":{"formattedCitation":"{\\rtf (Sumorok {\\i{}et al.}, 2011)}","plainCitation":"(Sumorok et al., 2011)"},"citationItems":[{"id":750,"uris":["http://zotero.org/users/local/d1gJDEOw/items/5U9EU2XP"],"uri":["http://zotero.org/users/local/d1gJDEOw/items/5U9EU2XP"],"itemData":{"id":750,"type":"article-journal","title":"The effect o mycorrhization and mulching of apple trees 'Glod Millenium' and blackcurrant bushes 'Tiben' on the occurrent of arbuscular mycorrhizal fungi","container-title":"Journal of Fruit and Ornamental Plant Research","volume":"19","issue":"1","author":[{"family":"Sumorok","given":"Beata"},{"family":"Paszt","given":"Lidia Sas"},{"family":"Gluszek","given":"Edyta Derkowska"},{"family":"Zurawicz","given":"Edward"}],"issued":{"date-parts":[["2011"]]}}}],"schema":"https://github.com/citation-style-language/schema/raw/master/csl-citation.json"} </w:instrText>
      </w:r>
      <w:r w:rsidR="00EC275C">
        <w:fldChar w:fldCharType="separate"/>
      </w:r>
      <w:r w:rsidR="00EC275C" w:rsidRPr="00EC275C">
        <w:rPr>
          <w:rFonts w:cs="Times New Roman"/>
          <w:szCs w:val="24"/>
        </w:rPr>
        <w:t>(</w:t>
      </w:r>
      <w:proofErr w:type="spellStart"/>
      <w:r w:rsidR="00EC275C" w:rsidRPr="00EC275C">
        <w:rPr>
          <w:rFonts w:cs="Times New Roman"/>
          <w:szCs w:val="24"/>
        </w:rPr>
        <w:t>Sumorok</w:t>
      </w:r>
      <w:proofErr w:type="spellEnd"/>
      <w:r w:rsidR="00EC275C" w:rsidRPr="00EC275C">
        <w:rPr>
          <w:rFonts w:cs="Times New Roman"/>
          <w:szCs w:val="24"/>
        </w:rPr>
        <w:t xml:space="preserve"> </w:t>
      </w:r>
      <w:r w:rsidR="00EC275C" w:rsidRPr="00EC275C">
        <w:rPr>
          <w:rFonts w:cs="Times New Roman"/>
          <w:i/>
          <w:iCs/>
          <w:szCs w:val="24"/>
        </w:rPr>
        <w:t>et al.</w:t>
      </w:r>
      <w:r w:rsidR="00EC275C" w:rsidRPr="00EC275C">
        <w:rPr>
          <w:rFonts w:cs="Times New Roman"/>
          <w:szCs w:val="24"/>
        </w:rPr>
        <w:t>, 2011)</w:t>
      </w:r>
      <w:r w:rsidR="00EC275C">
        <w:fldChar w:fldCharType="end"/>
      </w:r>
      <w:r>
        <w:t xml:space="preserve">. Reduced colonisation under high fertility conditions can be explained by resource allocation theory </w:t>
      </w:r>
      <w:r>
        <w:fldChar w:fldCharType="begin"/>
      </w:r>
      <w:r w:rsidR="00954B3D">
        <w:instrText xml:space="preserve"> ADDIN ZOTERO_ITEM CSL_CITATION {"citationID":"2if65ctufq","properties":{"formattedCitation":"{\\rtf (Johnson {\\i{}et al.}, 2013)}","plainCitation":"(Johnson et al., 2013)"},"citationItems":[{"id":516,"uris":["http://zotero.org/users/local/d1gJDEOw/items/6MEDDGRI"],"uri":["http://zotero.org/users/local/d1gJDEOw/items/6MEDDGRI"],"itemData":{"id":516,"type":"article-journal","title":"Predicting community and ecosystem outcomes of mycorrhizal responses to global change","container-title":"Ecology Letters","page":"140-153","volume":"16","source":"Wiley Online Library","abstract":"Mycorrhizal symbioses link the biosphere with the lithosphere by mediating nutrient cycles and energy flow though terrestrial ecosystems. A more mechanistic understanding of these plant–fungal associations may help ameliorate anthropogenic changes to C and N cycles and biotic communities. We explore three interacting principles: (1) optimal allocation, (2) biotic context and (3) fungal adaptability that may help predict mycorrhizal responses to carbon dioxide enrichment, nitrogen eutrophication, invasive species and land-use changes. Plant–microbial feedbacks and thresholds are discussed in light of these principles with the goal of generating testable hypotheses. Ideas to develop large-scale collaborative research efforts are presented. It is our hope that mycorrhizal symbioses can be effectively integrated into global change models and eventually their ecology will be understood well enough so that they can be managed to help offset some of the detrimental effects of anthropogenic environmental change.","DOI":"10.1111/ele.12085","ISSN":"1461-0248","journalAbbreviation":"Ecol Lett","language":"en","author":[{"family":"Johnson","given":"Nancy C."},{"family":"Angelard","given":"Caroline"},{"family":"Sanders","given":"Ian R."},{"family":"Kiers","given":"E. Toby"}],"issued":{"date-parts":[["2013",5,1]]}}}],"schema":"https://github.com/citation-style-language/schema/raw/master/csl-citation.json"} </w:instrText>
      </w:r>
      <w:r>
        <w:fldChar w:fldCharType="separate"/>
      </w:r>
      <w:r w:rsidR="00954B3D" w:rsidRPr="00954B3D">
        <w:rPr>
          <w:rFonts w:cs="Times New Roman"/>
          <w:szCs w:val="24"/>
        </w:rPr>
        <w:t xml:space="preserve">(Johnson </w:t>
      </w:r>
      <w:r w:rsidR="00954B3D" w:rsidRPr="00954B3D">
        <w:rPr>
          <w:rFonts w:cs="Times New Roman"/>
          <w:i/>
          <w:iCs/>
          <w:szCs w:val="24"/>
        </w:rPr>
        <w:t>et al.</w:t>
      </w:r>
      <w:r w:rsidR="00954B3D" w:rsidRPr="00954B3D">
        <w:rPr>
          <w:rFonts w:cs="Times New Roman"/>
          <w:szCs w:val="24"/>
        </w:rPr>
        <w:t>, 2013)</w:t>
      </w:r>
      <w:r>
        <w:fldChar w:fldCharType="end"/>
      </w:r>
      <w:r>
        <w:t xml:space="preserve"> whereby plant invest more energy into capture of resources which are most limiting for growth, therefore reducing carbon allocation to AMF under non nutrient limited conditions</w:t>
      </w:r>
      <w:r w:rsidRPr="00C043EA">
        <w:t xml:space="preserve"> (Smith et al., 2009).</w:t>
      </w:r>
      <w:r w:rsidRPr="00D77671" w:rsidDel="00F145F6">
        <w:t xml:space="preserve"> </w:t>
      </w:r>
    </w:p>
    <w:p w:rsidR="00A57540" w:rsidRDefault="00A57540" w:rsidP="00861E0B">
      <w:r>
        <w:lastRenderedPageBreak/>
        <w:t>Resource allocation theory may also explain the observed 17% reduction in tree root biomass for trees receiving recommended agricultural fertiliser rates (‘high fertiliser treatment) in comparison to low nutrient application (1/10</w:t>
      </w:r>
      <w:r w:rsidRPr="00204337">
        <w:rPr>
          <w:vertAlign w:val="superscript"/>
        </w:rPr>
        <w:t>th</w:t>
      </w:r>
      <w:r>
        <w:t xml:space="preserve"> of this)</w:t>
      </w:r>
      <w:r w:rsidRPr="00C043EA">
        <w:t xml:space="preserve"> </w:t>
      </w:r>
      <w:r>
        <w:t>(</w:t>
      </w:r>
      <w:r w:rsidR="00F6521E">
        <w:fldChar w:fldCharType="begin"/>
      </w:r>
      <w:r w:rsidR="00F6521E">
        <w:instrText xml:space="preserve"> REF _Ref469858258 \h </w:instrText>
      </w:r>
      <w:r w:rsidR="00F6521E">
        <w:fldChar w:fldCharType="separate"/>
      </w:r>
      <w:r w:rsidR="00E0714D" w:rsidRPr="00275F25">
        <w:t xml:space="preserve">Figure </w:t>
      </w:r>
      <w:r w:rsidR="00E0714D">
        <w:rPr>
          <w:noProof/>
        </w:rPr>
        <w:t>2</w:t>
      </w:r>
      <w:r w:rsidR="00E0714D">
        <w:t>.</w:t>
      </w:r>
      <w:r w:rsidR="00E0714D">
        <w:rPr>
          <w:noProof/>
        </w:rPr>
        <w:t>4</w:t>
      </w:r>
      <w:r w:rsidR="00F6521E">
        <w:fldChar w:fldCharType="end"/>
      </w:r>
      <w:r>
        <w:t>).</w:t>
      </w:r>
      <w:r w:rsidRPr="00C043EA">
        <w:t xml:space="preserve"> </w:t>
      </w:r>
      <w:r>
        <w:t xml:space="preserve">This result shows that nutrient applications to young trees should be carefully considered to make sure they are not it excess of requirement as reductions in root development may reduce the ability of trees to tolerate water stress during drought periods. This is particularly significant given that drought frequency and severity is predicted to increase with future climate change </w:t>
      </w:r>
      <w:r w:rsidRPr="00C043EA">
        <w:fldChar w:fldCharType="begin"/>
      </w:r>
      <w:r w:rsidR="00954B3D">
        <w:instrText xml:space="preserve"> ADDIN ZOTERO_ITEM CSL_CITATION {"citationID":"1v1um3d02o","properties":{"formattedCitation":"(IPCC, 2014)","plainCitation":"(IPCC, 2014)"},"citationItems":[{"id":714,"uris":["http://zotero.org/users/local/d1gJDEOw/items/67S6NS2M"],"uri":["http://zotero.org/users/local/d1gJDEOw/items/67S6NS2M"],"itemData":{"id":714,"type":"book","title":"Climate Change 2014: Synthesis Report. Contribution of Working Groups I, II and III to the Fifth Assessment Report of the Intergovernmental Panel on Climate Change","publisher":"Core Writing Team R.K. Pachauri and L.A. Meyer (eds.)","publisher-place":"Geneva, Switzerland","event-place":"Geneva, Switzerland","author":[{"family":"IPCC","given":""}],"issued":{"date-parts":[["2014"]]}}}],"schema":"https://github.com/citation-style-language/schema/raw/master/csl-citation.json"} </w:instrText>
      </w:r>
      <w:r w:rsidRPr="00C043EA">
        <w:fldChar w:fldCharType="separate"/>
      </w:r>
      <w:r w:rsidR="00954B3D" w:rsidRPr="00954B3D">
        <w:rPr>
          <w:rFonts w:cs="Times New Roman"/>
        </w:rPr>
        <w:t>(IPCC, 2014)</w:t>
      </w:r>
      <w:r w:rsidRPr="00C043EA">
        <w:fldChar w:fldCharType="end"/>
      </w:r>
      <w:r w:rsidRPr="00C043EA">
        <w:t xml:space="preserve">. </w:t>
      </w:r>
    </w:p>
    <w:p w:rsidR="00A57540" w:rsidRPr="0009738C" w:rsidRDefault="00A57540" w:rsidP="00861E0B">
      <w:r w:rsidRPr="00C043EA">
        <w:t xml:space="preserve">No </w:t>
      </w:r>
      <w:r>
        <w:t xml:space="preserve">differences in </w:t>
      </w:r>
      <w:r w:rsidRPr="00C043EA">
        <w:t xml:space="preserve">tree growth and productivity </w:t>
      </w:r>
      <w:r>
        <w:t xml:space="preserve">were shown between trees receiving high and low fertiliser treatments although by year 3 trees in the high nutrient treatment showed </w:t>
      </w:r>
      <w:r w:rsidRPr="00C043EA">
        <w:t>increase</w:t>
      </w:r>
      <w:r>
        <w:t>d</w:t>
      </w:r>
      <w:r w:rsidRPr="00C043EA">
        <w:t xml:space="preserve"> foliar</w:t>
      </w:r>
      <w:r>
        <w:t xml:space="preserve"> P, N and chlorophyll.  </w:t>
      </w:r>
      <w:r w:rsidRPr="00C043EA">
        <w:t>Lack of benefit of high fertiliser application to tree performance suggests that nutrient application received by trees in the lower nutrient treatment was adequate to supply all necessary nutrients and implies the high nutrient treatment which is based upon recommended application for one year old cider apple trees is in fact in excess o</w:t>
      </w:r>
      <w:r>
        <w:t>f the trees growth requirement. Therefore reducing fertiliser inputs to young orchards may provide both economic and environmental benefit.</w:t>
      </w:r>
    </w:p>
    <w:p w:rsidR="00A57540" w:rsidRDefault="00A57540" w:rsidP="00A57540">
      <w:pPr>
        <w:pStyle w:val="Heading3"/>
      </w:pPr>
      <w:bookmarkStart w:id="190" w:name="_Toc469855031"/>
      <w:bookmarkStart w:id="191" w:name="_Toc469856031"/>
      <w:bookmarkStart w:id="192" w:name="_Toc469931940"/>
      <w:bookmarkStart w:id="193" w:name="_Toc469982261"/>
      <w:r w:rsidRPr="00C043EA">
        <w:t>Mycorrhizal effects on</w:t>
      </w:r>
      <w:r>
        <w:t xml:space="preserve"> tree nutrient status, </w:t>
      </w:r>
      <w:r w:rsidRPr="00C043EA">
        <w:t>growth</w:t>
      </w:r>
      <w:r>
        <w:t xml:space="preserve"> and productivity</w:t>
      </w:r>
      <w:bookmarkEnd w:id="190"/>
      <w:bookmarkEnd w:id="191"/>
      <w:bookmarkEnd w:id="192"/>
      <w:bookmarkEnd w:id="193"/>
    </w:p>
    <w:p w:rsidR="00A57540" w:rsidRDefault="00A57540" w:rsidP="00A57540">
      <w:pPr>
        <w:pStyle w:val="Heading4"/>
        <w:numPr>
          <w:ilvl w:val="3"/>
          <w:numId w:val="1"/>
        </w:numPr>
      </w:pPr>
      <w:r>
        <w:t>No effect upon nutrient status, growth and productivity</w:t>
      </w:r>
    </w:p>
    <w:p w:rsidR="00A57540" w:rsidRDefault="00A57540" w:rsidP="00861E0B">
      <w:r w:rsidRPr="00C043EA">
        <w:t xml:space="preserve">We </w:t>
      </w:r>
      <w:r>
        <w:t>hypothesised that AMF would positively affect tree nutrient status, growth and productivity and that the</w:t>
      </w:r>
      <w:r w:rsidRPr="00C043EA">
        <w:t xml:space="preserve"> benefits of AMF would be greater for trees receiving low, in compariso</w:t>
      </w:r>
      <w:r>
        <w:t>n to high, nutrient application. H</w:t>
      </w:r>
      <w:r w:rsidRPr="00C043EA">
        <w:t>owever</w:t>
      </w:r>
      <w:r>
        <w:t xml:space="preserve"> we found no benefit of AMF for the nutrient status, growth, or productivity and</w:t>
      </w:r>
      <w:r w:rsidRPr="00C043EA">
        <w:t xml:space="preserve"> no difference in mycorrhizal response was found between trees under </w:t>
      </w:r>
      <w:r>
        <w:t>different nutrient</w:t>
      </w:r>
      <w:r w:rsidRPr="00C043EA">
        <w:t xml:space="preserve"> tr</w:t>
      </w:r>
      <w:r>
        <w:t>eatments</w:t>
      </w:r>
      <w:r w:rsidRPr="00C043EA">
        <w:t xml:space="preserve">. </w:t>
      </w:r>
    </w:p>
    <w:p w:rsidR="00A57540" w:rsidRPr="00D1033E" w:rsidRDefault="00A57540" w:rsidP="00861E0B">
      <w:pPr>
        <w:rPr>
          <w:highlight w:val="yellow"/>
        </w:rPr>
      </w:pPr>
      <w:r>
        <w:t>Our hypothesis regarding the benefit of AMF to apple trees was based on the ability of AMF to improve tree nutrient uptake by AMF trees thus improving growth and productivity. Several mechanisms make AMF more efficient than roots at nutrient capture including mycorrhizal</w:t>
      </w:r>
      <w:r w:rsidRPr="00C043EA">
        <w:t xml:space="preserve"> ability to rapidly respond to nutrient availability </w:t>
      </w:r>
      <w:r w:rsidRPr="00C043EA">
        <w:fldChar w:fldCharType="begin"/>
      </w:r>
      <w:r w:rsidR="00954B3D">
        <w:instrText xml:space="preserve"> ADDIN ZOTERO_ITEM CSL_CITATION {"citationID":"2laso1o6bk","properties":{"formattedCitation":"{\\rtf (Cavagnaro {\\i{}et al.}, 2005)}","plainCitation":"(Cavagnaro et al., 2005)"},"citationItems":[{"id":181,"uris":["http://zotero.org/users/local/d1gJDEOw/items/2TR2BZ8A"],"uri":["http://zotero.org/users/local/d1gJDEOw/items/2TR2BZ8A"],"itemData":{"id":181,"type":"article-journal","title":"Functional diversity in arbuscular mycorrhizas: exploitation of soil patches with different phosphate enrichment differs among fungal species","container-title":"Plant Cell and Environment","page":"642-650","volume":"28","issue":"5","source":"Web of Science","abstract":"Most terrestrial plant species form associations with arbuscular mycorrhizal fungi (AMF) that transfer soil P to the plant via their external hyphae. The distribution of nutrients in soils is typically patchy (heterogeneous) but little is known about the ability of AMF to exploit P patches in soil. This was studied by growing symbioses of Linum usitatissimum and three AMF (Glomus intraradices, G. mosseae and Gigaspora margarita) in pots with two side-arms, which were accessible to hyphae, but not to roots. Soil in one side-arm was either unamended (P0) or enriched with P; simultaneous labelling of this soil with P-32 revealed that G. intraradices responded to P enrichment both in terms of hyphal proliferation and P uptake, whereas the other AMF did not. Labelling with P-33 of P0 soil in the other side arm revealed that the increased P uptake by G. intraradices from the P-enriched patch was paralleled by decreased P uptake by other parts of the mycelium. This is the first demonstration of variation in growth and nutrient uptake by an AMF as influenced by a localized P enrichment of the soil. The results are discussed in the context of functional diversity of AMF.","DOI":"10.1111/j.1365-3040.2005.01310.x","ISSN":"0140-7791","note":"WOS:000228488700008","shortTitle":"Functional diversity in arbuscular mycorrhizas","journalAbbreviation":"Plant Cell Environ.","language":"English","author":[{"family":"Cavagnaro","given":"T. R."},{"family":"Smith","given":"F. A."},{"family":"Smith","given":"S. E."},{"family":"Jakobsen","given":"I."}],"issued":{"date-parts":[["2005",5]]}}}],"schema":"https://github.com/citation-style-language/schema/raw/master/csl-citation.json"} </w:instrText>
      </w:r>
      <w:r w:rsidRPr="00C043EA">
        <w:fldChar w:fldCharType="separate"/>
      </w:r>
      <w:r w:rsidR="00954B3D" w:rsidRPr="00954B3D">
        <w:rPr>
          <w:rFonts w:cs="Times New Roman"/>
          <w:szCs w:val="24"/>
        </w:rPr>
        <w:t>(</w:t>
      </w:r>
      <w:proofErr w:type="spellStart"/>
      <w:r w:rsidR="00954B3D" w:rsidRPr="00954B3D">
        <w:rPr>
          <w:rFonts w:cs="Times New Roman"/>
          <w:szCs w:val="24"/>
        </w:rPr>
        <w:t>Cavagnaro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2005)</w:t>
      </w:r>
      <w:r w:rsidRPr="00C043EA">
        <w:fldChar w:fldCharType="end"/>
      </w:r>
      <w:r w:rsidRPr="00C043EA">
        <w:t xml:space="preserve">, finer diameter </w:t>
      </w:r>
      <w:r>
        <w:t xml:space="preserve">of AMF hyphae </w:t>
      </w:r>
      <w:r w:rsidRPr="00C043EA">
        <w:t xml:space="preserve">allowing greater access to soil pores </w:t>
      </w:r>
      <w:r w:rsidRPr="00C043EA">
        <w:fldChar w:fldCharType="begin"/>
      </w:r>
      <w:r w:rsidR="00954B3D">
        <w:instrText xml:space="preserve"> ADDIN ZOTERO_ITEM CSL_CITATION {"citationID":"j79353s56","properties":{"formattedCitation":"{\\rtf (Drew {\\i{}et al.}, 2003)}","plainCitation":"(Drew et al., 2003)"},"citationItems":[{"id":182,"uris":["http://zotero.org/users/local/d1gJDEOw/items/H5P5F7MI"],"uri":["http://zotero.org/users/local/d1gJDEOw/items/H5P5F7MI"],"itemData":{"id":182,"type":"article-journal","title":"Beyond the rhizosphere: growth and function of arbuscular mycorrhizal external hyphae in sands of varying pore sizes","container-title":"Plant and Soil","page":"105-114","volume":"251","issue":"1","source":"Web of Science","abstract":"Research on nutrient acquisition by symbiotic arbuscular mycorrhizal (AM) fungi has mainly focused on the root fungus interface and less attention has been given to the growth and functioning of external hyphae in the bulk soil. The growth and function of external hyphae may be affected by unfavourable soil environments, such as compacted soils in which pores may be narrow. The effects of pore size on the growth of two AM fungi (Glomus intraradices and G. mosseae) and their ability to transport P-33 from the bulk soil to the host were investigated. Trifolium subterraneum L. plants were grown individually in 'single arm cross-pots' with and without AM fungi. The side arm was separated from the main compartment by nylon mesh to prevent root penetration. It contained three zones: 5 mm of soil: sand mix (HC1); 25 mm of media treatment (HC2); and 20 mm of P-33-labelled soil (HC3). There were four media treatments; soil and three types of quartz sand with most common continuous pore diameters of 100, 38 and 26 mum. AM plants had similar growth and total P uptake in all treatments. However, plants grown with G. intraradices contained almost three times more P-33 than those grown with G. mosseae, indicating G. intraradices obtained a greater proportion of P at a distance from the host roots. Differences in P acquisition were not correlated with production of external hyphae in the four media zones and changes in sand pore size did not affect the ability of the fungi studied to acquire P at a distance from the host roots. Production of external hyphae in HC2 was influenced by fungal species and media treatment. Both fungi produced maximum amounts of external hyphae in the soil medium. Sand pore size affected growth of G. intraradices (but not G. mosseae) and hyphal diameter distributions of both fungi. The results suggest that not only are G. mosseae and G. intraradices functionally complementary in terms of spatial phosphorus acquisition, they are also capable of altering their morphology in response to the soil environment.","DOI":"10.1023/A:1022932414788","ISSN":"0032-079X","note":"WOS:000181818900011","shortTitle":"Beyond the rhizosphere","journalAbbreviation":"Plant Soil","language":"English","author":[{"family":"Drew","given":"E. A."},{"family":"Murray","given":"R. S."},{"family":"Smith","given":"S. E."},{"family":"Jakobsen","given":"I."}],"issued":{"date-parts":[["2003",4]]}}}],"schema":"https://github.com/citation-style-language/schema/raw/master/csl-citation.json"} </w:instrText>
      </w:r>
      <w:r w:rsidRPr="00C043EA">
        <w:fldChar w:fldCharType="separate"/>
      </w:r>
      <w:r w:rsidR="00954B3D" w:rsidRPr="00954B3D">
        <w:rPr>
          <w:rFonts w:cs="Times New Roman"/>
          <w:szCs w:val="24"/>
        </w:rPr>
        <w:t xml:space="preserve">(Drew </w:t>
      </w:r>
      <w:r w:rsidR="00954B3D" w:rsidRPr="00954B3D">
        <w:rPr>
          <w:rFonts w:cs="Times New Roman"/>
          <w:i/>
          <w:iCs/>
          <w:szCs w:val="24"/>
        </w:rPr>
        <w:t>et al.</w:t>
      </w:r>
      <w:r w:rsidR="00954B3D" w:rsidRPr="00954B3D">
        <w:rPr>
          <w:rFonts w:cs="Times New Roman"/>
          <w:szCs w:val="24"/>
        </w:rPr>
        <w:t>, 2003)</w:t>
      </w:r>
      <w:r w:rsidRPr="00C043EA">
        <w:fldChar w:fldCharType="end"/>
      </w:r>
      <w:r w:rsidRPr="00C043EA">
        <w:t xml:space="preserve"> and ability</w:t>
      </w:r>
      <w:r>
        <w:t xml:space="preserve"> of AMF</w:t>
      </w:r>
      <w:r w:rsidRPr="00C043EA">
        <w:t xml:space="preserve"> to efficiently e</w:t>
      </w:r>
      <w:r>
        <w:t>xploit large areas of soil. Lack of effect of AMF upon tree nutrient uptake in our system could be due to lack of nutrient limitation to trees due to the pot based system used for this experiment which limits the growth of mycorrhizal hyphae into a wider soil area and thus limits the area of soil hyphae can forage nutrien</w:t>
      </w:r>
      <w:r w:rsidRPr="00A815B2">
        <w:t>ts. Interestingly</w:t>
      </w:r>
      <w:r>
        <w:t>,</w:t>
      </w:r>
      <w:r w:rsidRPr="00A815B2">
        <w:t xml:space="preserve"> our results </w:t>
      </w:r>
      <w:r>
        <w:t>showed decreased</w:t>
      </w:r>
      <w:r w:rsidRPr="00A815B2">
        <w:t xml:space="preserve"> root length of AMF trees compared to non AMF trees despite no differences in overall root biomass. This may have been </w:t>
      </w:r>
      <w:r>
        <w:t>due to a reduced</w:t>
      </w:r>
      <w:r w:rsidRPr="00A815B2">
        <w:t xml:space="preserve"> investment in fine root production by mycorrhizal trees </w:t>
      </w:r>
      <w:r>
        <w:t>in response to nutrient provision by their AMF symbionts and</w:t>
      </w:r>
      <w:r w:rsidRPr="00A815B2">
        <w:t xml:space="preserve"> suggests that despite no net benefit to nutrition, AMF may have been contributing to overall nutrient uptake</w:t>
      </w:r>
      <w:r w:rsidR="005327CC">
        <w:t xml:space="preserve"> h</w:t>
      </w:r>
      <w:r w:rsidR="003C4E2F">
        <w:t xml:space="preserve">owever AMF contribution to total plant P uptake was not quantified by this study. </w:t>
      </w:r>
      <w:r w:rsidR="00FB6511">
        <w:t xml:space="preserve"> </w:t>
      </w:r>
      <w:r w:rsidRPr="00A815B2">
        <w:t>Downregulation of plant nutrient uptake in response to colonisation by AMF resulting in no net</w:t>
      </w:r>
      <w:r>
        <w:t xml:space="preserve"> nutrition gain to AMF host plants</w:t>
      </w:r>
      <w:r w:rsidRPr="00A815B2">
        <w:t xml:space="preserve"> has been </w:t>
      </w:r>
      <w:r w:rsidR="005327CC">
        <w:t>demonstrated in other study systems</w:t>
      </w:r>
      <w:r w:rsidRPr="00A815B2">
        <w:t xml:space="preserve"> </w:t>
      </w:r>
      <w:r w:rsidRPr="00A815B2">
        <w:fldChar w:fldCharType="begin"/>
      </w:r>
      <w:r w:rsidR="00954B3D">
        <w:instrText xml:space="preserve"> ADDIN ZOTERO_ITEM CSL_CITATION {"citationID":"9ha2b2q02","properties":{"formattedCitation":"{\\rtf (Nagy {\\i{}et al.}, 2009)}","plainCitation":"(Nagy et al., 2009)"},"citationItems":[{"id":179,"uris":["http://zotero.org/users/local/d1gJDEOw/items/D5VAMDGF"],"uri":["http://zotero.org/users/local/d1gJDEOw/items/D5VAMDGF"],"itemData":{"id":179,"type":"article-journal","title":"Mycorrhizal phosphate uptake pathway in tomato is phosphorus-repressible and transcriptionally regulated","container-title":"New Phytologist","page":"950-959","volume":"181","issue":"4","source":"Web of Science","abstract":"Plants colonized by arbuscular mycorrhizal (AM) fungi take up phosphate (Pi) via the mycorrhizal and the direct Pi uptake pathway. Our understanding of the molecular mechanisms involved in the regulation of these pathways is just emerging. Here, we have analyzed the molecular physiology of mycorrhizal Pi uptake in the tomato (Solanum lycopersicum) variety Micro-Tom and integrated the data obtained with studies on chemical signaling in mycorrhiza-inducible Pi transporter gene regulation. At high plant phosphorus (P) status, the mycorrhizal Pi uptake pathway was almost completely repressed and the mycorrhiza-inducible Pi transporter genes were down-regulated. A high plant P status also suppressed the activation of the mycorrhiza-specific StPT3 promoter fragment by phospholipid extracts containing the mycorrhiza signal lysophosphatidylcholine. Our results suggest that the mycorrhizal Pi uptake pathway is controlled at least partially by the plant host. This control involves components in common with the regulatory mechanism of the Pi starvation response pathway in plants. New Phytologist (2009) 181: 950-959doi: 10.1111/j.1469-8137.2008.02721.x.","DOI":"10.1111/j.1469-8137.2008.02721.x","ISSN":"0028-646X","note":"WOS:000263257100021","journalAbbreviation":"New Phytol.","language":"English","author":[{"family":"Nagy","given":"Reka"},{"family":"Drissner","given":"David"},{"family":"Amrhein","given":"Nikolaus"},{"family":"Jakobsen","given":"Iver"},{"family":"Bucher","given":"Marcel"}],"issued":{"date-parts":[["2009"]]}}}],"schema":"https://github.com/citation-style-language/schema/raw/master/csl-citation.json"} </w:instrText>
      </w:r>
      <w:r w:rsidRPr="00A815B2">
        <w:fldChar w:fldCharType="separate"/>
      </w:r>
      <w:r w:rsidR="00954B3D" w:rsidRPr="00954B3D">
        <w:rPr>
          <w:rFonts w:cs="Times New Roman"/>
          <w:szCs w:val="24"/>
        </w:rPr>
        <w:t>(</w:t>
      </w:r>
      <w:r w:rsidR="00F72683">
        <w:rPr>
          <w:rFonts w:cs="Times New Roman"/>
          <w:szCs w:val="24"/>
        </w:rPr>
        <w:t xml:space="preserve">Smith et al., 2004, </w:t>
      </w:r>
      <w:r w:rsidR="00954B3D" w:rsidRPr="00954B3D">
        <w:rPr>
          <w:rFonts w:cs="Times New Roman"/>
          <w:szCs w:val="24"/>
        </w:rPr>
        <w:t xml:space="preserve">Nagy </w:t>
      </w:r>
      <w:r w:rsidR="00954B3D" w:rsidRPr="00954B3D">
        <w:rPr>
          <w:rFonts w:cs="Times New Roman"/>
          <w:i/>
          <w:iCs/>
          <w:szCs w:val="24"/>
        </w:rPr>
        <w:t>et al.</w:t>
      </w:r>
      <w:r w:rsidR="00954B3D" w:rsidRPr="00954B3D">
        <w:rPr>
          <w:rFonts w:cs="Times New Roman"/>
          <w:szCs w:val="24"/>
        </w:rPr>
        <w:t>, 2009)</w:t>
      </w:r>
      <w:r w:rsidRPr="00A815B2">
        <w:fldChar w:fldCharType="end"/>
      </w:r>
      <w:r w:rsidRPr="00A815B2">
        <w:t>.</w:t>
      </w:r>
      <w:r w:rsidR="00F72683">
        <w:t xml:space="preserve"> </w:t>
      </w:r>
      <w:r w:rsidR="004F3D95">
        <w:t xml:space="preserve">For example </w:t>
      </w:r>
      <w:r w:rsidR="00F72683">
        <w:t xml:space="preserve">Smith </w:t>
      </w:r>
      <w:r w:rsidR="00F72683" w:rsidRPr="00F00459">
        <w:rPr>
          <w:i/>
        </w:rPr>
        <w:t xml:space="preserve">et </w:t>
      </w:r>
      <w:r w:rsidR="00F72683" w:rsidRPr="00F00459">
        <w:rPr>
          <w:i/>
        </w:rPr>
        <w:lastRenderedPageBreak/>
        <w:t>al</w:t>
      </w:r>
      <w:r w:rsidR="00F72683">
        <w:t xml:space="preserve">., </w:t>
      </w:r>
      <w:r w:rsidR="00500E86">
        <w:t>(</w:t>
      </w:r>
      <w:r w:rsidR="00F72683">
        <w:t>2004</w:t>
      </w:r>
      <w:r w:rsidR="00500E86">
        <w:t>)</w:t>
      </w:r>
      <w:r w:rsidR="00F72683">
        <w:t xml:space="preserve"> clearly</w:t>
      </w:r>
      <w:r w:rsidR="005327CC">
        <w:t xml:space="preserve"> demonstrated that</w:t>
      </w:r>
      <w:r w:rsidR="00F72683">
        <w:t xml:space="preserve"> even in situations where the majority/all of plant P uptake is acquired by AMF, this may not result in </w:t>
      </w:r>
      <w:r w:rsidR="003C4E2F">
        <w:t>increased plant P</w:t>
      </w:r>
      <w:r w:rsidR="00562719">
        <w:t xml:space="preserve"> status or growth </w:t>
      </w:r>
      <w:r w:rsidR="00500E86">
        <w:t>as</w:t>
      </w:r>
      <w:r w:rsidR="00DF4DCA">
        <w:t xml:space="preserve"> direct P uptake by the host plant</w:t>
      </w:r>
      <w:r w:rsidR="00AF1FF7">
        <w:t xml:space="preserve"> roots may be down regulated or</w:t>
      </w:r>
      <w:r w:rsidR="00DF4DCA">
        <w:t xml:space="preserve"> even completely inactivated</w:t>
      </w:r>
      <w:r w:rsidR="003C4E2F">
        <w:t xml:space="preserve"> in response to AMF colonisation</w:t>
      </w:r>
      <w:r w:rsidR="00DF4DCA">
        <w:t>.</w:t>
      </w:r>
      <w:r w:rsidR="00FB6511">
        <w:t xml:space="preserve"> Furthermore</w:t>
      </w:r>
      <w:r w:rsidR="00500E86">
        <w:t xml:space="preserve"> AMF</w:t>
      </w:r>
      <w:r w:rsidR="00FB6511">
        <w:t xml:space="preserve"> </w:t>
      </w:r>
      <w:r w:rsidR="00500E86">
        <w:t>P contribution</w:t>
      </w:r>
      <w:r w:rsidR="00AF1FF7">
        <w:t xml:space="preserve"> and corresponding downregulation in </w:t>
      </w:r>
      <w:r w:rsidR="00500E86">
        <w:t>host P uptake</w:t>
      </w:r>
      <w:r w:rsidR="00AF1FF7">
        <w:t xml:space="preserve"> </w:t>
      </w:r>
      <w:r w:rsidR="00500E86">
        <w:t xml:space="preserve">and growth response is known to vary between host plant and </w:t>
      </w:r>
      <w:r w:rsidR="005327CC">
        <w:t>AMF symbiont combinations</w:t>
      </w:r>
      <w:r w:rsidR="00FB6511">
        <w:t xml:space="preserve"> </w:t>
      </w:r>
      <w:r w:rsidR="00FB6511">
        <w:fldChar w:fldCharType="begin"/>
      </w:r>
      <w:r w:rsidR="00FB6511">
        <w:instrText xml:space="preserve"> ADDIN ZOTERO_ITEM CSL_CITATION {"citationID":"a28na971ot4","properties":{"formattedCitation":"{\\rtf (Smith {\\i{}et al.}, 2004; Smith &amp; Smith, 2011b)}","plainCitation":"(Smith et al., 2004; Smith &amp; Smith, 2011b)"},"citationItems":[{"id":1283,"uris":["http://zotero.org/users/local/d1gJDEOw/items/DRZQHBPU"],"uri":["http://zotero.org/users/local/d1gJDEOw/items/DRZQHBPU"],"itemData":{"id":1283,"type":"article-journal","title":"Functional diversity in arbuscular mycorrhizal (AM) symbioses: the contribution of the mycorrhizal P uptake pathway is not correlated with mycorrhizal responses in growth or total P uptake","container-title":"New Phytologist","page":"511-524","volume":"162","issue":"2","archive_location":"WOS:000221058900024","abstract":"We investigated structural and functional diversity in arbuscular mycorrhizal (AM) symbioses involving three plant species and three AAA fungi and measured contributions of the fungi to P uptake using compartmented pots and P-33. The plant/ fungus combinations varied in growth and P responses. Flax (Linum usitatissimum) responded positively to all fungi, and medic (Medicago truncatula) to Glomus caledonium and G. intraradices, but not Gigaspora rosea. Tomato (Lycopersicon esculentum) showed no positive responses. Hyphal growth in soil was very low for Gi. rosea and high for both Glomus spp. Hyphal lengths in root + hyphal compartment (RHC) and hyphal compartment (HQ were similar for G. intraradices, but much higher in HC for G. caledonium. Specific activities of P-33 in plants and soil indicated that fungal P uptake made substantial contributions to five plant/fungus combinations and significant contributions to a further two. G. intraradices delivered close to 100% of the P in all three plants. G. caledonium and Gi. rosea delivered less P. The amount was not related to colonisation or to growth or P responses. We conclude that: AM colonisation can result in complete inactivation of the direct P uptake pathway via root hairs and epidermis; calculations of AM contributions to P uptake from total plant P will often be highly inaccurate; and lack of plant responsiveness does not mean that an AM fungus makes no contribution to P uptake.","DOI":"10.1111/j.1469-8137.2004.01039.x","ISSN":"0028-646X","shortTitle":"Functional diversity in arbuscular mycorrhizal (AM) symbioses: the contribution of the mycorrhizal P uptake pathway is not correlated with mycorrhizal responses in growth or total P uptake","journalAbbreviation":"New Phytol.","language":"English","author":[{"family":"Smith","given":"S. E."},{"family":"Smith","given":"F. A."},{"family":"Jakobsen","given":"I."}],"issued":{"date-parts":[["2004",5]]}}},{"id":1269,"uris":["http://zotero.org/users/local/d1gJDEOw/items/ZK8TAAPV"],"uri":["http://zotero.org/users/local/d1gJDEOw/items/ZK8TAAPV"],"itemData":{"id":1269,"type":"article-journal","title":"What is the significance of the arbuscular mycorrhizal colonisation of many economically important crop plants?","container-title":"Plant and Soil","page":"63-79","volume":"348","issue":"1-2","archive_location":"WOS:000295587700004","abstract":"Arbuscular mycorrhizal (AM) symbioses are widespread in land plants but the extent to which they are functionally important in agriculture remains unclear, despite much previous research. We ask focused questions designed to give new perspectives on AM function, some based on recent research that is overturning past beliefs. We address factors that determine growth responses (from positive to negative) in AM plants, the extent to which AM plants that lack positive responses benefit in terms of nutrient (particularly phosphate: P) uptake, whether or not AM and nonmycorrhizal (NM) plants acquire different forms of soil P, and the cause(s) of AM 'growth depressions'. We consider the relevance of laboratory work to the agricultural context, including effects of high (available) soil P on AM fungal colonisation and whether AM colonisation may be deleterious to crop production due to fungal 'parasitism'. We emphasise the imperative for research that is aimed at increasing benefits of AM symbioses in the field at a time of increasing prices of P-fertiliser, and increasing demands on agriculture to feed the world. In other words, AM symbioses have key roles in providing ecosystem services that are receiving increasing attention worldwide.","DOI":"10.1007/s11104-011-0865-0","ISSN":"0032-079X","shortTitle":"What is the significance of the arbuscular mycorrhizal colonisation of many economically important crop plants?","journalAbbreviation":"Plant Soil","language":"English","author":[{"family":"Smith","given":"F. A."},{"family":"Smith","given":"S. E."}],"issued":{"date-parts":[["2011",11]]}}}],"schema":"https://github.com/citation-style-language/schema/raw/master/csl-citation.json"} </w:instrText>
      </w:r>
      <w:r w:rsidR="00FB6511">
        <w:fldChar w:fldCharType="separate"/>
      </w:r>
      <w:r w:rsidR="00FB6511" w:rsidRPr="00F00459">
        <w:rPr>
          <w:rFonts w:cs="Times New Roman"/>
          <w:szCs w:val="24"/>
        </w:rPr>
        <w:t xml:space="preserve">(Smith </w:t>
      </w:r>
      <w:r w:rsidR="00FB6511" w:rsidRPr="00F00459">
        <w:rPr>
          <w:rFonts w:cs="Times New Roman"/>
          <w:i/>
          <w:iCs/>
          <w:szCs w:val="24"/>
        </w:rPr>
        <w:t>et al.</w:t>
      </w:r>
      <w:r w:rsidR="00FB6511" w:rsidRPr="00F00459">
        <w:rPr>
          <w:rFonts w:cs="Times New Roman"/>
          <w:szCs w:val="24"/>
        </w:rPr>
        <w:t>, 2004; Smith &amp; Smith, 2011b)</w:t>
      </w:r>
      <w:r w:rsidR="00FB6511">
        <w:fldChar w:fldCharType="end"/>
      </w:r>
      <w:r w:rsidR="00D56982">
        <w:t>.</w:t>
      </w:r>
      <w:r w:rsidR="004F3D95">
        <w:t xml:space="preserve"> </w:t>
      </w:r>
    </w:p>
    <w:p w:rsidR="00A57540" w:rsidRDefault="00A57540" w:rsidP="00861E0B">
      <w:r>
        <w:t>It is also possible that the two AMF species used for inoculation for our study (</w:t>
      </w:r>
      <w:proofErr w:type="spellStart"/>
      <w:r w:rsidR="00CC66C9">
        <w:rPr>
          <w:i/>
        </w:rPr>
        <w:t>R.irregularis</w:t>
      </w:r>
      <w:proofErr w:type="spellEnd"/>
      <w:r>
        <w:t xml:space="preserve"> and </w:t>
      </w:r>
      <w:proofErr w:type="spellStart"/>
      <w:r w:rsidRPr="008C7989">
        <w:rPr>
          <w:i/>
        </w:rPr>
        <w:t>F.mosseae</w:t>
      </w:r>
      <w:proofErr w:type="spellEnd"/>
      <w:r>
        <w:rPr>
          <w:i/>
        </w:rPr>
        <w:t>)</w:t>
      </w:r>
      <w:r>
        <w:t xml:space="preserve"> may partly explain lack of growth and nutritional effects upon host apple plants as differences in functioning between AMF taxa are known </w:t>
      </w:r>
      <w:r>
        <w:fldChar w:fldCharType="begin"/>
      </w:r>
      <w:r w:rsidR="00954B3D">
        <w:instrText xml:space="preserve"> ADDIN ZOTERO_ITEM CSL_CITATION {"citationID":"Wh6K463p","properties":{"formattedCitation":"{\\rtf (Hetrick {\\i{}et al.}, 1993; Zhu {\\i{}et al.}, 2001)}","plainCitation":"(Hetrick et al., 1993; Zhu et al., 2001)"},"citationItems":[{"id":167,"uris":["http://zotero.org/users/local/d1gJDEOw/items/MG6SFDTW"],"uri":["http://zotero.org/users/local/d1gJDEOw/items/MG6SFDTW"],"itemData":{"id":167,"type":"article-journal","title":"Mycorrhizal Dependence of Modern Wheat Cultivars and Ancestors - a Synthesis","container-title":"Canadian Journal of Botany-Revue Canadienne De Botanique","page":"512-518","volume":"71","issue":"3","source":"Web of Science","abstract":"To supplement previous studies, wheat ancestors with the A, S(B), D, and AB genomes and modern spring and winter wheat cultivars were vernalized for 42 days in a growth chamber prior to transplanting and growth in a greenhouse for 14 weeks. One-half of the seedlings were inoculated with a mixture of equal numbers of spores of six vesicular-arbuscular mycorrhizal fungi at transplanting. Dry weights of plants and component parts were determined. Percent colonization of roots was determined microscopically. Growth response and mycorrhizal dependence were calculated. However, no mycorrhizal dependence was observed in Triticum monococcum PI 266844 and PI 355520 (A genome), Aegilops speltoides 1773 (S(B) genome), or in the AB genome ancestors Triticum carthlicum 2825, Triticum polonicum 2808, Triticum dicoccum 1165, Triticum pyramidale 2809, Triticum orientale 2805, Triticum paleocolchicum 2807, and Triticum persidum 2811 and 2812. Mycorrhizal dependence in the D genome ancestors was more variable. Triticum tauschii var. typica accessions 1649, 1691, 2378, 2448, 2492, 2495, 2528, 254 1, and 2567 lacked dependence, whereas T. tauschii var. meyeri 2529 and var. strangulata 2377 and 2452 were dependent on mycorrhizal symbiosis. The spring wheat cultivars Chinese Spring 3008, Spelta 2603, Pavon 76 2980, and Norin 29 3025 and the winter wheat cultivars TAM 200, Wrangler, Saluda, and Karl were not dependent on mycorrhizae, whereas winter wheat cultivars TAM 107 and Century were dependent. When these data are synthesized with previously tested ancestors, landraces, and cultivars, it appears that both dependent and nondependent diploid ancestors with the A, S(B), and D genomes existed, but dependence was lost in tetraploid ancestors. Since no dependence on mycorrhizae has been demonstrated in any AB genome ancestors, the presence of dependence in modern cultivars of the hexaploid ABD genome is probably derived from the D genome. The consistent dependence of wheat cultivars released before 1950 suggests that modern breeding practices have reduced dependence on mycorrhizal symbiosis. The implications of having mycorrhizal colonization in the absence of mycorrhizal dependence (benefit) are discussed.","ISSN":"0008-4026","note":"WOS:A1993LC50400017","journalAbbreviation":"Can. J. Bot.-Rev. Can. Bot.","language":"English","author":[{"family":"Hetrick","given":"Bad"},{"family":"Wilson","given":"Gwt"},{"family":"Cox","given":"Ts"}],"issued":{"date-parts":[["1993",3]]}}},{"id":168,"uris":["http://zotero.org/users/local/d1gJDEOw/items/EEH5AMWP"],"uri":["http://zotero.org/users/local/d1gJDEOw/items/EEH5AMWP"],"itemData":{"id":168,"type":"article-journal","title":"Phosphorus (P) efficiencies and mycorrhizal responsiveness of old and modern wheat cultivars","container-title":"Plant and Soil","page":"249-255","volume":"237","issue":"2","source":"Web of Science","abstract":"A pot experiment was carried out in a growth chamber to investigate P efficiencies and mycorrhizal responsiveness of modern (Krichauff and Excalibur) and old (Khapstein, Bobin, Comeback and Purple Straw) wheat cultivars (Triticum aestivum). The arbuscular mycorrhizal fungus (AMF) used in this study was Glomus intraradices. The growth medium was a soil/sand mixture with NaHCO3-extractable P of 9.4 mg P kg(-1) and no extra P was added. Plant P efficiencies (uptake, utilisation and agronomic) were found to differ significantly between cultivars, but no general trends of changes with the year of release of the cultivar were found. AMF colonisation was found to decrease plant growth under our experimental conditions with low light intensity. Mycorrhizal responsiveness (MR) was measured in terms of the improvement in plant P nutrition (shoot P concentrations). MR was found to be generally lower in modern cultivars than in old cultivars, indicating that modern breeding programs may have reduced the responsiveness of modern wheat cultivars to arbuscular mycorrhizal fungi. MR was also found to decrease in general with increased plant P utilisation efficiency.","DOI":"10.1023/A:1013343811110","ISSN":"0032-079X","note":"WOS:000172862000006","journalAbbreviation":"Plant Soil","language":"English","author":[{"family":"Zhu","given":"Y. G."},{"family":"Smith","given":"S. E."},{"family":"Barritt","given":"A. R."},{"family":"Smith","given":"F. A."}],"issued":{"date-parts":[["2001",12]]}}}],"schema":"https://github.com/citation-style-language/schema/raw/master/csl-citation.json"}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Hetrick</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1993; Zhu </w:t>
      </w:r>
      <w:r w:rsidR="00954B3D" w:rsidRPr="00954B3D">
        <w:rPr>
          <w:rFonts w:cs="Times New Roman"/>
          <w:i/>
          <w:iCs/>
          <w:szCs w:val="24"/>
        </w:rPr>
        <w:t>et al.</w:t>
      </w:r>
      <w:r w:rsidR="00954B3D" w:rsidRPr="00954B3D">
        <w:rPr>
          <w:rFonts w:cs="Times New Roman"/>
          <w:szCs w:val="24"/>
        </w:rPr>
        <w:t>, 2001)</w:t>
      </w:r>
      <w:r>
        <w:fldChar w:fldCharType="end"/>
      </w:r>
      <w:r>
        <w:t xml:space="preserve">. For example </w:t>
      </w:r>
      <w:proofErr w:type="spellStart"/>
      <w:r w:rsidR="00E52B3A">
        <w:t>Maherali</w:t>
      </w:r>
      <w:proofErr w:type="spellEnd"/>
      <w:r w:rsidR="00E52B3A">
        <w:t xml:space="preserve"> &amp; </w:t>
      </w:r>
      <w:proofErr w:type="spellStart"/>
      <w:r w:rsidR="00E52B3A">
        <w:t>Klironomos</w:t>
      </w:r>
      <w:proofErr w:type="spellEnd"/>
      <w:r w:rsidR="00E52B3A">
        <w:t>, (2007)</w:t>
      </w:r>
      <w:r>
        <w:t xml:space="preserve"> showed </w:t>
      </w:r>
      <w:r w:rsidRPr="0009610A">
        <w:rPr>
          <w:i/>
        </w:rPr>
        <w:t xml:space="preserve">R. </w:t>
      </w:r>
      <w:proofErr w:type="spellStart"/>
      <w:r w:rsidRPr="0009610A">
        <w:rPr>
          <w:i/>
        </w:rPr>
        <w:t>intraradices</w:t>
      </w:r>
      <w:proofErr w:type="spellEnd"/>
      <w:r>
        <w:t xml:space="preserve"> and </w:t>
      </w:r>
      <w:r w:rsidRPr="0009610A">
        <w:rPr>
          <w:i/>
        </w:rPr>
        <w:t xml:space="preserve">F. </w:t>
      </w:r>
      <w:proofErr w:type="spellStart"/>
      <w:proofErr w:type="gramStart"/>
      <w:r w:rsidRPr="0009610A">
        <w:rPr>
          <w:i/>
        </w:rPr>
        <w:t>mosseae</w:t>
      </w:r>
      <w:proofErr w:type="spellEnd"/>
      <w:r>
        <w:t xml:space="preserve">  were</w:t>
      </w:r>
      <w:proofErr w:type="gramEnd"/>
      <w:r>
        <w:t xml:space="preserve"> able to function in pathogen protection against </w:t>
      </w:r>
      <w:r w:rsidRPr="0009610A">
        <w:rPr>
          <w:i/>
        </w:rPr>
        <w:t>Pythium</w:t>
      </w:r>
      <w:r>
        <w:t xml:space="preserve"> </w:t>
      </w:r>
      <w:proofErr w:type="spellStart"/>
      <w:r>
        <w:t>sp</w:t>
      </w:r>
      <w:proofErr w:type="spellEnd"/>
      <w:r>
        <w:t xml:space="preserve"> of but provided less benefit to plant growth tha</w:t>
      </w:r>
      <w:r w:rsidR="00E52B3A">
        <w:t>n</w:t>
      </w:r>
      <w:r>
        <w:t xml:space="preserve"> other taxa. Similarly experiments of the effect of inoculation of different AMF taxa upon apple seeding growth has shown differences in apple plant growth and nutrient response to different taxa </w:t>
      </w:r>
      <w:r w:rsidRPr="00C043EA">
        <w:fldChar w:fldCharType="begin"/>
      </w:r>
      <w:r w:rsidR="00954B3D">
        <w:instrText xml:space="preserve"> ADDIN ZOTERO_ITEM CSL_CITATION {"citationID":"HVqwcRgz","properties":{"formattedCitation":"{\\rtf (Covey {\\i{}et al.}, 1981; Miller {\\i{}et al.}, 1985b; Forge {\\i{}et al.}, 2001)}","plainCitation":"(Covey et al., 1981; Miller et al., 1985b; Forge et al., 2001)"},"citationItems":[{"id":185,"uris":["http://zotero.org/users/local/d1gJDEOw/items/94RP5SGV"],"uri":["http://zotero.org/users/local/d1gJDEOw/items/94RP5SGV"],"itemData":{"id":185,"type":"article-journal","title":"Influence of Vesicular Arbuscular Mycorrhizae on the Growth of Apple and Corn in Low-Phosphorous Soil","container-title":"Phytopathology","page":"712-715","volume":"71","issue":"7","source":"Web of Science","DOI":"10.1094/Phyto-71-712","ISSN":"0031-949X","note":"WOS:A1981LZ56700009","journalAbbreviation":"Phytopathology","language":"English","author":[{"family":"Covey","given":"Rp"},{"family":"Koch","given":"Bl"},{"family":"Larsen","given":"Hj"}],"issued":{"date-parts":[["1981"]]}}},{"id":199,"uris":["http://zotero.org/users/local/d1gJDEOw/items/SFEITGDV"],"uri":["http://zotero.org/users/local/d1gJDEOw/items/SFEITGDV"],"itemData":{"id":199,"type":"article-journal","title":"Colonization and Efficacy of Different Endomycorrhizal Fungi with Apple Seedlings at 2-Phosphorus Levels","container-title":"New Phytologist","page":"393-402","volume":"100","issue":"3","source":"Web of Science","DOI":"10.1111/j.1469-8137.1985.tb02788.x","ISSN":"0028-646X","note":"WOS:A1985AND4800011","journalAbbreviation":"New Phytol.","language":"English","author":[{"family":"Miller","given":"Dd"},{"family":"Domoto","given":"Pa"},{"family":"Walker","given":"C."}],"issued":{"date-parts":[["1985"]]}}},{"id":68,"uris":["http://zotero.org/users/local/d1gJDEOw/items/4XHBZECG"],"uri":["http://zotero.org/users/local/d1gJDEOw/items/4XHBZECG"],"itemData":{"id":68,"type":"article-journal","title":"Effects of preplant inoculation of apple (Malus domestica Borkh.) with arbuscular mycorrhizal fungi on population growth of the root-lesion nematode, Pratylenchus penetrans","container-title":"Plant and Soil","page":"185-196","volume":"236","issue":"2","abstract":"Six species of arbuscular mycorrhizal (AM) fungi (Glomus aggregatum, G. clarum, G. etunicatum, G. intraradices, G. mosseae and G. versiforme) were evaluated, in three greenhouse experiments, for their effects on reproduction of the root-lesion nematode, Pratylenchus penetrans, and growth of Ottawa 3 apple rootstock. Glomus mosseae increased total dry weights of nematode-inoculated and non-inoculated rootstock in all three greenhouse experiments, and G. intraradices increased dry weights in two of three greenhouse experiments. Plants inoculated with G. mosseae generally supported fewer P. penetrans per gram of root than plants inoculated with other AM fungi, but did not differ significantly from the controls in any greenhouse experiment. Colonization of roots by AM fungi was reduced by P. penetrans at initial inoculum densities greater than 250 nematodes/L soil. In field trials, preplant inoculation with either G. intraradices or G. mosseae increased rootstock growth and leaf concentrations of P, Mg, Zn and Cu in fumigated plots but not in non-fumigated plots, indicating that colonization by native AM fungi in non-fumigated plots may have been sufficient for adequate nutrient acquisition. The abundance of vesicles and arbuscules was greater in roots of plants inoculated with AM fungi before planting than in roots of non-inoculated plants, in both fumigated and non-fumigated plots. P. penetrans per gram of root and per 50 ml soil were significantly lower for G. mosseae- inoculated plants than for non-inoculated plants in fumigated soil but not in non-fumigated soil.","DOI":"10.1023/A:1012743028974","ISSN":"1573-5036","journalAbbreviation":"Plant and Soil","author":[{"family":"Forge","given":"Thomas"},{"family":"Muehlchen","given":"Andrea"},{"family":"Hackenberg","given":"Clemens"},{"family":"Neilsen","given":"Gerry"},{"family":"Vrain","given":"Thierry"}],"issued":{"date-parts":[["2001"]]}}}],"schema":"https://github.com/citation-style-language/schema/raw/master/csl-citation.json"} </w:instrText>
      </w:r>
      <w:r w:rsidRPr="00C043EA">
        <w:fldChar w:fldCharType="separate"/>
      </w:r>
      <w:r w:rsidR="00954B3D" w:rsidRPr="00954B3D">
        <w:rPr>
          <w:rFonts w:cs="Times New Roman"/>
          <w:szCs w:val="24"/>
        </w:rPr>
        <w:t xml:space="preserve">(Covey </w:t>
      </w:r>
      <w:r w:rsidR="00954B3D" w:rsidRPr="00954B3D">
        <w:rPr>
          <w:rFonts w:cs="Times New Roman"/>
          <w:i/>
          <w:iCs/>
          <w:szCs w:val="24"/>
        </w:rPr>
        <w:t>et al.</w:t>
      </w:r>
      <w:r w:rsidR="00954B3D" w:rsidRPr="00954B3D">
        <w:rPr>
          <w:rFonts w:cs="Times New Roman"/>
          <w:szCs w:val="24"/>
        </w:rPr>
        <w:t xml:space="preserve">, 1981; Miller </w:t>
      </w:r>
      <w:r w:rsidR="00954B3D" w:rsidRPr="00954B3D">
        <w:rPr>
          <w:rFonts w:cs="Times New Roman"/>
          <w:i/>
          <w:iCs/>
          <w:szCs w:val="24"/>
        </w:rPr>
        <w:t>et al.</w:t>
      </w:r>
      <w:r w:rsidR="00954B3D" w:rsidRPr="00954B3D">
        <w:rPr>
          <w:rFonts w:cs="Times New Roman"/>
          <w:szCs w:val="24"/>
        </w:rPr>
        <w:t xml:space="preserve">, 1985b; Forge </w:t>
      </w:r>
      <w:r w:rsidR="00954B3D" w:rsidRPr="00954B3D">
        <w:rPr>
          <w:rFonts w:cs="Times New Roman"/>
          <w:i/>
          <w:iCs/>
          <w:szCs w:val="24"/>
        </w:rPr>
        <w:t>et al.</w:t>
      </w:r>
      <w:r w:rsidR="00954B3D" w:rsidRPr="00954B3D">
        <w:rPr>
          <w:rFonts w:cs="Times New Roman"/>
          <w:szCs w:val="24"/>
        </w:rPr>
        <w:t>, 2001)</w:t>
      </w:r>
      <w:r w:rsidRPr="00C043EA">
        <w:fldChar w:fldCharType="end"/>
      </w:r>
      <w:r>
        <w:t>. Further work to investigate the effect of inoculation of apple with different AMF taxa would help identify those which are most beneficial and therefore optimal choices for AMF inoculum.</w:t>
      </w:r>
    </w:p>
    <w:p w:rsidR="00A57540" w:rsidRDefault="00A57540" w:rsidP="00861E0B">
      <w:r>
        <w:t xml:space="preserve">We investigated effect of AMF upon leaf and flower phenology based upon recent work which has suggested that microbial communities have a role in determining plant flowering time through potential effects upon phenotypic plasticity of flower phenology </w:t>
      </w:r>
      <w:r>
        <w:fldChar w:fldCharType="begin"/>
      </w:r>
      <w:r w:rsidR="00954B3D">
        <w:instrText xml:space="preserve"> ADDIN ZOTERO_ITEM CSL_CITATION {"citationID":"NTxlkO7d","properties":{"formattedCitation":"{\\rtf (Lau &amp; Lennon, 2011; Wagner {\\i{}et al.}, 2014)}","plainCitation":"(Lau &amp; Lennon, 2011; Wagner et al., 2014)"},"citationItems":[{"id":757,"uris":["http://zotero.org/users/local/d1gJDEOw/items/FJ7VHUI5"],"uri":["http://zotero.org/users/local/d1gJDEOw/items/FJ7VHUI5"],"itemData":{"id":757,"type":"article-journal","title":"Evolutionary ecology of plant-microbe interactions: soil microbial structure alters selection on plant traits","container-title":"The New Phytologist","page":"215-224","volume":"192","issue":"1","source":"PubMed","abstract":"• Below-ground microbial communities influence plant diversity, plant productivity, and plant community composition. Given these strong ecological effects, are interactions with below-ground microbes also important for understanding natural selection on plant traits? • Here, we manipulated below-ground microbial communities and the soil moisture environment on replicated populations of Brassica rapa to examine how microbial community structure influences selection on plant traits and mediates plant responses to abiotic environmental stress. • In soils with experimentally simplified microbial communities, plants were smaller, had reduced chlorophyll content, produced fewer flowers, and were less fecund when compared with plant populations grown in association with more complex soil microbial communities. Selection on plant growth and phenological traits also was stronger when plants were grown in simplified, less diverse soil microbial communities, and these effects typically were consistent across soil moisture treatments. • Our results suggest that microbial community structure affects patterns of natural selection on plant traits. Thus, the below-ground microbial community can influence evolutionary processes, just as recent studies have demonstrated that microbial diversity can influence plant community and ecosystem processes.","DOI":"10.1111/j.1469-8137.2011.03790.x","ISSN":"1469-8137","note":"PMID: 21658184","shortTitle":"Evolutionary ecology of plant-microbe interactions","journalAbbreviation":"New Phytol.","language":"eng","author":[{"family":"Lau","given":"Jennifer A."},{"family":"Lennon","given":"Jay T."}],"issued":{"date-parts":[["2011",10]]}}},{"id":745,"uris":["http://zotero.org/users/local/d1gJDEOw/items/9S8TATMN"],"uri":["http://zotero.org/users/local/d1gJDEOw/items/9S8TATMN"],"itemData":{"id":745,"type":"article-journal","title":"Natural soil microbes alter flowering phenology and the intensity of selection on flowering time in a wild Arabidopsis relative","container-title":"Ecology Letters","page":"717-726","volume":"17","issue":"6","source":"PubMed","abstract":"Plant phenology is known to depend on many different environmental variables, but soil microbial communities have rarely been acknowledged as possible drivers of flowering time. Here, we tested separately the effects of four naturally occurring soil microbiomes and their constituent soil chemistries on flowering phenology and reproductive fitness of Boechera stricta, a wild relative of Arabidopsis. Flowering time was sensitive to both microbes and the abiotic properties of different soils; varying soil microbiota also altered patterns of selection on flowering time. Thus, soil microbes potentially contribute to phenotypic plasticity of flowering time and to differential selection observed between habitats. We also describe a method to dissect the microbiome into single axes of variation that can help identify candidate organisms whose abundance in soil correlates with flowering time. This approach is broadly applicable to search for microbial community members that alter biological characteristics of interest.","DOI":"10.1111/ele.12276","ISSN":"1461-0248","note":"PMID: 24698177\nPMCID: PMC4048358","journalAbbreviation":"Ecol. Lett.","language":"eng","author":[{"family":"Wagner","given":"Maggie R."},{"family":"Lundberg","given":"Derek S."},{"family":"Coleman-Derr","given":"Devin"},{"family":"Tringe","given":"Susannah G."},{"family":"Dangl","given":"Jeffery L."},{"family":"Mitchell-Olds","given":"Thomas"}],"issued":{"date-parts":[["2014",6]]}}}],"schema":"https://github.com/citation-style-language/schema/raw/master/csl-citation.json"} </w:instrText>
      </w:r>
      <w:r>
        <w:fldChar w:fldCharType="separate"/>
      </w:r>
      <w:r w:rsidR="00954B3D" w:rsidRPr="00954B3D">
        <w:rPr>
          <w:rFonts w:cs="Times New Roman"/>
          <w:szCs w:val="24"/>
        </w:rPr>
        <w:t xml:space="preserve">(Lau &amp; Lennon, 2011; Wagner </w:t>
      </w:r>
      <w:r w:rsidR="00954B3D" w:rsidRPr="00954B3D">
        <w:rPr>
          <w:rFonts w:cs="Times New Roman"/>
          <w:i/>
          <w:iCs/>
          <w:szCs w:val="24"/>
        </w:rPr>
        <w:t>et al.</w:t>
      </w:r>
      <w:r w:rsidR="00954B3D" w:rsidRPr="00954B3D">
        <w:rPr>
          <w:rFonts w:cs="Times New Roman"/>
          <w:szCs w:val="24"/>
        </w:rPr>
        <w:t>, 2014)</w:t>
      </w:r>
      <w:r>
        <w:fldChar w:fldCharType="end"/>
      </w:r>
      <w:r>
        <w:t xml:space="preserve">. Timing of leaf and flower development is of agronomical importance due to potential effects on growth and flower production and consequently therefore effects upon fruit yield. In particular flowering date is critical as climate conditions and pollinator activity during this period  determine flower set  and the annual fruit crop </w:t>
      </w:r>
      <w:r>
        <w:fldChar w:fldCharType="begin"/>
      </w:r>
      <w:r w:rsidR="00954B3D">
        <w:instrText xml:space="preserve"> ADDIN ZOTERO_ITEM CSL_CITATION {"citationID":"2akp3f2mcd","properties":{"formattedCitation":"(Williams, 1996)","plainCitation":"(Williams, 1996)"},"citationItems":[{"id":625,"uris":["http://zotero.org/users/local/d1gJDEOw/items/DTKWXZGH"],"uri":["http://zotero.org/users/local/d1gJDEOw/items/DTKWXZGH"],"itemData":{"id":625,"type":"book","title":"Cider and Juice Apples: Growing and Processing","publisher":"Unviersity of Bristol Printing Unit","author":[{"family":"Williams","given":"R.R"}],"issued":{"date-parts":[["1996"]]}}}],"schema":"https://github.com/citation-style-language/schema/raw/master/csl-citation.json"} </w:instrText>
      </w:r>
      <w:r>
        <w:fldChar w:fldCharType="separate"/>
      </w:r>
      <w:r w:rsidR="00954B3D" w:rsidRPr="00954B3D">
        <w:rPr>
          <w:rFonts w:cs="Times New Roman"/>
        </w:rPr>
        <w:t>(Williams, 1996)</w:t>
      </w:r>
      <w:r>
        <w:fldChar w:fldCharType="end"/>
      </w:r>
      <w:r>
        <w:t xml:space="preserve">. However in contrast to the results of Wagner </w:t>
      </w:r>
      <w:r w:rsidRPr="001852FC">
        <w:rPr>
          <w:i/>
        </w:rPr>
        <w:t>et al.,</w:t>
      </w:r>
      <w:r>
        <w:t xml:space="preserve"> (2014) our data showed no difference between mycorrhiza inoculated and non-inoculated trees for timing of leaf or flower phenology.  Delayed timing of leaf and flower phenology in year 3 (2015) of the experiment in comparison to year 2 (2014), corresponded with lower spring temperatures which are known to delay leaf and flower phenology </w:t>
      </w:r>
      <w:r>
        <w:fldChar w:fldCharType="begin"/>
      </w:r>
      <w:r w:rsidR="00954B3D">
        <w:instrText xml:space="preserve"> ADDIN ZOTERO_ITEM CSL_CITATION {"citationID":"qb7mdgmje","properties":{"formattedCitation":"{\\rtf (Williams, 1996; Aikawa {\\i{}et al.}, 2010)}","plainCitation":"(Williams, 1996; Aikawa et al., 2010)"},"citationItems":[{"id":625,"uris":["http://zotero.org/users/local/d1gJDEOw/items/DTKWXZGH"],"uri":["http://zotero.org/users/local/d1gJDEOw/items/DTKWXZGH"],"itemData":{"id":625,"type":"book","title":"Cider and Juice Apples: Growing and Processing","publisher":"Unviersity of Bristol Printing Unit","author":[{"family":"Williams","given":"R.R"}],"issued":{"date-parts":[["1996"]]}}},{"id":753,"uris":["http://zotero.org/users/local/d1gJDEOw/items/IWVZ57BK"],"uri":["http://zotero.org/users/local/d1gJDEOw/items/IWVZ57BK"],"itemData":{"id":753,"type":"article-journal","title":"Robust control of the seasonal expression of the Arabidopsis FLC gene in a fluctuating environment","container-title":"Proceedings of the National Academy of Sciences","page":"11632-11637","volume":"107","issue":"25","source":"www.pnas.org","abstract":"Plants flower in particular seasons even in natural, fluctuating environments. The molecular basis of temperature-dependent flowering-time regulation has been extensively studied, but little is known about how gene expression is controlled in natural environments. Without a memory of past temperatures, it would be difficult for plants to detect seasons in natural, noisy environments because temperature changes occurring within a few weeks are often inconsistent with seasonal trends. Our 2-y census of the expression of a temperature-dependent flowering-time gene, AhgFLC, in a natural population of perennial Arabidopsis halleri revealed that the regulatory system of this flowering-time gene extracts seasonal cues as if it memorizes temperatures over the past 6 wk. Time-series analysis revealed that as much as 83% of the variation in the AhgFLC expression is explained solely by the temperature for the previous 6 wk, but not by the temperatures over shorter or longer periods. The accuracy of our model in predicting the gene expression pattern under contrasting temperature regimes in the transplant experiments indicates that such modeling incorporating the molecular bases of flowering-time regulation will contribute to predicting plant responses to future climate changes.","DOI":"10.1073/pnas.0914293107","ISSN":"0027-8424, 1091-6490","note":"PMID: 20534541","journalAbbreviation":"PNAS","language":"en","author":[{"family":"Aikawa","given":"Shinichiro"},{"family":"Kobayashi","given":"Masaki J."},{"family":"Satake","given":"Akiko"},{"family":"Shimizu","given":"Kentaro K."},{"family":"Kudoh","given":"Hiroshi"}],"issued":{"date-parts":[["2010",6,22]]}}}],"schema":"https://github.com/citation-style-language/schema/raw/master/csl-citation.json"} </w:instrText>
      </w:r>
      <w:r>
        <w:fldChar w:fldCharType="separate"/>
      </w:r>
      <w:r w:rsidR="00954B3D" w:rsidRPr="00954B3D">
        <w:rPr>
          <w:rFonts w:cs="Times New Roman"/>
          <w:szCs w:val="24"/>
        </w:rPr>
        <w:t xml:space="preserve">(Williams, 1996; </w:t>
      </w:r>
      <w:proofErr w:type="spellStart"/>
      <w:r w:rsidR="00954B3D" w:rsidRPr="00954B3D">
        <w:rPr>
          <w:rFonts w:cs="Times New Roman"/>
          <w:szCs w:val="24"/>
        </w:rPr>
        <w:t>Aikawa</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2010)</w:t>
      </w:r>
      <w:r>
        <w:fldChar w:fldCharType="end"/>
      </w:r>
      <w:r w:rsidR="00861E0B">
        <w:t>.</w:t>
      </w:r>
    </w:p>
    <w:p w:rsidR="00A57540" w:rsidRDefault="00A57540" w:rsidP="00A57540">
      <w:pPr>
        <w:pStyle w:val="Heading4"/>
        <w:numPr>
          <w:ilvl w:val="3"/>
          <w:numId w:val="1"/>
        </w:numPr>
      </w:pPr>
      <w:r>
        <w:t>AMF and tree yield</w:t>
      </w:r>
    </w:p>
    <w:p w:rsidR="00A57540" w:rsidRPr="0005310B" w:rsidRDefault="00A57540" w:rsidP="00861E0B">
      <w:r>
        <w:t xml:space="preserve">The first crop of fruit yield from all trees in autumn 2013 following the first growing season was very low (averaging at roughly 1 fruit per tree). This is a result of the immaturity of the tree ages and recent plant date as cider apple orchards take several years to become established and reach full crop production </w:t>
      </w:r>
      <w:r>
        <w:fldChar w:fldCharType="begin"/>
      </w:r>
      <w:r w:rsidR="00954B3D">
        <w:instrText xml:space="preserve"> ADDIN ZOTERO_ITEM CSL_CITATION {"citationID":"3vdaaanpl","properties":{"formattedCitation":"(Williams, 1996)","plainCitation":"(Williams, 1996)"},"citationItems":[{"id":625,"uris":["http://zotero.org/users/local/d1gJDEOw/items/DTKWXZGH"],"uri":["http://zotero.org/users/local/d1gJDEOw/items/DTKWXZGH"],"itemData":{"id":625,"type":"book","title":"Cider and Juice Apples: Growing and Processing","publisher":"Unviersity of Bristol Printing Unit","author":[{"family":"Williams","given":"R.R"}],"issued":{"date-parts":[["1996"]]}}}],"schema":"https://github.com/citation-style-language/schema/raw/master/csl-citation.json"} </w:instrText>
      </w:r>
      <w:r>
        <w:fldChar w:fldCharType="separate"/>
      </w:r>
      <w:r w:rsidR="00954B3D" w:rsidRPr="00954B3D">
        <w:rPr>
          <w:rFonts w:cs="Times New Roman"/>
        </w:rPr>
        <w:t>(Williams, 1996)</w:t>
      </w:r>
      <w:r>
        <w:fldChar w:fldCharType="end"/>
      </w:r>
      <w:r>
        <w:t xml:space="preserve">. Mycorrhizal trees showed significantly reduced yield in the first year of the experiment (35% reduction) compared to non-inoculated trees.  One explanation for reduced fruit yield in mycorrhizal trees in comparison to non-mycorrhizal trees could be the carbon cost of AMF symbiosis draining C that would otherwise be allocated to fruit production </w:t>
      </w:r>
      <w:r>
        <w:fldChar w:fldCharType="begin"/>
      </w:r>
      <w:r w:rsidR="00954B3D">
        <w:instrText xml:space="preserve"> ADDIN ZOTERO_ITEM CSL_CITATION {"citationID":"1d4rs9o1n6","properties":{"formattedCitation":"{\\rtf (Guo {\\i{}et al.}, 1994)}","plainCitation":"(Guo et al., 1994)"},"citationItems":[{"id":765,"uris":["http://zotero.org/users/local/d1gJDEOw/items/5DJZNCBU"],"uri":["http://zotero.org/users/local/d1gJDEOw/items/5DJZNCBU"],"itemData":{"id":765,"type":"article-journal","title":"A mycorrhizal pathogen (Glomus macrocarpum Tul. &amp; Tul.) of tobacco: effects of long- and short-term cropping on the mycorrhizal fungal community and stunt disease","container-title":"Applied Soil Ecology","page":"269-276","volume":"1","issue":"4","source":"ScienceDirect","abstract":"A crop rotation experiment was conducted on two adjacent tracts of land differing in long-term croppin history (30 year in tall fescue pasture or 3 year in sorghum-sudangrass hybrid (SSGH).. Short-term crops were 2 years in tobacco or low-endophyte (Acremonium coenophialum Morgan-Jones &amp; Gams) tall fescue. Tobacco was grown on all plots in Year 3, and data relating mycorrhizal stunt disease of tobacco and populations of the stunt pathogen, Glomus macrocarpum Tul. &amp; Tul., and of other members of the mycorrhizal fungal community, were taken. Disease incidence was highest with SSGH-tobacco and lowest with fescue-fescue, the other two combinations being intermediate. Mycorrhizal colonization was related to disease occurence. At the beginning of the season, populations of G. macrocarpum were equally high in land with a long-term history of SSGH, regardless of its short-term history; but at the end of the season, populations of G. macrocarpum among the four treatments were proportional to the incidence of disease. Populations of four mycorrhizal fungal species which were high in land with a short-term history of fescue were depressed by production of tobacco. Monocropping of tobacco appeared to narrow the diversity of the mycorrhizal fungal community and increased the proportion which is pathogenic, the overall result being lower productivity of soil for tobacco. Crop rotation of tobacco with fescue decreased the proportion of the mycorrhizal fungal community which is pathogenic and maintained productivity of soil for tobacco.","DOI":"10.1016/0929-1393(94)90004-3","ISSN":"0929-1393","shortTitle":"A mycorrhizal pathogen (Glomus macrocarpum Tul. &amp; Tul.) of tobacco","journalAbbreviation":"Applied Soil Ecology","author":[{"family":"Guo","given":"B. Z."},{"family":"An","given":"Z. Q."},{"family":"Hendrix","given":"J. W."}],"issued":{"date-parts":[["1994",12,1]]}}}],"schema":"https://github.com/citation-style-language/schema/raw/master/csl-citation.json"}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Guo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1994)</w:t>
      </w:r>
      <w:r>
        <w:fldChar w:fldCharType="end"/>
      </w:r>
      <w:r>
        <w:t xml:space="preserve"> however </w:t>
      </w:r>
      <w:r>
        <w:lastRenderedPageBreak/>
        <w:t xml:space="preserve">this is not supported by the other measures of growth made during this study which showed no differences in growth between AMF and non AMF trees.  It was not possible to measure fruit yield for the subsequent two years of the experiment due to very low fruit production as result of pathogen infection. However, measurement of flower production in year 2 and year 3 showed no difference between inoculated and non-inoculated trees suggesting that yield potential was similar.  </w:t>
      </w:r>
    </w:p>
    <w:p w:rsidR="00A57540" w:rsidRPr="00C043EA" w:rsidRDefault="00A57540" w:rsidP="00A57540">
      <w:pPr>
        <w:pStyle w:val="Heading3"/>
      </w:pPr>
      <w:bookmarkStart w:id="194" w:name="_Toc469855032"/>
      <w:bookmarkStart w:id="195" w:name="_Toc469856032"/>
      <w:bookmarkStart w:id="196" w:name="_Toc469931941"/>
      <w:bookmarkStart w:id="197" w:name="_Toc469982262"/>
      <w:r w:rsidRPr="00C043EA">
        <w:t>Rootstock and scion effects</w:t>
      </w:r>
      <w:bookmarkEnd w:id="194"/>
      <w:bookmarkEnd w:id="195"/>
      <w:bookmarkEnd w:id="196"/>
      <w:bookmarkEnd w:id="197"/>
      <w:r w:rsidRPr="00C043EA">
        <w:t xml:space="preserve"> </w:t>
      </w:r>
    </w:p>
    <w:p w:rsidR="00A57540" w:rsidRPr="000A7848" w:rsidRDefault="00A57540" w:rsidP="00861E0B">
      <w:r w:rsidRPr="00C043EA">
        <w:t xml:space="preserve">Previous research with herbaceous species has suggested that crop breeding in agricultural soils with high nutrient levels and low soil mycorrhizal loads may have impaired the ability to form mycorrhizal associations in subsequent germplasm </w:t>
      </w:r>
      <w:r w:rsidRPr="00C043EA">
        <w:fldChar w:fldCharType="begin"/>
      </w:r>
      <w:r w:rsidR="00954B3D">
        <w:instrText xml:space="preserve"> ADDIN ZOTERO_ITEM CSL_CITATION {"citationID":"1os1pfpp7f","properties":{"formattedCitation":"{\\rtf (Hetrick {\\i{}et al.}, 1993, 1996)}","plainCitation":"(Hetrick et al., 1993, 1996)"},"citationItems":[{"id":167,"uris":["http://zotero.org/users/local/d1gJDEOw/items/MG6SFDTW"],"uri":["http://zotero.org/users/local/d1gJDEOw/items/MG6SFDTW"],"itemData":{"id":167,"type":"article-journal","title":"Mycorrhizal Dependence of Modern Wheat Cultivars and Ancestors - a Synthesis","container-title":"Canadian Journal of Botany-Revue Canadienne De Botanique","page":"512-518","volume":"71","issue":"3","source":"Web of Science","abstract":"To supplement previous studies, wheat ancestors with the A, S(B), D, and AB genomes and modern spring and winter wheat cultivars were vernalized for 42 days in a growth chamber prior to transplanting and growth in a greenhouse for 14 weeks. One-half of the seedlings were inoculated with a mixture of equal numbers of spores of six vesicular-arbuscular mycorrhizal fungi at transplanting. Dry weights of plants and component parts were determined. Percent colonization of roots was determined microscopically. Growth response and mycorrhizal dependence were calculated. However, no mycorrhizal dependence was observed in Triticum monococcum PI 266844 and PI 355520 (A genome), Aegilops speltoides 1773 (S(B) genome), or in the AB genome ancestors Triticum carthlicum 2825, Triticum polonicum 2808, Triticum dicoccum 1165, Triticum pyramidale 2809, Triticum orientale 2805, Triticum paleocolchicum 2807, and Triticum persidum 2811 and 2812. Mycorrhizal dependence in the D genome ancestors was more variable. Triticum tauschii var. typica accessions 1649, 1691, 2378, 2448, 2492, 2495, 2528, 254 1, and 2567 lacked dependence, whereas T. tauschii var. meyeri 2529 and var. strangulata 2377 and 2452 were dependent on mycorrhizal symbiosis. The spring wheat cultivars Chinese Spring 3008, Spelta 2603, Pavon 76 2980, and Norin 29 3025 and the winter wheat cultivars TAM 200, Wrangler, Saluda, and Karl were not dependent on mycorrhizae, whereas winter wheat cultivars TAM 107 and Century were dependent. When these data are synthesized with previously tested ancestors, landraces, and cultivars, it appears that both dependent and nondependent diploid ancestors with the A, S(B), and D genomes existed, but dependence was lost in tetraploid ancestors. Since no dependence on mycorrhizae has been demonstrated in any AB genome ancestors, the presence of dependence in modern cultivars of the hexaploid ABD genome is probably derived from the D genome. The consistent dependence of wheat cultivars released before 1950 suggests that modern breeding practices have reduced dependence on mycorrhizal symbiosis. The implications of having mycorrhizal colonization in the absence of mycorrhizal dependence (benefit) are discussed.","ISSN":"0008-4026","note":"WOS:A1993LC50400017","journalAbbreviation":"Can. J. Bot.-Rev. Can. Bot.","language":"English","author":[{"family":"Hetrick","given":"Bad"},{"family":"Wilson","given":"Gwt"},{"family":"Cox","given":"Ts"}],"issued":{"date-parts":[["1993",3]]}}},{"id":172,"uris":["http://zotero.org/users/local/d1gJDEOw/items/R5CTA8PV"],"uri":["http://zotero.org/users/local/d1gJDEOw/items/R5CTA8PV"],"itemData":{"id":172,"type":"article-journal","title":"Mycorrhizal response in wheat cultivars: Relationship to phosphorus","container-title":"Canadian Journal of Botany-Revue Canadienne De Botanique","page":"19-25","volume":"74","issue":"1","source":"Web of Science","abstract":"The effect of five mycorrhizal fungi on the growth of 10 wheat cultivars under three phosphorus regimes was assessed in a greenhouse study. Six of the cultivars responded positively, while four responded negatively or were nonresponsive to mycorrhizal inoculation. The responses of the individual cultivars were consistent regardless of inoculum source, suggesting that mycorrhizal responsiveness is an inherited trait rather than a response to individual fungi. Mycorrhizal responsiveness decreased with P fertilization for cultivars that were dependent on the symbiosis, but it was unaffected by P fertilization in cultivars that were negatively impacted by the mycorrhizae. Mycorrhizal and P responsiveness of each cultivar were highly correlated (r = 0.94), suggesting that P responsiveness may be a good predictor of the mycorrhizal dependence of selected wheat cultivars. The relationship between wheat biomass production and percentage root colonization was positive for cultivars, which responded favorably to the symbiosis, and negative for cultivars, which responded negatively or were nonresponsive to mycorrhizal inoculation. Amendment with P did not significantly affect these relationships. To determine whether differences in mycorrhizal responsiveness are related to nutrient uptake by the fungus, P-32 uptake of Turkey (responsive cultivar) and Newton (nonresponsive cultivar) was controlled by severing the mycorrhizal hyphae in a split-pot experiment. Plants with intact hyphae absorbed more P-32 than those with severed hyphae for both cultivars, and significantly more counts per minute of P-32 were evident in Newton than in Turkey, suggesting that mycorrhizal function is not impaired even in cultivars that do not display a biomass increase in response to mycorrhizal symbiosis.","ISSN":"0008-4026","note":"WOS:A1996TU24100003","shortTitle":"Mycorrhizal response in wheat cultivars","journalAbbreviation":"Can. J. Bot.-Rev. Can. Bot.","language":"English","author":[{"family":"Hetrick","given":"B. a. D."},{"family":"Wilson","given":"G. W. T."},{"family":"Todd","given":"T. C."}],"issued":{"date-parts":[["1996",1]]}}}],"schema":"https://github.com/citation-style-language/schema/raw/master/csl-citation.json"} </w:instrText>
      </w:r>
      <w:r w:rsidRPr="00C043EA">
        <w:fldChar w:fldCharType="separate"/>
      </w:r>
      <w:r w:rsidR="00954B3D" w:rsidRPr="00954B3D">
        <w:rPr>
          <w:rFonts w:cs="Times New Roman"/>
          <w:szCs w:val="24"/>
        </w:rPr>
        <w:t>(</w:t>
      </w:r>
      <w:proofErr w:type="spellStart"/>
      <w:r w:rsidR="00954B3D" w:rsidRPr="00954B3D">
        <w:rPr>
          <w:rFonts w:cs="Times New Roman"/>
          <w:szCs w:val="24"/>
        </w:rPr>
        <w:t>Hetrick</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1993, 1996)</w:t>
      </w:r>
      <w:r w:rsidRPr="00C043EA">
        <w:fldChar w:fldCharType="end"/>
      </w:r>
      <w:r w:rsidRPr="00C043EA">
        <w:t xml:space="preserve">. Given apples have been subject to significant artificial selection during breeding (specifically in terms of rootstock), we investigated the effects of root stock type on mycorrhizal functioning. In our study rootstock type did not affect mycorrhizal colonisation, with mean colonisation in low nutrient soils at 42% for MM106 and 43% for MM111 and at high nutrient 20% for MM106 and 21% for </w:t>
      </w:r>
      <w:r>
        <w:t>MM111</w:t>
      </w:r>
      <w:r w:rsidRPr="00C043EA">
        <w:t xml:space="preserve">. Thus these two widely planted rootstocks are able to achieve high levels of colonisation. This is of significance as both rootstocks are widely planted in modern orchards therefore demonstrating that these modern rootstocks trees have the capacity to form high levels of AMF colonisation dependent upon soil fertility. </w:t>
      </w:r>
      <w:r>
        <w:t xml:space="preserve"> However colonisation results must be interpreted with caution given that they are</w:t>
      </w:r>
      <w:r w:rsidRPr="00C043EA">
        <w:t xml:space="preserve"> not consistently a good pr</w:t>
      </w:r>
      <w:r>
        <w:t xml:space="preserve">edictor of mycorrhizal activity </w:t>
      </w:r>
      <w:r>
        <w:fldChar w:fldCharType="begin"/>
      </w:r>
      <w:r w:rsidR="00954B3D">
        <w:instrText xml:space="preserve"> ADDIN ZOTERO_ITEM CSL_CITATION {"citationID":"5j516214j","properties":{"formattedCitation":"{\\rtf (Hetrick {\\i{}et al.}, 1993; Zhu {\\i{}et al.}, 2001)}","plainCitation":"(Hetrick et al., 1993; Zhu et al., 2001)"},"citationItems":[{"id":167,"uris":["http://zotero.org/users/local/d1gJDEOw/items/MG6SFDTW"],"uri":["http://zotero.org/users/local/d1gJDEOw/items/MG6SFDTW"],"itemData":{"id":167,"type":"article-journal","title":"Mycorrhizal Dependence of Modern Wheat Cultivars and Ancestors - a Synthesis","container-title":"Canadian Journal of Botany-Revue Canadienne De Botanique","page":"512-518","volume":"71","issue":"3","source":"Web of Science","abstract":"To supplement previous studies, wheat ancestors with the A, S(B), D, and AB genomes and modern spring and winter wheat cultivars were vernalized for 42 days in a growth chamber prior to transplanting and growth in a greenhouse for 14 weeks. One-half of the seedlings were inoculated with a mixture of equal numbers of spores of six vesicular-arbuscular mycorrhizal fungi at transplanting. Dry weights of plants and component parts were determined. Percent colonization of roots was determined microscopically. Growth response and mycorrhizal dependence were calculated. However, no mycorrhizal dependence was observed in Triticum monococcum PI 266844 and PI 355520 (A genome), Aegilops speltoides 1773 (S(B) genome), or in the AB genome ancestors Triticum carthlicum 2825, Triticum polonicum 2808, Triticum dicoccum 1165, Triticum pyramidale 2809, Triticum orientale 2805, Triticum paleocolchicum 2807, and Triticum persidum 2811 and 2812. Mycorrhizal dependence in the D genome ancestors was more variable. Triticum tauschii var. typica accessions 1649, 1691, 2378, 2448, 2492, 2495, 2528, 254 1, and 2567 lacked dependence, whereas T. tauschii var. meyeri 2529 and var. strangulata 2377 and 2452 were dependent on mycorrhizal symbiosis. The spring wheat cultivars Chinese Spring 3008, Spelta 2603, Pavon 76 2980, and Norin 29 3025 and the winter wheat cultivars TAM 200, Wrangler, Saluda, and Karl were not dependent on mycorrhizae, whereas winter wheat cultivars TAM 107 and Century were dependent. When these data are synthesized with previously tested ancestors, landraces, and cultivars, it appears that both dependent and nondependent diploid ancestors with the A, S(B), and D genomes existed, but dependence was lost in tetraploid ancestors. Since no dependence on mycorrhizae has been demonstrated in any AB genome ancestors, the presence of dependence in modern cultivars of the hexaploid ABD genome is probably derived from the D genome. The consistent dependence of wheat cultivars released before 1950 suggests that modern breeding practices have reduced dependence on mycorrhizal symbiosis. The implications of having mycorrhizal colonization in the absence of mycorrhizal dependence (benefit) are discussed.","ISSN":"0008-4026","note":"WOS:A1993LC50400017","journalAbbreviation":"Can. J. Bot.-Rev. Can. Bot.","language":"English","author":[{"family":"Hetrick","given":"Bad"},{"family":"Wilson","given":"Gwt"},{"family":"Cox","given":"Ts"}],"issued":{"date-parts":[["1993",3]]}}},{"id":168,"uris":["http://zotero.org/users/local/d1gJDEOw/items/EEH5AMWP"],"uri":["http://zotero.org/users/local/d1gJDEOw/items/EEH5AMWP"],"itemData":{"id":168,"type":"article-journal","title":"Phosphorus (P) efficiencies and mycorrhizal responsiveness of old and modern wheat cultivars","container-title":"Plant and Soil","page":"249-255","volume":"237","issue":"2","source":"Web of Science","abstract":"A pot experiment was carried out in a growth chamber to investigate P efficiencies and mycorrhizal responsiveness of modern (Krichauff and Excalibur) and old (Khapstein, Bobin, Comeback and Purple Straw) wheat cultivars (Triticum aestivum). The arbuscular mycorrhizal fungus (AMF) used in this study was Glomus intraradices. The growth medium was a soil/sand mixture with NaHCO3-extractable P of 9.4 mg P kg(-1) and no extra P was added. Plant P efficiencies (uptake, utilisation and agronomic) were found to differ significantly between cultivars, but no general trends of changes with the year of release of the cultivar were found. AMF colonisation was found to decrease plant growth under our experimental conditions with low light intensity. Mycorrhizal responsiveness (MR) was measured in terms of the improvement in plant P nutrition (shoot P concentrations). MR was found to be generally lower in modern cultivars than in old cultivars, indicating that modern breeding programs may have reduced the responsiveness of modern wheat cultivars to arbuscular mycorrhizal fungi. MR was also found to decrease in general with increased plant P utilisation efficiency.","DOI":"10.1023/A:1013343811110","ISSN":"0032-079X","note":"WOS:000172862000006","journalAbbreviation":"Plant Soil","language":"English","author":[{"family":"Zhu","given":"Y. G."},{"family":"Smith","given":"S. E."},{"family":"Barritt","given":"A. R."},{"family":"Smith","given":"F. A."}],"issued":{"date-parts":[["2001",12]]}}}],"schema":"https://github.com/citation-style-language/schema/raw/master/csl-citation.json"}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Hetrick</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1993; Zhu </w:t>
      </w:r>
      <w:r w:rsidR="00954B3D" w:rsidRPr="00954B3D">
        <w:rPr>
          <w:rFonts w:cs="Times New Roman"/>
          <w:i/>
          <w:iCs/>
          <w:szCs w:val="24"/>
        </w:rPr>
        <w:t>et al.</w:t>
      </w:r>
      <w:r w:rsidR="00954B3D" w:rsidRPr="00954B3D">
        <w:rPr>
          <w:rFonts w:cs="Times New Roman"/>
          <w:szCs w:val="24"/>
        </w:rPr>
        <w:t>, 2001)</w:t>
      </w:r>
      <w:r>
        <w:fldChar w:fldCharType="end"/>
      </w:r>
      <w:r w:rsidR="00861E0B">
        <w:t>.</w:t>
      </w:r>
    </w:p>
    <w:p w:rsidR="00A57540" w:rsidRPr="00C043EA" w:rsidRDefault="00A57540" w:rsidP="00861E0B">
      <w:r w:rsidRPr="00C043EA">
        <w:t>Interestingly, our results show that in contrast to the lack of effect of rootstock type upon AMF colonisation, scion type has a significant effect with Michelin trees showing an overall 9% higher colonisation t</w:t>
      </w:r>
      <w:r w:rsidR="00EF1152">
        <w:t>han trees with Dabinett scions</w:t>
      </w:r>
      <w:r w:rsidRPr="0020254C">
        <w:t>.</w:t>
      </w:r>
      <w:r w:rsidRPr="00C043EA">
        <w:t xml:space="preserve"> The relative influence of the scion upon AMF in grafted apple trees is not well understood, but recent studies in citrus have demonstrated that the scion genotype may play a greater role than the rootstock in impacting mycorrhizal community structure </w:t>
      </w:r>
      <w:r w:rsidRPr="00C043EA">
        <w:fldChar w:fldCharType="begin"/>
      </w:r>
      <w:r w:rsidR="00954B3D">
        <w:instrText xml:space="preserve"> ADDIN ZOTERO_ITEM CSL_CITATION {"citationID":"iqbjt4b6o","properties":{"formattedCitation":"{\\rtf (Song {\\i{}et al.}, 2015)}","plainCitation":"(Song et al., 2015)"},"citationItems":[{"id":170,"uris":["http://zotero.org/users/local/d1gJDEOw/items/ZKU6FMRD"],"uri":["http://zotero.org/users/local/d1gJDEOw/items/ZKU6FMRD"],"itemData":{"id":170,"type":"article-journal","title":"The Scion/Rootstock Genotypes and Habitats Affect Arbuscular Mycorrhizal Fungal Community in Citrus","container-title":"Frontiers in Microbiology","volume":"6","source":"Web of Science","abstract":"Citrus roots have rare root hairs and thus heavily depend on arbuscular mycorrhizal fungi (AMF) for mineral nutrient uptake. However, the AMF community structure of citrus is largely unknown. By using 454-pyrosequencing of 18S rRNA gene fragment, we investigated the genetic diversity of AMF colonizing citrus roots, and evaluated the impact of habitats and rootstock and scion genotypes on the AMF community structure. Over 7,40,000 effective sequences were obtained from 77 citrus root samples. These sequences were assigned to 75 AMF virtual taxa, of which 66 belong to Glomus, highlighting an absolute dominance of this AMF genus in symbiosis with citrus roots. The citrus AMF community structure is significantly affected by habitats and host genotypes. Interestingly, our data suggests that the genotype of the scion exerts a greater impact on the AMF community structure than that of the rootstock where the physical root-AMF association occurs. This study not only provides a comprehensive assessment for the community composition of the AMF in citrus roots under different conditions, but also sheds novel insights into how the AMF community might be indirectly influenced by the spatially separated yet metabolically connected partner the scion of the grafted citrus tree.","DOI":"10.3389/fmicb.2015.01372","ISSN":"1664-302X","note":"WOS:000366554900001","journalAbbreviation":"Front. Microbiol.","language":"English","author":[{"family":"Song","given":"Fang"},{"family":"Pan","given":"Zhiyong"},{"family":"Bai","given":"Fuxi"},{"family":"An","given":"Jianyong"},{"family":"Liu","given":"Jihong"},{"family":"Guo","given":"Wenwu"},{"family":"Bisseling","given":"Ton"},{"family":"Deng","given":"Xiuxin"},{"family":"Xiao","given":"Shunyuan"}],"issued":{"date-parts":[["2015",12,1]]}}}],"schema":"https://github.com/citation-style-language/schema/raw/master/csl-citation.json"} </w:instrText>
      </w:r>
      <w:r w:rsidRPr="00C043EA">
        <w:fldChar w:fldCharType="separate"/>
      </w:r>
      <w:r w:rsidR="00954B3D" w:rsidRPr="00954B3D">
        <w:rPr>
          <w:rFonts w:cs="Times New Roman"/>
          <w:szCs w:val="24"/>
        </w:rPr>
        <w:t xml:space="preserve">(Song </w:t>
      </w:r>
      <w:r w:rsidR="00954B3D" w:rsidRPr="00954B3D">
        <w:rPr>
          <w:rFonts w:cs="Times New Roman"/>
          <w:i/>
          <w:iCs/>
          <w:szCs w:val="24"/>
        </w:rPr>
        <w:t>et al.</w:t>
      </w:r>
      <w:r w:rsidR="00954B3D" w:rsidRPr="00954B3D">
        <w:rPr>
          <w:rFonts w:cs="Times New Roman"/>
          <w:szCs w:val="24"/>
        </w:rPr>
        <w:t>, 2015)</w:t>
      </w:r>
      <w:r w:rsidRPr="00C043EA">
        <w:fldChar w:fldCharType="end"/>
      </w:r>
      <w:r w:rsidRPr="00C043EA">
        <w:t xml:space="preserve">. In this study it was suggested that primary and secondary metabolites synthesised in the scion would function in selective symbiosis of mycorrhiza when exuded from the trees’ roots into the rhizosphere </w:t>
      </w:r>
      <w:r w:rsidRPr="00C043EA">
        <w:fldChar w:fldCharType="begin"/>
      </w:r>
      <w:r w:rsidR="00954B3D">
        <w:instrText xml:space="preserve"> ADDIN ZOTERO_ITEM CSL_CITATION {"citationID":"cgukjvJE","properties":{"formattedCitation":"{\\rtf (Broeckling {\\i{}et al.}, 2008; Kiers {\\i{}et al.}, 2011)}","plainCitation":"(Broeckling et al., 2008; Kiers et al., 2011)"},"citationItems":[{"id":173,"uris":["http://zotero.org/users/local/d1gJDEOw/items/89ZM9NWD"],"uri":["http://zotero.org/users/local/d1gJDEOw/items/89ZM9NWD"],"itemData":{"id":173,"type":"article-journal","title":"Root Exudates Regulate Soil Fungal Community Composition and Diversity","container-title":"Applied and Environmental Microbiology","page":"738-744","volume":"74","issue":"3","source":"aem.asm.org","abstract":"Plants are in constant contact with a community of soil biota that contains fungi ranging from pathogenic to symbiotic. A few studies have demonstrated a critical role of chemical communication in establishing highly specialized relationships, but the general role for root exudates in structuring the soil fungal community is poorly described. This study demonstrates that two model plant species (Arabidopsis thaliana and Medicago truncatula) are able to maintain resident soil fungal populations but unable to maintain nonresident soil fungal populations. This is mediated largely through root exudates: the effects of adding in vitro-generated root exudates to the soil fungal community were qualitatively and quantitatively similar to the results observed for plants grown in those same soils. This effect is observed for total fungal biomass, phylotype diversity, and overall community similarity to the starting community. Nonresident plants and root exudates influenced the fungal community by both positively and negatively impacting the relative abundance of individual phylotypes. A net increase in fungal biomass was observed when nonresident root exudates were added to resident plant treatments, suggesting that increases in specific carbon substrates and/or signaling compounds support an increased soil fungal population load. This study establishes root exudates as a mechanism through which a plant is able to regulate soil fungal community composition.","DOI":"10.1128/AEM.02188-07","ISSN":"0099-2240, 1098-5336","note":"PMID: 18083870","journalAbbreviation":"Appl. Environ. Microbiol.","language":"en","author":[{"family":"Broeckling","given":"Corey D."},{"family":"Broz","given":"Amanda K."},{"family":"Bergelson","given":"Joy"},{"family":"Manter","given":"Daniel K."},{"family":"Vivanco","given":"Jorge M."}],"issued":{"date-parts":[["2008",1,2]]}}},{"id":177,"uris":["http://zotero.org/users/local/d1gJDEOw/items/N3DHFNGH"],"uri":["http://zotero.org/users/local/d1gJDEOw/items/N3DHFNGH"],"itemData":{"id":177,"type":"article-journal","title":"Reciprocal Rewards Stabilize Cooperation in the Mycorrhizal Symbiosis","container-title":"Science","page":"880-882","volume":"333","issue":"6044","source":"Web of Science","abstract":"Plants and their arbuscular mycorrhizal fungal symbionts interact in complex underground networks involving multiple partners. This increases the potential for exploitation and defection by individuals, raising the question of how partners maintain a fair, two-way transfer of resources. We manipulated cooperation in plants and fungal partners to show that plants can detect, discriminate, and reward the best fungal partners with more carbohydrates. In turn, their fungal partners enforce cooperation by increasing nutrient transfer only to those roots providing more carbohydrates. On the basis of these observations we conclude that, unlike many other mutualisms, the symbiont cannot be \"enslaved.\" Rather, the mutualism is evolutionarily stable because control is bidirectional, and partners offering the best rate of exchange are rewarded.","DOI":"10.1126/science.1208473","ISSN":"0036-8075","note":"WOS:000293785400041","journalAbbreviation":"Science","language":"English","author":[{"family":"Kiers","given":"E. Toby"},{"family":"Duhamel","given":"Marie"},{"family":"Beesetty","given":"Yugandhar"},{"family":"Mensah","given":"Jerry A."},{"family":"Franken","given":"Oscar"},{"family":"Verbruggen","given":"Erik"},{"family":"Fellbaum","given":"Carl R."},{"family":"Kowalchuk","given":"George A."},{"family":"Hart","given":"Miranda M."},{"family":"Bago","given":"Alberto"},{"family":"Palmer","given":"Todd M."},{"family":"West","given":"Stuart A."},{"family":"Vandenkoornhuyse","given":"Philippe"},{"family":"Jansa","given":"Jan"},{"family":"Buecking","given":"Heike"}],"issued":{"date-parts":[["2011",8,12]]}}}],"schema":"https://github.com/citation-style-language/schema/raw/master/csl-citation.json"} </w:instrText>
      </w:r>
      <w:r w:rsidRPr="00C043EA">
        <w:fldChar w:fldCharType="separate"/>
      </w:r>
      <w:r w:rsidR="00954B3D" w:rsidRPr="00954B3D">
        <w:rPr>
          <w:rFonts w:cs="Times New Roman"/>
          <w:szCs w:val="24"/>
        </w:rPr>
        <w:t>(</w:t>
      </w:r>
      <w:proofErr w:type="spellStart"/>
      <w:r w:rsidR="00954B3D" w:rsidRPr="00954B3D">
        <w:rPr>
          <w:rFonts w:cs="Times New Roman"/>
          <w:szCs w:val="24"/>
        </w:rPr>
        <w:t>Broeckling</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2008; Kiers </w:t>
      </w:r>
      <w:r w:rsidR="00954B3D" w:rsidRPr="00954B3D">
        <w:rPr>
          <w:rFonts w:cs="Times New Roman"/>
          <w:i/>
          <w:iCs/>
          <w:szCs w:val="24"/>
        </w:rPr>
        <w:t>et al.</w:t>
      </w:r>
      <w:r w:rsidR="00954B3D" w:rsidRPr="00954B3D">
        <w:rPr>
          <w:rFonts w:cs="Times New Roman"/>
          <w:szCs w:val="24"/>
        </w:rPr>
        <w:t>, 2011)</w:t>
      </w:r>
      <w:r w:rsidRPr="00C043EA">
        <w:fldChar w:fldCharType="end"/>
      </w:r>
      <w:r w:rsidRPr="00C043EA">
        <w:t xml:space="preserve">. This may explain differences in mycorrhizal colonisation we observed despite the fact that trees were inoculated with only two mycorrhizal species; </w:t>
      </w:r>
      <w:r w:rsidRPr="00C043EA">
        <w:rPr>
          <w:i/>
        </w:rPr>
        <w:t xml:space="preserve">F. </w:t>
      </w:r>
      <w:proofErr w:type="spellStart"/>
      <w:r w:rsidRPr="00C043EA">
        <w:rPr>
          <w:i/>
        </w:rPr>
        <w:t>mosseae</w:t>
      </w:r>
      <w:proofErr w:type="spellEnd"/>
      <w:r w:rsidRPr="00C043EA">
        <w:t xml:space="preserve">, and </w:t>
      </w:r>
      <w:r w:rsidRPr="00C043EA">
        <w:rPr>
          <w:i/>
        </w:rPr>
        <w:t xml:space="preserve">R. </w:t>
      </w:r>
      <w:proofErr w:type="spellStart"/>
      <w:r w:rsidRPr="00C043EA">
        <w:rPr>
          <w:i/>
        </w:rPr>
        <w:t>irregularis</w:t>
      </w:r>
      <w:proofErr w:type="spellEnd"/>
      <w:r w:rsidRPr="00C043EA">
        <w:t xml:space="preserve">, therefore limiting the potential for the scion to modify mycorrhizal community structure and thus indirectly effect the tree physiology. </w:t>
      </w:r>
      <w:r>
        <w:t xml:space="preserve">Further research into below ground impact of scion type and signalling mechanisms would help </w:t>
      </w:r>
      <w:r w:rsidRPr="00C043EA">
        <w:t>to elucidate the role of sc</w:t>
      </w:r>
      <w:r>
        <w:t>ion types upon AMF symbiosis.</w:t>
      </w:r>
    </w:p>
    <w:p w:rsidR="00A57540" w:rsidRPr="00C043EA" w:rsidRDefault="00A57540" w:rsidP="00E85633">
      <w:pPr>
        <w:pStyle w:val="Heading2"/>
        <w:rPr>
          <w:rFonts w:cs="Times New Roman"/>
        </w:rPr>
      </w:pPr>
      <w:bookmarkStart w:id="198" w:name="_Toc469855033"/>
      <w:bookmarkStart w:id="199" w:name="_Toc469856033"/>
      <w:bookmarkStart w:id="200" w:name="_Toc469931942"/>
      <w:bookmarkStart w:id="201" w:name="_Toc469982263"/>
      <w:r w:rsidRPr="00E85633">
        <w:t>Conclusion</w:t>
      </w:r>
      <w:bookmarkEnd w:id="198"/>
      <w:bookmarkEnd w:id="199"/>
      <w:bookmarkEnd w:id="200"/>
      <w:bookmarkEnd w:id="201"/>
    </w:p>
    <w:p w:rsidR="00A57540" w:rsidRPr="00E94651" w:rsidRDefault="00A57540" w:rsidP="00A57540">
      <w:pPr>
        <w:rPr>
          <w:rFonts w:cs="Times New Roman"/>
        </w:rPr>
      </w:pPr>
      <w:r w:rsidRPr="00E94651">
        <w:rPr>
          <w:rFonts w:cs="Times New Roman"/>
        </w:rPr>
        <w:t>This study aimed to test the following hypothesis:</w:t>
      </w:r>
    </w:p>
    <w:p w:rsidR="00A57540" w:rsidRPr="00EF1152" w:rsidRDefault="00A57540" w:rsidP="00EF1152">
      <w:pPr>
        <w:pStyle w:val="ListParagraph"/>
        <w:numPr>
          <w:ilvl w:val="0"/>
          <w:numId w:val="18"/>
        </w:numPr>
      </w:pPr>
      <w:r w:rsidRPr="00EF1152">
        <w:t>Mycorrhiza would positively affect tree nutrient status, growth, productivity and resistance to pathogens</w:t>
      </w:r>
      <w:r w:rsidR="00EF1152" w:rsidRPr="00EF1152">
        <w:t>.</w:t>
      </w:r>
    </w:p>
    <w:p w:rsidR="00A57540" w:rsidRPr="00EF1152" w:rsidRDefault="00A57540" w:rsidP="00EF1152">
      <w:pPr>
        <w:pStyle w:val="ListParagraph"/>
        <w:numPr>
          <w:ilvl w:val="0"/>
          <w:numId w:val="18"/>
        </w:numPr>
      </w:pPr>
      <w:r w:rsidRPr="00EF1152">
        <w:lastRenderedPageBreak/>
        <w:t>The impact of mycorrhiza would be greater for trees receiving low fertiliser inputs.</w:t>
      </w:r>
    </w:p>
    <w:p w:rsidR="00A57540" w:rsidRPr="00EF1152" w:rsidRDefault="00A57540" w:rsidP="00EF1152">
      <w:pPr>
        <w:pStyle w:val="ListParagraph"/>
        <w:numPr>
          <w:ilvl w:val="0"/>
          <w:numId w:val="18"/>
        </w:numPr>
      </w:pPr>
      <w:r w:rsidRPr="00EF1152">
        <w:t>Rootstock and scion types would affect the symbiosis of the trees with mycorrhiza.</w:t>
      </w:r>
    </w:p>
    <w:p w:rsidR="00A57540" w:rsidRDefault="00A57540" w:rsidP="00EF1152">
      <w:r>
        <w:t>The results of this study show some support for hypothesis one due to positive effects of AMF inoculation on pathogen resistance however no observed benefits were shown for measures of tree nutrient status, growth or productivity. Hypothesis two was not supported by our data as no interaction was shown between AMF inoculation and nutrient treatment and must therefore be rejected. Hypothesis three was partially supported by the data from this study as we observed significant differences between AMF colonisation of trees with Dabinett and Michelin scions however no effect of rootstock upon AMF symbiosis was reported.</w:t>
      </w:r>
    </w:p>
    <w:p w:rsidR="00E85633" w:rsidRDefault="00A57540" w:rsidP="00E85633">
      <w:pPr>
        <w:rPr>
          <w:rFonts w:cs="Times New Roman"/>
        </w:rPr>
        <w:sectPr w:rsidR="00E85633" w:rsidSect="00A57540">
          <w:pgSz w:w="11906" w:h="16838"/>
          <w:pgMar w:top="1440" w:right="1440" w:bottom="1440" w:left="1440" w:header="709" w:footer="709" w:gutter="0"/>
          <w:cols w:space="708"/>
          <w:docGrid w:linePitch="360"/>
        </w:sectPr>
      </w:pPr>
      <w:r w:rsidRPr="00C043EA">
        <w:rPr>
          <w:rFonts w:cs="Times New Roman"/>
        </w:rPr>
        <w:t xml:space="preserve">Our results clearly show beneficial effect of AMF upon disease resistance against </w:t>
      </w:r>
      <w:proofErr w:type="spellStart"/>
      <w:r w:rsidRPr="00C043EA">
        <w:rPr>
          <w:rFonts w:cs="Times New Roman"/>
          <w:i/>
        </w:rPr>
        <w:t>N.ditissima</w:t>
      </w:r>
      <w:proofErr w:type="spellEnd"/>
      <w:r w:rsidRPr="00C043EA">
        <w:rPr>
          <w:rFonts w:cs="Times New Roman"/>
          <w:i/>
        </w:rPr>
        <w:t xml:space="preserve"> </w:t>
      </w:r>
      <w:r w:rsidRPr="00C043EA">
        <w:rPr>
          <w:rFonts w:cs="Times New Roman"/>
        </w:rPr>
        <w:t xml:space="preserve">and the importance of managing soils to promote AMF populations within orchards. The ability of AMF to reduce pathogen damage may particularly be useful in the control of </w:t>
      </w:r>
      <w:proofErr w:type="spellStart"/>
      <w:r w:rsidRPr="00C043EA">
        <w:rPr>
          <w:rFonts w:cs="Times New Roman"/>
          <w:i/>
        </w:rPr>
        <w:t>N.ditissima</w:t>
      </w:r>
      <w:proofErr w:type="spellEnd"/>
      <w:r w:rsidRPr="00C043EA">
        <w:rPr>
          <w:rFonts w:cs="Times New Roman"/>
        </w:rPr>
        <w:t xml:space="preserve"> in organic orchards where chemical control methods are limited.  O</w:t>
      </w:r>
      <w:r>
        <w:rPr>
          <w:rFonts w:cs="Times New Roman"/>
        </w:rPr>
        <w:t xml:space="preserve">ur results also suggest that </w:t>
      </w:r>
      <w:r w:rsidRPr="00C043EA">
        <w:rPr>
          <w:rFonts w:cs="Times New Roman"/>
        </w:rPr>
        <w:t xml:space="preserve">scion type </w:t>
      </w:r>
      <w:r>
        <w:rPr>
          <w:rFonts w:cs="Times New Roman"/>
        </w:rPr>
        <w:t xml:space="preserve">may </w:t>
      </w:r>
      <w:r w:rsidRPr="00C043EA">
        <w:rPr>
          <w:rFonts w:cs="Times New Roman"/>
        </w:rPr>
        <w:t xml:space="preserve">influence mycorrhizal symbiosis with apple in terms of colonisation and tree performance although currently little is known about the mechanisms underpinning these interactions. Although in our study the benefit of AMF symbiosis to trees was not found to be sensitive to fertiliser application, nutrient application rates should be carefully considered due to their negative effect upon root biomass which may be particularly detrimental to tree health under drought conditions. </w:t>
      </w:r>
    </w:p>
    <w:p w:rsidR="00B46350" w:rsidRDefault="001F13C0" w:rsidP="00EF1152">
      <w:pPr>
        <w:pStyle w:val="Heading1"/>
        <w:tabs>
          <w:tab w:val="left" w:pos="1843"/>
        </w:tabs>
      </w:pPr>
      <w:bookmarkStart w:id="202" w:name="_Toc464758676"/>
      <w:bookmarkStart w:id="203" w:name="_Toc469855034"/>
      <w:bookmarkStart w:id="204" w:name="_Toc469856034"/>
      <w:bookmarkStart w:id="205" w:name="_Toc469931943"/>
      <w:bookmarkStart w:id="206" w:name="_Toc469982264"/>
      <w:r>
        <w:lastRenderedPageBreak/>
        <w:t>The effects of orchard management on AMF communities and comparison with intensive arable farming and semi-natural woodlands</w:t>
      </w:r>
      <w:bookmarkEnd w:id="202"/>
      <w:bookmarkEnd w:id="203"/>
      <w:bookmarkEnd w:id="204"/>
      <w:bookmarkEnd w:id="205"/>
      <w:bookmarkEnd w:id="206"/>
    </w:p>
    <w:p w:rsidR="00B46350" w:rsidRPr="00BC2F77" w:rsidRDefault="00B46350" w:rsidP="00EF1152">
      <w:pPr>
        <w:pStyle w:val="Heading2"/>
      </w:pPr>
      <w:bookmarkStart w:id="207" w:name="_Toc464758677"/>
      <w:bookmarkStart w:id="208" w:name="_Toc469855035"/>
      <w:bookmarkStart w:id="209" w:name="_Toc469856035"/>
      <w:bookmarkStart w:id="210" w:name="_Toc469931944"/>
      <w:bookmarkStart w:id="211" w:name="_Toc469982265"/>
      <w:r w:rsidRPr="00EF1152">
        <w:t>Summary</w:t>
      </w:r>
      <w:bookmarkEnd w:id="207"/>
      <w:bookmarkEnd w:id="208"/>
      <w:bookmarkEnd w:id="209"/>
      <w:bookmarkEnd w:id="210"/>
      <w:bookmarkEnd w:id="211"/>
    </w:p>
    <w:p w:rsidR="00B46350" w:rsidRDefault="00B46350" w:rsidP="005D6985">
      <w:pPr>
        <w:pStyle w:val="ListParagraph"/>
        <w:numPr>
          <w:ilvl w:val="0"/>
          <w:numId w:val="7"/>
        </w:numPr>
        <w:ind w:left="714" w:hanging="357"/>
        <w:rPr>
          <w:rFonts w:cs="Times New Roman"/>
        </w:rPr>
      </w:pPr>
      <w:r w:rsidRPr="00BC2F77">
        <w:rPr>
          <w:rFonts w:cs="Times New Roman"/>
        </w:rPr>
        <w:t xml:space="preserve">Arbuscular mycorrhizal fungi </w:t>
      </w:r>
      <w:r>
        <w:rPr>
          <w:rFonts w:cs="Times New Roman"/>
        </w:rPr>
        <w:t xml:space="preserve">(AMF) </w:t>
      </w:r>
      <w:r w:rsidRPr="00BC2F77">
        <w:rPr>
          <w:rFonts w:cs="Times New Roman"/>
        </w:rPr>
        <w:t xml:space="preserve">are an important component of the soil microbial community and play a vital role in </w:t>
      </w:r>
      <w:r>
        <w:rPr>
          <w:rFonts w:cs="Times New Roman"/>
        </w:rPr>
        <w:t xml:space="preserve">a </w:t>
      </w:r>
      <w:r w:rsidRPr="00BC2F77">
        <w:rPr>
          <w:rFonts w:cs="Times New Roman"/>
        </w:rPr>
        <w:t xml:space="preserve">range of ecosystem functions </w:t>
      </w:r>
      <w:r w:rsidR="00BF07DF">
        <w:rPr>
          <w:rFonts w:cs="Times New Roman"/>
        </w:rPr>
        <w:t xml:space="preserve">that are </w:t>
      </w:r>
      <w:r w:rsidRPr="00BC2F77">
        <w:rPr>
          <w:rFonts w:cs="Times New Roman"/>
        </w:rPr>
        <w:t xml:space="preserve">essential within agro-ecosystems. AMF communities are known to be sensitive to land management practices and understanding these responses is important as changes in AMF community structure and composition may ultimately </w:t>
      </w:r>
      <w:r>
        <w:rPr>
          <w:rFonts w:cs="Times New Roman"/>
        </w:rPr>
        <w:t>a</w:t>
      </w:r>
      <w:r w:rsidRPr="00BC2F77">
        <w:rPr>
          <w:rFonts w:cs="Times New Roman"/>
        </w:rPr>
        <w:t xml:space="preserve">ffect productivity and sustainability of agriculture due to functional differences between </w:t>
      </w:r>
      <w:r>
        <w:rPr>
          <w:rFonts w:cs="Times New Roman"/>
        </w:rPr>
        <w:t>taxa.</w:t>
      </w:r>
    </w:p>
    <w:p w:rsidR="00B46350" w:rsidRDefault="00B46350" w:rsidP="005D6985">
      <w:pPr>
        <w:pStyle w:val="ListParagraph"/>
        <w:numPr>
          <w:ilvl w:val="0"/>
          <w:numId w:val="7"/>
        </w:numPr>
        <w:ind w:left="714" w:hanging="357"/>
        <w:rPr>
          <w:rFonts w:cs="Times New Roman"/>
        </w:rPr>
      </w:pPr>
      <w:r w:rsidRPr="00BC2F77">
        <w:rPr>
          <w:rFonts w:cs="Times New Roman"/>
        </w:rPr>
        <w:t>UK cider apples are grown in three major orchard types</w:t>
      </w:r>
      <w:r w:rsidR="00A54D4A">
        <w:rPr>
          <w:rFonts w:cs="Times New Roman"/>
        </w:rPr>
        <w:t xml:space="preserve"> which differ in their management intensity primarily levels of chemical input</w:t>
      </w:r>
      <w:r>
        <w:rPr>
          <w:rFonts w:cs="Times New Roman"/>
        </w:rPr>
        <w:t>:</w:t>
      </w:r>
      <w:r w:rsidRPr="00BC2F77">
        <w:rPr>
          <w:rFonts w:cs="Times New Roman"/>
        </w:rPr>
        <w:t xml:space="preserve"> conventional bush orchards</w:t>
      </w:r>
      <w:r w:rsidR="00A54D4A">
        <w:rPr>
          <w:rFonts w:cs="Times New Roman"/>
        </w:rPr>
        <w:t xml:space="preserve"> (high intensity)</w:t>
      </w:r>
      <w:r w:rsidRPr="00BC2F77">
        <w:rPr>
          <w:rFonts w:cs="Times New Roman"/>
        </w:rPr>
        <w:t>, conventional standard orchard</w:t>
      </w:r>
      <w:r>
        <w:rPr>
          <w:rFonts w:cs="Times New Roman"/>
        </w:rPr>
        <w:t>s</w:t>
      </w:r>
      <w:r w:rsidR="00A54D4A">
        <w:rPr>
          <w:rFonts w:cs="Times New Roman"/>
        </w:rPr>
        <w:t xml:space="preserve"> (medium intensity)</w:t>
      </w:r>
      <w:r w:rsidRPr="00BC2F77">
        <w:rPr>
          <w:rFonts w:cs="Times New Roman"/>
        </w:rPr>
        <w:t xml:space="preserve"> and organic standard orchards</w:t>
      </w:r>
      <w:r w:rsidR="00A54D4A">
        <w:rPr>
          <w:rFonts w:cs="Times New Roman"/>
        </w:rPr>
        <w:t xml:space="preserve"> (low intensity).  </w:t>
      </w:r>
      <w:r w:rsidRPr="00BC2F77">
        <w:rPr>
          <w:rFonts w:cs="Times New Roman"/>
        </w:rPr>
        <w:t>Although apple is known to host a diverse range of AMF and</w:t>
      </w:r>
      <w:r>
        <w:rPr>
          <w:rFonts w:cs="Times New Roman"/>
        </w:rPr>
        <w:t xml:space="preserve"> may</w:t>
      </w:r>
      <w:r w:rsidRPr="00BC2F77">
        <w:rPr>
          <w:rFonts w:cs="Times New Roman"/>
        </w:rPr>
        <w:t xml:space="preserve"> gain benefit from AMF symbiosis</w:t>
      </w:r>
      <w:r>
        <w:rPr>
          <w:rFonts w:cs="Times New Roman"/>
        </w:rPr>
        <w:t xml:space="preserve"> (see Chapter 2)</w:t>
      </w:r>
      <w:r w:rsidRPr="00BC2F77">
        <w:rPr>
          <w:rFonts w:cs="Times New Roman"/>
        </w:rPr>
        <w:t xml:space="preserve">, little is known about the </w:t>
      </w:r>
      <w:r w:rsidR="00A54D4A">
        <w:rPr>
          <w:rFonts w:cs="Times New Roman"/>
        </w:rPr>
        <w:t xml:space="preserve">how differences in orchard management influence AMF community composition or richness relative to intensive arable agriculture or the original woodland land cover. </w:t>
      </w:r>
    </w:p>
    <w:p w:rsidR="00B46350" w:rsidRPr="00100D8B" w:rsidRDefault="00100D8B" w:rsidP="00100D8B">
      <w:pPr>
        <w:pStyle w:val="ListParagraph"/>
        <w:numPr>
          <w:ilvl w:val="0"/>
          <w:numId w:val="7"/>
        </w:numPr>
        <w:ind w:left="714" w:hanging="357"/>
        <w:rPr>
          <w:rFonts w:cs="Times New Roman"/>
        </w:rPr>
      </w:pPr>
      <w:r>
        <w:rPr>
          <w:rFonts w:cs="Times New Roman"/>
        </w:rPr>
        <w:t xml:space="preserve">Soil samples were collected from 25 groups of sites located across Herefordshire, a major apple growing county of the UK. Within each group of sites, multiple soil samples were obtained from the three major orchard types, an intensively managed arable field and semi natural woodland. </w:t>
      </w:r>
      <w:r w:rsidR="00B46350" w:rsidRPr="00100D8B">
        <w:rPr>
          <w:rFonts w:cs="Times New Roman"/>
        </w:rPr>
        <w:t xml:space="preserve">AMF communities were compared between </w:t>
      </w:r>
      <w:r>
        <w:rPr>
          <w:rFonts w:cs="Times New Roman"/>
        </w:rPr>
        <w:t>orchard, woodland and arable soil samples</w:t>
      </w:r>
      <w:r w:rsidR="00B46350" w:rsidRPr="00100D8B">
        <w:rPr>
          <w:rFonts w:cs="Times New Roman"/>
        </w:rPr>
        <w:t xml:space="preserve"> using a leek bait plant trap culture system and two molecular </w:t>
      </w:r>
      <w:r>
        <w:rPr>
          <w:rFonts w:cs="Times New Roman"/>
        </w:rPr>
        <w:t xml:space="preserve">community fingerprinting </w:t>
      </w:r>
      <w:r w:rsidRPr="00100D8B">
        <w:rPr>
          <w:rFonts w:cs="Times New Roman"/>
        </w:rPr>
        <w:t>techniques</w:t>
      </w:r>
      <w:r w:rsidR="00B46350" w:rsidRPr="00100D8B">
        <w:rPr>
          <w:rFonts w:cs="Times New Roman"/>
        </w:rPr>
        <w:t>: terminal</w:t>
      </w:r>
      <w:r>
        <w:rPr>
          <w:rFonts w:cs="Times New Roman"/>
        </w:rPr>
        <w:t xml:space="preserve"> restriction</w:t>
      </w:r>
      <w:r w:rsidR="00B46350" w:rsidRPr="00100D8B">
        <w:rPr>
          <w:rFonts w:cs="Times New Roman"/>
        </w:rPr>
        <w:t xml:space="preserve"> fragment length polymorphism (TRFLP) and Illumina sequencing.</w:t>
      </w:r>
    </w:p>
    <w:p w:rsidR="00B46350" w:rsidRPr="00BC2F77" w:rsidRDefault="00B46350" w:rsidP="005D6985">
      <w:pPr>
        <w:pStyle w:val="ListParagraph"/>
        <w:numPr>
          <w:ilvl w:val="0"/>
          <w:numId w:val="7"/>
        </w:numPr>
        <w:ind w:left="714" w:hanging="357"/>
        <w:rPr>
          <w:rFonts w:cs="Times New Roman"/>
        </w:rPr>
      </w:pPr>
      <w:r>
        <w:rPr>
          <w:rFonts w:cs="Times New Roman"/>
        </w:rPr>
        <w:t xml:space="preserve">The results show that relative abundance and community composition of </w:t>
      </w:r>
      <w:r w:rsidRPr="00BC2F77">
        <w:rPr>
          <w:rFonts w:cs="Times New Roman"/>
        </w:rPr>
        <w:t xml:space="preserve">AMF </w:t>
      </w:r>
      <w:r>
        <w:rPr>
          <w:rFonts w:cs="Times New Roman"/>
        </w:rPr>
        <w:t>taxa</w:t>
      </w:r>
      <w:r w:rsidRPr="00BC2F77">
        <w:rPr>
          <w:rFonts w:cs="Times New Roman"/>
        </w:rPr>
        <w:t xml:space="preserve"> </w:t>
      </w:r>
      <w:r>
        <w:rPr>
          <w:rFonts w:cs="Times New Roman"/>
        </w:rPr>
        <w:t>were</w:t>
      </w:r>
      <w:r w:rsidRPr="00BC2F77">
        <w:rPr>
          <w:rFonts w:cs="Times New Roman"/>
        </w:rPr>
        <w:t xml:space="preserve"> highly similar within soils of the </w:t>
      </w:r>
      <w:r>
        <w:rPr>
          <w:rFonts w:cs="Times New Roman"/>
        </w:rPr>
        <w:t xml:space="preserve">three apple orchard types and that despite receiving higher application rates of inorganic fertilisers and herbicide, negligible effects upon AMF taxa relative abundance and community composition were found in conventional bush orchard. </w:t>
      </w:r>
      <w:r w:rsidRPr="00BC2F77">
        <w:rPr>
          <w:rFonts w:cs="Times New Roman"/>
        </w:rPr>
        <w:t xml:space="preserve">Furthermore orchard communities showed similar levels of </w:t>
      </w:r>
      <w:r>
        <w:rPr>
          <w:rFonts w:cs="Times New Roman"/>
        </w:rPr>
        <w:t xml:space="preserve">AMF </w:t>
      </w:r>
      <w:r w:rsidRPr="00BC2F77">
        <w:rPr>
          <w:rFonts w:cs="Times New Roman"/>
        </w:rPr>
        <w:t xml:space="preserve">diversity and </w:t>
      </w:r>
      <w:r>
        <w:rPr>
          <w:rFonts w:cs="Times New Roman"/>
        </w:rPr>
        <w:t>similarities</w:t>
      </w:r>
      <w:r w:rsidRPr="00BC2F77">
        <w:rPr>
          <w:rFonts w:cs="Times New Roman"/>
        </w:rPr>
        <w:t xml:space="preserve"> in</w:t>
      </w:r>
      <w:r>
        <w:rPr>
          <w:rFonts w:cs="Times New Roman"/>
        </w:rPr>
        <w:t xml:space="preserve"> taxa relative abundance and community composition with those</w:t>
      </w:r>
      <w:r w:rsidRPr="00BC2F77">
        <w:rPr>
          <w:rFonts w:cs="Times New Roman"/>
        </w:rPr>
        <w:t xml:space="preserve"> of broadleaved </w:t>
      </w:r>
      <w:r>
        <w:rPr>
          <w:rFonts w:cs="Times New Roman"/>
        </w:rPr>
        <w:t xml:space="preserve">woodland soils suggesting that orchards are able to sustain relatively natural AMF communities.  </w:t>
      </w:r>
      <w:r w:rsidRPr="00BC2F77">
        <w:rPr>
          <w:rFonts w:cs="Times New Roman"/>
        </w:rPr>
        <w:t>In contrast arable h</w:t>
      </w:r>
      <w:r>
        <w:rPr>
          <w:rFonts w:cs="Times New Roman"/>
        </w:rPr>
        <w:t>abitats showed reduced richness</w:t>
      </w:r>
      <w:r w:rsidRPr="00BC2F77">
        <w:rPr>
          <w:rFonts w:cs="Times New Roman"/>
        </w:rPr>
        <w:t xml:space="preserve"> of AMF </w:t>
      </w:r>
      <w:r>
        <w:rPr>
          <w:rFonts w:cs="Times New Roman"/>
        </w:rPr>
        <w:t xml:space="preserve">and distinct differences in relative abundance and community composition when </w:t>
      </w:r>
      <w:r w:rsidRPr="00BC2F77">
        <w:rPr>
          <w:rFonts w:cs="Times New Roman"/>
        </w:rPr>
        <w:t>compared to both orchards</w:t>
      </w:r>
      <w:r>
        <w:rPr>
          <w:rFonts w:cs="Times New Roman"/>
        </w:rPr>
        <w:t xml:space="preserve"> and woodland showing</w:t>
      </w:r>
      <w:r w:rsidRPr="00BC2F77">
        <w:rPr>
          <w:rFonts w:cs="Times New Roman"/>
        </w:rPr>
        <w:t xml:space="preserve"> that AMF are limited w</w:t>
      </w:r>
      <w:r>
        <w:rPr>
          <w:rFonts w:cs="Times New Roman"/>
        </w:rPr>
        <w:t xml:space="preserve">ithin intensive arable </w:t>
      </w:r>
      <w:r>
        <w:rPr>
          <w:rFonts w:cs="Times New Roman"/>
        </w:rPr>
        <w:lastRenderedPageBreak/>
        <w:t xml:space="preserve">agricultural systems. </w:t>
      </w:r>
      <w:r w:rsidRPr="00BC2F77">
        <w:rPr>
          <w:rFonts w:cs="Times New Roman"/>
        </w:rPr>
        <w:t xml:space="preserve"> </w:t>
      </w:r>
      <w:r>
        <w:rPr>
          <w:rFonts w:cs="Times New Roman"/>
        </w:rPr>
        <w:t xml:space="preserve">Interestingly a varied response of AMF types within the genera </w:t>
      </w:r>
      <w:r w:rsidRPr="00206D0A">
        <w:rPr>
          <w:rFonts w:cs="Times New Roman"/>
          <w:i/>
        </w:rPr>
        <w:t>Glomus</w:t>
      </w:r>
      <w:r>
        <w:rPr>
          <w:rFonts w:cs="Times New Roman"/>
        </w:rPr>
        <w:t xml:space="preserve"> to land management intensity was found with some AMF types far more abundant in arable than orchards and woodlands and vice versa.</w:t>
      </w:r>
    </w:p>
    <w:p w:rsidR="00B46350" w:rsidRDefault="00B46350" w:rsidP="005D6985">
      <w:pPr>
        <w:pStyle w:val="ListParagraph"/>
        <w:numPr>
          <w:ilvl w:val="0"/>
          <w:numId w:val="7"/>
        </w:numPr>
        <w:ind w:left="714" w:hanging="357"/>
        <w:rPr>
          <w:rFonts w:cs="Times New Roman"/>
        </w:rPr>
      </w:pPr>
      <w:r>
        <w:rPr>
          <w:rFonts w:cs="Times New Roman"/>
        </w:rPr>
        <w:t xml:space="preserve">This study is amongst the first to use Illumina sequencing technology to study AMF communities. Overall </w:t>
      </w:r>
      <w:r w:rsidR="00BF07DF">
        <w:rPr>
          <w:rFonts w:cs="Times New Roman"/>
        </w:rPr>
        <w:t xml:space="preserve">it </w:t>
      </w:r>
      <w:r>
        <w:rPr>
          <w:rFonts w:cs="Times New Roman"/>
        </w:rPr>
        <w:t xml:space="preserve">provides the first large-scale characterisation of AMF communities within commercial cider apple orchards in the UK and shows that irrespective of management type orchards are able to host relatively high levels of AMF richness which are comparable to those of native woodland. </w:t>
      </w:r>
    </w:p>
    <w:p w:rsidR="00B46350" w:rsidRDefault="00B46350" w:rsidP="00B46350">
      <w:pPr>
        <w:pStyle w:val="Heading2"/>
      </w:pPr>
      <w:bookmarkStart w:id="212" w:name="_Toc464758678"/>
      <w:bookmarkStart w:id="213" w:name="_Toc469855036"/>
      <w:bookmarkStart w:id="214" w:name="_Toc469856036"/>
      <w:bookmarkStart w:id="215" w:name="_Toc469931945"/>
      <w:bookmarkStart w:id="216" w:name="_Toc469982266"/>
      <w:r w:rsidRPr="007A1FCF">
        <w:t>Introduction</w:t>
      </w:r>
      <w:bookmarkEnd w:id="212"/>
      <w:bookmarkEnd w:id="213"/>
      <w:bookmarkEnd w:id="214"/>
      <w:bookmarkEnd w:id="215"/>
      <w:bookmarkEnd w:id="216"/>
    </w:p>
    <w:p w:rsidR="00B46350" w:rsidRDefault="00B46350" w:rsidP="00861E0B">
      <w:r>
        <w:t xml:space="preserve">Soil microbial communities underpin soil health, provide vital ecosystem functions and are fundamental to the productivity of all agricultural systems </w:t>
      </w:r>
      <w:r>
        <w:fldChar w:fldCharType="begin"/>
      </w:r>
      <w:r w:rsidR="00954B3D">
        <w:instrText xml:space="preserve"> ADDIN ZOTERO_ITEM CSL_CITATION {"citationID":"d1F99sTL","properties":{"formattedCitation":"{\\rtf (Barrios, 2007; van der Heijden {\\i{}et al.}, 2008)}","plainCitation":"(Barrios, 2007; van der Heijden et al., 2008)"},"citationItems":[{"id":380,"uris":["http://zotero.org/users/local/d1gJDEOw/items/IR3GVKPM"],"uri":["http://zotero.org/users/local/d1gJDEOw/items/IR3GVKPM"],"itemData":{"id":380,"type":"article-journal","title":"Soil biota, ecosystem services and land productivity","container-title":"Ecological Economics","collection-title":"Special Section - Ecosystem Services and AgricultureEcosystem Services and Agriculture","page":"269-285","volume":"64","issue":"2","source":"ScienceDirect","abstract":"The soil environment is likely the most complex biological community. Soil organisms are extremely diverse and contribute to a wide range of ecosystem services that are essential to the sustainable function of natural and managed ecosystems. The soil organism community can have direct and indirect impacts on land productivity. Direct impacts are those where specific organisms affect crop yield immediately. Indirect effects include those provided by soil organisms participating in carbon and nutrient cycles, soil structure modification and food web interactions that generate ecosystem services that ultimately affect productivity. Recognizing the great biological and functional diversity in the soil and the complexity of ecological interactions it becomes necessary to focus in this paper on soil biota that have a strong linkage to functions which underpin ‘soil based’ ecosystem services. Selected organisms from different functional groups (i.e. microsymbionts, decomposers, elemental transformers, soil ecosystem engineers, soil-borne pest and diseases, and microregulators) are used to illustrate the linkages of soil biota and ecosystem services essential to life on earth as well as with those associated with the provision of goods and the regulation of ecosystem processes. These services are not only essential to ecosystem function but also a critical resource for the sustainable management of agricultural ecosystems. Research opportunities and gaps related to methodological, experimental and conceptual approaches that may be helpful to address the challenge of linking soil biodiversity and function to the provision of ecosystem services and land productivity are discussed. These include: 1) integration of spatial variability research in soil ecology and a focus on ‘hot spots’ of biological activity, 2) using a selective functional group approach to study soil biota and function, 3) combining new and existing methodological approaches that link selected soil organisms, the temporal and spatial dynamics of their function, and their contribution to the provision of selected ‘soil based' ecosystem services, 4) using understanding about hierarchical relationships to manage soil biota and function in cropping systems, 5) using local knowledge about plants as indicators of soil quality, remote sensing and GIS technologies, and plant-soil biota interactions to help understand the impacts of soil biota at landscape scale, and 6) developing land quality monitoring systems that inform land users about their land's ecosystem service performance, improve capacities to predict and adapt to environmental changes, and support policy and decision-making.","DOI":"10.1016/j.ecolecon.2007.03.004","ISSN":"0921-8009","journalAbbreviation":"Ecological Economics","author":[{"family":"Barrios","given":"Edmundo"}],"issued":{"date-parts":[["2007",12,15]]}}},{"id":403,"uris":["http://zotero.org/users/local/d1gJDEOw/items/EZR8WUV8"],"uri":["http://zotero.org/users/local/d1gJDEOw/items/EZR8WUV8"],"itemData":{"id":403,"type":"article-journal","title":"The unseen majority: soil microbes as drivers of plant diversity and productivity in terrestrial ecosystems","container-title":"Ecology Letters","page":"296-310","volume":"11","issue":"3","source":"Wiley Online Library","abstract":"Microbes are the unseen majority in soil and comprise a large portion of life’s genetic diversity. Despite their abundance, the impact of soil microbes on ecosystem processes is still poorly understood. Here we explore the various roles that soil microbes play in terrestrial ecosystems with special emphasis on their contribution to plant productivity and diversity. Soil microbes are important regulators of plant productivity, especially in nutrient poor ecosystems where plant symbionts are responsible for the acquisition of limiting nutrients. Mycorrhizal fungi and nitrogen-fixing bacteria are responsible for c. 5–20% (grassland and savannah) to 80% (temperate and boreal forests) of all nitrogen, and up to 75% of phosphorus, that is acquired by plants annually. Free-living microbes also strongly regulate plant productivity, through the mineralization of, and competition for, nutrients that sustain plant productivity. Soil microbes, including microbial pathogens, are also important regulators of plant community dynamics and plant diversity, determining plant abundance and, in some cases, facilitating invasion by exotic plants. Conservative estimates suggest that c. 20 000 plant species are completely dependent on microbial symbionts for growth and survival pointing to the importance of soil microbes as regulators of plant species richness on Earth. Overall, this review shows that soil microbes must be considered as important drivers of plant diversity and productivity in terrestrial ecosystems.","DOI":"10.1111/j.1461-0248.2007.01139.x","ISSN":"1461-0248","shortTitle":"The unseen majority","language":"en","author":[{"family":"Heijden","given":"Marcel G. A.","non-dropping-particle":"van der"},{"family":"Bardgett","given":"Richard D."},{"family":"Van Straalen","given":"Nico M."}],"issued":{"date-parts":[["2008",3,1]]}}}],"schema":"https://github.com/citation-style-language/schema/raw/master/csl-citation.json"} </w:instrText>
      </w:r>
      <w:r>
        <w:fldChar w:fldCharType="separate"/>
      </w:r>
      <w:r w:rsidR="00954B3D" w:rsidRPr="00954B3D">
        <w:rPr>
          <w:rFonts w:cs="Times New Roman"/>
          <w:szCs w:val="24"/>
        </w:rPr>
        <w:t xml:space="preserve">(Barrios, 2007; van der </w:t>
      </w:r>
      <w:proofErr w:type="spellStart"/>
      <w:r w:rsidR="00954B3D" w:rsidRPr="00954B3D">
        <w:rPr>
          <w:rFonts w:cs="Times New Roman"/>
          <w:szCs w:val="24"/>
        </w:rPr>
        <w:t>Heijden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2008)</w:t>
      </w:r>
      <w:r>
        <w:fldChar w:fldCharType="end"/>
      </w:r>
      <w:r w:rsidRPr="009E6E4B">
        <w:t xml:space="preserve"> </w:t>
      </w:r>
      <w:r>
        <w:t xml:space="preserve">yet </w:t>
      </w:r>
      <w:r w:rsidRPr="0020555D">
        <w:t xml:space="preserve">studies of responses to land-use change have largely overlooked belowground effects </w:t>
      </w:r>
      <w:r w:rsidRPr="0020555D">
        <w:fldChar w:fldCharType="begin"/>
      </w:r>
      <w:r w:rsidR="00954B3D">
        <w:instrText xml:space="preserve"> ADDIN ZOTERO_ITEM CSL_CITATION {"citationID":"1vbq35j99j","properties":{"formattedCitation":"(Bardgett &amp; van der Putten, 2014)","plainCitation":"(Bardgett &amp; van der Putten, 2014)"},"citationItems":[{"id":379,"uris":["http://zotero.org/users/local/d1gJDEOw/items/EZQSRTTE"],"uri":["http://zotero.org/users/local/d1gJDEOw/items/EZQSRTTE"],"itemData":{"id":379,"type":"article-journal","title":"Belowground biodiversity and ecosystem functioning","container-title":"Nature","page":"505-511","volume":"515","issue":"7528","source":"CrossRef","DOI":"10.1038/nature13855","ISSN":"0028-0836, 1476-4687","author":[{"family":"Bardgett","given":"Richard D."},{"family":"Putten","given":"Wim H.","non-dropping-particle":"van der"}],"issued":{"date-parts":[["2014",11,26]]}}}],"schema":"https://github.com/citation-style-language/schema/raw/master/csl-citation.json"} </w:instrText>
      </w:r>
      <w:r w:rsidRPr="0020555D">
        <w:fldChar w:fldCharType="separate"/>
      </w:r>
      <w:r w:rsidR="00954B3D" w:rsidRPr="00954B3D">
        <w:rPr>
          <w:rFonts w:cs="Times New Roman"/>
        </w:rPr>
        <w:t>(</w:t>
      </w:r>
      <w:proofErr w:type="spellStart"/>
      <w:r w:rsidR="00954B3D" w:rsidRPr="00954B3D">
        <w:rPr>
          <w:rFonts w:cs="Times New Roman"/>
        </w:rPr>
        <w:t>Bardgett</w:t>
      </w:r>
      <w:proofErr w:type="spellEnd"/>
      <w:r w:rsidR="00954B3D" w:rsidRPr="00954B3D">
        <w:rPr>
          <w:rFonts w:cs="Times New Roman"/>
        </w:rPr>
        <w:t xml:space="preserve"> &amp; van der </w:t>
      </w:r>
      <w:proofErr w:type="spellStart"/>
      <w:r w:rsidR="00954B3D" w:rsidRPr="00954B3D">
        <w:rPr>
          <w:rFonts w:cs="Times New Roman"/>
        </w:rPr>
        <w:t>Putten</w:t>
      </w:r>
      <w:proofErr w:type="spellEnd"/>
      <w:r w:rsidR="00954B3D" w:rsidRPr="00954B3D">
        <w:rPr>
          <w:rFonts w:cs="Times New Roman"/>
        </w:rPr>
        <w:t>, 2014)</w:t>
      </w:r>
      <w:r w:rsidRPr="0020555D">
        <w:fldChar w:fldCharType="end"/>
      </w:r>
      <w:r>
        <w:t xml:space="preserve">. Understanding soil microbial community responses to land management is of critical importance as reductions in biodiversity and changes in community structure may be detrimental to agro-ecosystem sustainability and food security </w:t>
      </w:r>
      <w:r w:rsidRPr="00BC2F77">
        <w:t xml:space="preserve">due to functional differences between </w:t>
      </w:r>
      <w:r>
        <w:t xml:space="preserve">taxa and the services they provide </w:t>
      </w:r>
      <w:r>
        <w:fldChar w:fldCharType="begin"/>
      </w:r>
      <w:r w:rsidR="00954B3D">
        <w:instrText xml:space="preserve"> ADDIN ZOTERO_ITEM CSL_CITATION {"citationID":"17csrbdq8k","properties":{"formattedCitation":"{\\rtf (van der Heijden {\\i{}et al.}, 2008)}","plainCitation":"(van der Heijden et al., 2008)"},"citationItems":[{"id":403,"uris":["http://zotero.org/users/local/d1gJDEOw/items/EZR8WUV8"],"uri":["http://zotero.org/users/local/d1gJDEOw/items/EZR8WUV8"],"itemData":{"id":403,"type":"article-journal","title":"The unseen majority: soil microbes as drivers of plant diversity and productivity in terrestrial ecosystems","container-title":"Ecology Letters","page":"296-310","volume":"11","issue":"3","source":"Wiley Online Library","abstract":"Microbes are the unseen majority in soil and comprise a large portion of life’s genetic diversity. Despite their abundance, the impact of soil microbes on ecosystem processes is still poorly understood. Here we explore the various roles that soil microbes play in terrestrial ecosystems with special emphasis on their contribution to plant productivity and diversity. Soil microbes are important regulators of plant productivity, especially in nutrient poor ecosystems where plant symbionts are responsible for the acquisition of limiting nutrients. Mycorrhizal fungi and nitrogen-fixing bacteria are responsible for c. 5–20% (grassland and savannah) to 80% (temperate and boreal forests) of all nitrogen, and up to 75% of phosphorus, that is acquired by plants annually. Free-living microbes also strongly regulate plant productivity, through the mineralization of, and competition for, nutrients that sustain plant productivity. Soil microbes, including microbial pathogens, are also important regulators of plant community dynamics and plant diversity, determining plant abundance and, in some cases, facilitating invasion by exotic plants. Conservative estimates suggest that c. 20 000 plant species are completely dependent on microbial symbionts for growth and survival pointing to the importance of soil microbes as regulators of plant species richness on Earth. Overall, this review shows that soil microbes must be considered as important drivers of plant diversity and productivity in terrestrial ecosystems.","DOI":"10.1111/j.1461-0248.2007.01139.x","ISSN":"1461-0248","shortTitle":"The unseen majority","language":"en","author":[{"family":"Heijden","given":"Marcel G. A.","non-dropping-particle":"van der"},{"family":"Bardgett","given":"Richard D."},{"family":"Van Straalen","given":"Nico M."}],"issued":{"date-parts":[["2008",3,1]]}}}],"schema":"https://github.com/citation-style-language/schema/raw/master/csl-citation.json"} </w:instrText>
      </w:r>
      <w:r>
        <w:fldChar w:fldCharType="separate"/>
      </w:r>
      <w:r w:rsidR="00954B3D" w:rsidRPr="00954B3D">
        <w:rPr>
          <w:rFonts w:cs="Times New Roman"/>
          <w:szCs w:val="24"/>
        </w:rPr>
        <w:t xml:space="preserve">(van der </w:t>
      </w:r>
      <w:proofErr w:type="spellStart"/>
      <w:r w:rsidR="00954B3D" w:rsidRPr="00954B3D">
        <w:rPr>
          <w:rFonts w:cs="Times New Roman"/>
          <w:szCs w:val="24"/>
        </w:rPr>
        <w:t>Heijden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2008)</w:t>
      </w:r>
      <w:r>
        <w:fldChar w:fldCharType="end"/>
      </w:r>
      <w:r w:rsidR="00861E0B">
        <w:t xml:space="preserve">. </w:t>
      </w:r>
    </w:p>
    <w:p w:rsidR="00B46350" w:rsidRDefault="00B46350" w:rsidP="00861E0B">
      <w:r>
        <w:t xml:space="preserve">Arbuscular mycorrhizal fungi (AMF) are one group of soil organisms known to have a vital role in the functioning of agroecosystems </w:t>
      </w:r>
      <w:r>
        <w:fldChar w:fldCharType="begin"/>
      </w:r>
      <w:r w:rsidR="00954B3D">
        <w:instrText xml:space="preserve"> ADDIN ZOTERO_ITEM CSL_CITATION {"citationID":"756o8m2k8","properties":{"formattedCitation":"{\\rtf (Gianinazzi {\\i{}et al.}, 2010)}","plainCitation":"(Gianinazzi et al., 2010)"},"citationItems":[{"id":371,"uris":["http://zotero.org/users/local/d1gJDEOw/items/MT9P9XKX"],"uri":["http://zotero.org/users/local/d1gJDEOw/items/MT9P9XKX"],"itemData":{"id":371,"type":"article-journal","title":"Agroecology: the key role of arbuscular mycorrhizas in ecosystem services","container-title":"Mycorrhiza","page":"519-530","volume":"20","issue":"8","source":"CrossRef","DOI":"10.1007/s00572-010-0333-3","ISSN":"0940-6360, 1432-1890","shortTitle":"Agroecology","language":"en","author":[{"family":"Gianinazzi","given":"Silvio"},{"family":"Gollotte","given":"Armelle"},{"family":"Binet","given":"Marie-Noëlle"},{"family":"Tuinen","given":"Diederik","non-dropping-particle":"van"},{"family":"Redecker","given":"Dirk"},{"family":"Wipf","given":"Daniel"}],"issued":{"date-parts":[["2010",11]]}}}],"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Gianinazzi</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2010)</w:t>
      </w:r>
      <w:r>
        <w:fldChar w:fldCharType="end"/>
      </w:r>
      <w:r>
        <w:t>. Arbuscular mycorrhizal fungi belong to the phylum Glomeromycota</w:t>
      </w:r>
      <w:r w:rsidRPr="004125A6">
        <w:t xml:space="preserve">, </w:t>
      </w:r>
      <w:r>
        <w:t xml:space="preserve">forming </w:t>
      </w:r>
      <w:r w:rsidRPr="004125A6">
        <w:t>symbios</w:t>
      </w:r>
      <w:r>
        <w:t>e</w:t>
      </w:r>
      <w:r w:rsidRPr="004125A6">
        <w:t xml:space="preserve">s with over 80% </w:t>
      </w:r>
      <w:r>
        <w:t xml:space="preserve">of </w:t>
      </w:r>
      <w:r w:rsidRPr="004125A6">
        <w:t>land plants incl</w:t>
      </w:r>
      <w:r>
        <w:t xml:space="preserve">uding majority of crop plants </w:t>
      </w:r>
      <w:r>
        <w:fldChar w:fldCharType="begin"/>
      </w:r>
      <w:r w:rsidR="006B3935">
        <w:instrText xml:space="preserve"> ADDIN ZOTERO_ITEM CSL_CITATION {"citationID":"svirk446h","properties":{"formattedCitation":"(Smith &amp; Read, 2008)","plainCitation":"(Smith &amp; Read, 2008)"},"citationItems":[{"id":366,"uris":["http://zotero.org/users/local/d1gJDEOw/items/QCZ7TGSK"],"uri":["http://zotero.org/users/local/d1gJDEOw/items/QCZ7TGSK"],"itemData":{"id":366,"type":"book","title":"Mycorrhizal Symbiosis","publisher":"Academic Press","publisher-place":"London","source":"ScienceDirect","event-place":"London","URL":"http://www.sciencedirect.com/science/article/pii/B9780123705266500027","ISBN":"978-0-12-370526-6","author":[{"family":"Smith","given":"Sally E."},{"family":"Read","given":"David"}],"issued":{"date-parts":[["2008"]]},"accessed":{"date-parts":[["2016",9,27]]}}}],"schema":"https://github.com/citation-style-language/schema/raw/master/csl-citation.json"} </w:instrText>
      </w:r>
      <w:r>
        <w:fldChar w:fldCharType="separate"/>
      </w:r>
      <w:r w:rsidR="006B3935" w:rsidRPr="006B3935">
        <w:rPr>
          <w:rFonts w:cs="Times New Roman"/>
        </w:rPr>
        <w:t>(Smith &amp; Read, 2008)</w:t>
      </w:r>
      <w:r>
        <w:fldChar w:fldCharType="end"/>
      </w:r>
      <w:r>
        <w:t>. AMF s</w:t>
      </w:r>
      <w:r w:rsidRPr="004125A6">
        <w:t xml:space="preserve">ymbiosis </w:t>
      </w:r>
      <w:r>
        <w:t xml:space="preserve">is </w:t>
      </w:r>
      <w:r w:rsidRPr="004125A6">
        <w:t xml:space="preserve">characterised by </w:t>
      </w:r>
      <w:r>
        <w:t xml:space="preserve">the </w:t>
      </w:r>
      <w:r w:rsidRPr="004125A6">
        <w:t>exchange of carbon from host plant</w:t>
      </w:r>
      <w:r>
        <w:t>s</w:t>
      </w:r>
      <w:r w:rsidRPr="004125A6">
        <w:t xml:space="preserve"> for nutrients captured from the soil by the fungi </w:t>
      </w:r>
      <w:r w:rsidRPr="004125A6">
        <w:fldChar w:fldCharType="begin"/>
      </w:r>
      <w:r w:rsidR="006B3935">
        <w:instrText xml:space="preserve"> ADDIN ZOTERO_ITEM CSL_CITATION {"citationID":"23ok8c330l","properties":{"formattedCitation":"(Smith &amp; Read, 2008)","plainCitation":"(Smith &amp; Read, 2008)"},"citationItems":[{"id":366,"uris":["http://zotero.org/users/local/d1gJDEOw/items/QCZ7TGSK"],"uri":["http://zotero.org/users/local/d1gJDEOw/items/QCZ7TGSK"],"itemData":{"id":366,"type":"book","title":"Mycorrhizal Symbiosis","publisher":"Academic Press","publisher-place":"London","source":"ScienceDirect","event-place":"London","URL":"http://www.sciencedirect.com/science/article/pii/B9780123705266500027","ISBN":"978-0-12-370526-6","author":[{"family":"Smith","given":"Sally E."},{"family":"Read","given":"David"}],"issued":{"date-parts":[["2008"]]},"accessed":{"date-parts":[["2016",9,27]]}}}],"schema":"https://github.com/citation-style-language/schema/raw/master/csl-citation.json"} </w:instrText>
      </w:r>
      <w:r w:rsidRPr="004125A6">
        <w:fldChar w:fldCharType="separate"/>
      </w:r>
      <w:r w:rsidR="006B3935" w:rsidRPr="006B3935">
        <w:rPr>
          <w:rFonts w:cs="Times New Roman"/>
        </w:rPr>
        <w:t>(Smith &amp; Read, 2008)</w:t>
      </w:r>
      <w:r w:rsidRPr="004125A6">
        <w:fldChar w:fldCharType="end"/>
      </w:r>
      <w:r w:rsidRPr="004125A6">
        <w:t xml:space="preserve">. </w:t>
      </w:r>
      <w:r>
        <w:t xml:space="preserve"> AMF can affect plants through improved nutrition most notably that of improved phosphorus</w:t>
      </w:r>
      <w:r w:rsidRPr="004125A6">
        <w:t xml:space="preserve"> sup</w:t>
      </w:r>
      <w:r>
        <w:t xml:space="preserve">ply </w:t>
      </w:r>
      <w:r>
        <w:fldChar w:fldCharType="begin"/>
      </w:r>
      <w:r w:rsidR="00FB6511">
        <w:instrText xml:space="preserve"> ADDIN ZOTERO_ITEM CSL_CITATION {"citationID":"ls63g31sq","properties":{"formattedCitation":"(Smith &amp; Smith, 2011a)","plainCitation":"(Smith &amp; Smith, 2011a)"},"citationItems":[{"id":178,"uris":["http://zotero.org/users/local/d1gJDEOw/items/9VG7ZU42"],"uri":["http://zotero.org/users/local/d1gJDEOw/items/9VG7ZU42"],"itemData":{"id":178,"type":"chapter","title":"Roles of Arbuscular Mycorrhizas in Plant Nutrition and Growth: New Paradigms from Cellular to Ecosystem Scales","container-title":"Annual Review of Plant Biology, Vol 62","publisher":"Annual Reviews","publisher-place":"Palo Alto","page":"227-250","volume":"62","source":"Web of Science","event-place":"Palo Alto","abstract":"Root systems of most land plants form arbuscular mycorrhizal (AM) symbioses in the field, and these contribute to nutrient uptake. AM roots have two pathways for nutrient absorption, directly through the root: epidermis and root hairs and via AM fungal hyphae into root cortical cells, where arbuscules or hyphal coils provide symbiotic interfaces. New physiological and molecular evidence shows that for phosphorus the mycorrhizal pathway (MP) is operational regardless of plant growth responses (positive or negative). Amounts delivered cannot be determined from plant nutrient contents because when responses are negative the contribution of the direct pathway (DP) is reduced. Nitrogen (N) is also delivered to roots via an MP, but the contribution to total N requirement and the costs to the plant are not clear. The functional interplay between activities of the DP and MP has important implications for consideration of AM symbioses in ecological, agronomic, and evolutionary contexts.","ISBN":"978-0-8243-0662-5","note":"WOS:000292009300010","shortTitle":"Roles of Arbuscular Mycorrhizas in Plant Nutrition and Growth","language":"English","author":[{"family":"Smith","given":"Sally E."},{"family":"Smith","given":"F. Andrew"}],"editor":[{"family":"Merchant","given":"S. S."},{"family":"Briggs","given":"W. R."},{"family":"Ort","given":"D."}],"issued":{"date-parts":[["2011"]]}}}],"schema":"https://github.com/citation-style-language/schema/raw/master/csl-citation.json"} </w:instrText>
      </w:r>
      <w:r>
        <w:fldChar w:fldCharType="separate"/>
      </w:r>
      <w:r w:rsidR="00FB6511" w:rsidRPr="00FB6511">
        <w:rPr>
          <w:rFonts w:cs="Times New Roman"/>
        </w:rPr>
        <w:t>(Smith &amp; Smith, 2011a)</w:t>
      </w:r>
      <w:r>
        <w:fldChar w:fldCharType="end"/>
      </w:r>
      <w:r>
        <w:t xml:space="preserve">, can enhance </w:t>
      </w:r>
      <w:r w:rsidRPr="004125A6">
        <w:t>plant</w:t>
      </w:r>
      <w:r>
        <w:t xml:space="preserve"> productivity and diversity </w:t>
      </w:r>
      <w:r>
        <w:fldChar w:fldCharType="begin"/>
      </w:r>
      <w:r w:rsidR="00954B3D">
        <w:instrText xml:space="preserve"> ADDIN ZOTERO_ITEM CSL_CITATION {"citationID":"1bqke1n2h5","properties":{"formattedCitation":"{\\rtf (van der Heijden {\\i{}et al.}, 2008)}","plainCitation":"(van der Heijden et al., 2008)"},"citationItems":[{"id":403,"uris":["http://zotero.org/users/local/d1gJDEOw/items/EZR8WUV8"],"uri":["http://zotero.org/users/local/d1gJDEOw/items/EZR8WUV8"],"itemData":{"id":403,"type":"article-journal","title":"The unseen majority: soil microbes as drivers of plant diversity and productivity in terrestrial ecosystems","container-title":"Ecology Letters","page":"296-310","volume":"11","issue":"3","source":"Wiley Online Library","abstract":"Microbes are the unseen majority in soil and comprise a large portion of life’s genetic diversity. Despite their abundance, the impact of soil microbes on ecosystem processes is still poorly understood. Here we explore the various roles that soil microbes play in terrestrial ecosystems with special emphasis on their contribution to plant productivity and diversity. Soil microbes are important regulators of plant productivity, especially in nutrient poor ecosystems where plant symbionts are responsible for the acquisition of limiting nutrients. Mycorrhizal fungi and nitrogen-fixing bacteria are responsible for c. 5–20% (grassland and savannah) to 80% (temperate and boreal forests) of all nitrogen, and up to 75% of phosphorus, that is acquired by plants annually. Free-living microbes also strongly regulate plant productivity, through the mineralization of, and competition for, nutrients that sustain plant productivity. Soil microbes, including microbial pathogens, are also important regulators of plant community dynamics and plant diversity, determining plant abundance and, in some cases, facilitating invasion by exotic plants. Conservative estimates suggest that c. 20 000 plant species are completely dependent on microbial symbionts for growth and survival pointing to the importance of soil microbes as regulators of plant species richness on Earth. Overall, this review shows that soil microbes must be considered as important drivers of plant diversity and productivity in terrestrial ecosystems.","DOI":"10.1111/j.1461-0248.2007.01139.x","ISSN":"1461-0248","shortTitle":"The unseen majority","language":"en","author":[{"family":"Heijden","given":"Marcel G. A.","non-dropping-particle":"van der"},{"family":"Bardgett","given":"Richard D."},{"family":"Van Straalen","given":"Nico M."}],"issued":{"date-parts":[["2008",3,1]]}}}],"schema":"https://github.com/citation-style-language/schema/raw/master/csl-citation.json"} </w:instrText>
      </w:r>
      <w:r>
        <w:fldChar w:fldCharType="separate"/>
      </w:r>
      <w:r w:rsidR="00954B3D" w:rsidRPr="00954B3D">
        <w:rPr>
          <w:rFonts w:cs="Times New Roman"/>
          <w:szCs w:val="24"/>
        </w:rPr>
        <w:t xml:space="preserve">(van der </w:t>
      </w:r>
      <w:proofErr w:type="spellStart"/>
      <w:r w:rsidR="00954B3D" w:rsidRPr="00954B3D">
        <w:rPr>
          <w:rFonts w:cs="Times New Roman"/>
          <w:szCs w:val="24"/>
        </w:rPr>
        <w:t>Heijden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2008)</w:t>
      </w:r>
      <w:r>
        <w:fldChar w:fldCharType="end"/>
      </w:r>
      <w:r>
        <w:t xml:space="preserve">, alter </w:t>
      </w:r>
      <w:r w:rsidRPr="004125A6">
        <w:t>competitive interactions</w:t>
      </w:r>
      <w:r>
        <w:t xml:space="preserve"> </w:t>
      </w:r>
      <w:r>
        <w:fldChar w:fldCharType="begin"/>
      </w:r>
      <w:r w:rsidR="00954B3D">
        <w:instrText xml:space="preserve"> ADDIN ZOTERO_ITEM CSL_CITATION {"citationID":"1vlq4lflba","properties":{"formattedCitation":"(Cameron, 2010)","plainCitation":"(Cameron, 2010)"},"citationItems":[{"id":149,"uris":["http://zotero.org/users/local/d1gJDEOw/items/G385TKN4"],"uri":["http://zotero.org/users/local/d1gJDEOw/items/G385TKN4"],"itemData":{"id":149,"type":"article-journal","title":"Arbuscular mycorrhizal fungi as (agro)ecosystem engineers","container-title":"Plant and Soil","page":"1-5","volume":"333","issue":"1","abstract":"Symbiotic interactions have been shown to facilitate shifts in the structure and function of host plant communities. For example, parasitic plants can induce changes in plant diversity through the suppression of competitive community dominants. Arbuscular mycorrhizal (AM) fungi have also be shown to induce shifts in host communities by increasing host plant nutrient uptake and growth while suppressing non-mycorrhizal species. AM fungi can therefore function as ecosystem engineers facilitating shifts in host plant communities though the presumed physiological suppression of non-contributing or non-mycorrhizal plant species. This dichotomy in plant response to AM fungi has been suggested as a tool to suppress weed species (many of which are non-mycorrhizal) in agro-ecosystems where mycorrhizal crop species are cultivated. Rinaudo et al. (2010), this issue, have demonstrated that AM fungi can suppress pernicious non-mycorrhizal weed species including Chenopodium album (fat hen) while benefiting the crop plant Helianthus annuus (sunflower). These findings now suggest a future for harnessing AM fungi as agro-ecosystem engineers representing potential alternatives to costly and environmentally damaging herbicides.","DOI":"10.1007/s11104-010-0361-y","ISSN":"1573-5036","journalAbbreviation":"Plant and Soil","author":[{"family":"Cameron","given":"Duncan D."}],"issued":{"date-parts":[["2010"]]}}}],"schema":"https://github.com/citation-style-language/schema/raw/master/csl-citation.json"} </w:instrText>
      </w:r>
      <w:r>
        <w:fldChar w:fldCharType="separate"/>
      </w:r>
      <w:r w:rsidR="00954B3D" w:rsidRPr="00954B3D">
        <w:rPr>
          <w:rFonts w:cs="Times New Roman"/>
        </w:rPr>
        <w:t>(Cameron, 2010)</w:t>
      </w:r>
      <w:r>
        <w:fldChar w:fldCharType="end"/>
      </w:r>
      <w:r>
        <w:t xml:space="preserve"> and</w:t>
      </w:r>
      <w:r w:rsidRPr="004125A6">
        <w:t xml:space="preserve"> </w:t>
      </w:r>
      <w:r>
        <w:t xml:space="preserve">enhance resistance to </w:t>
      </w:r>
      <w:r w:rsidRPr="004125A6">
        <w:t>drought</w:t>
      </w:r>
      <w:r>
        <w:t xml:space="preserve"> and pathogens </w:t>
      </w:r>
      <w:r>
        <w:fldChar w:fldCharType="begin"/>
      </w:r>
      <w:r w:rsidR="0055532F">
        <w:instrText xml:space="preserve"> ADDIN ZOTERO_ITEM CSL_CITATION {"citationID":"mYaKLYRL","properties":{"formattedCitation":"{\\rtf (Aug\\uc0\\u233{}, 2004; Jung {\\i{}et al.}, 2012)}","plainCitation":"(Augé, 2004; Jung et al., 2012)"},"citationItems":[{"id":145,"uris":["http://zotero.org/users/local/d1gJDEOw/items/AUICBQE2"],"uri":["http://zotero.org/users/local/d1gJDEOw/items/AUICBQE2"],"itemData":{"id":145,"type":"article-journal","title":"Arbuscular mycorrhizae and soil/plant water relations","container-title":"Canadian Journal of Soil Science","page":"373-381","volume":"84","issue":"4","source":"Web of Science","ISSN":"0008-4271","note":"WOS:000226685500004","journalAbbreviation":"Can. J. Soil Sci.","language":"English","author":[{"family":"Augé","given":"R. M."}],"issued":{"date-parts":[["2004",12]]}}},{"id":73,"uris":["http://zotero.org/users/local/d1gJDEOw/items/CIKUHM33"],"uri":["http://zotero.org/users/local/d1gJDEOw/items/CIKUHM33"],"itemData":{"id":73,"type":"article-journal","title":"Mycorrhiza-Induced Resistance and Priming of Plant Defenses","container-title":"Journal of Chemical Ecology","page":"651-664","volume":"38","issue":"6","abstract":"Symbioses between plants and beneficial soil microorganisms like arbuscular-mycorrhizal fungi (AMF) are known to promote plant growth and help plants to cope with biotic and abiotic stresses. Profound physiological changes take place in the host plant upon root colonization by AMF affecting the interactions with a wide range of organisms below- and above-ground. Protective effects of the symbiosis against pathogens, pests, and parasitic plants have been described for many plant species, including agriculturally important crop varieties. Besides mechanisms such as improved plant nutrition and competition, experimental evidence supports a major role of plant defenses in the observed protection. During mycorrhiza establishment, modulation of plant defense responses occurs thus achieving a functional symbiosis. As a consequence of this modulation, a mild, but effective activation of the plant immune responses seems to occur, not only locally but also systemically. This activation leads to a primed state of the plant that allows a more efficient activation of defense mechanisms in response to attack by potential enemies. Here, we give an overview of the impact on interactions between mycorrhizal plants and pathogens, herbivores, and parasitic plants, and we summarize the current knowledge of the underlying mechanisms. We focus on the priming of jasmonate-regulated plant defense mechanisms that play a central role in the induction of resistance by arbuscular mycorrhizas.","DOI":"10.1007/s10886-012-0134-6","ISSN":"1573-1561","journalAbbreviation":"Journal of Chemical Ecology","author":[{"family":"Jung","given":"Sabine C."},{"family":"Martinez-Medina","given":"Ainhoa"},{"family":"Lopez-Raez","given":"Juan A."},{"family":"Pozo","given":"Maria J."}],"issued":{"date-parts":[["2012"]]}}}],"schema":"https://github.com/citation-style-language/schema/raw/master/csl-citation.json"} </w:instrText>
      </w:r>
      <w:r>
        <w:fldChar w:fldCharType="separate"/>
      </w:r>
      <w:r w:rsidR="0055532F" w:rsidRPr="00F00459">
        <w:rPr>
          <w:rFonts w:cs="Times New Roman"/>
          <w:szCs w:val="24"/>
        </w:rPr>
        <w:t xml:space="preserve">(Augé, 2004; Jung </w:t>
      </w:r>
      <w:r w:rsidR="0055532F" w:rsidRPr="00F00459">
        <w:rPr>
          <w:rFonts w:cs="Times New Roman"/>
          <w:i/>
          <w:iCs/>
          <w:szCs w:val="24"/>
        </w:rPr>
        <w:t>et al.</w:t>
      </w:r>
      <w:r w:rsidR="0055532F" w:rsidRPr="00F00459">
        <w:rPr>
          <w:rFonts w:cs="Times New Roman"/>
          <w:szCs w:val="24"/>
        </w:rPr>
        <w:t>, 2012)</w:t>
      </w:r>
      <w:r>
        <w:fldChar w:fldCharType="end"/>
      </w:r>
      <w:r>
        <w:t xml:space="preserve">.  </w:t>
      </w:r>
      <w:r w:rsidRPr="004125A6">
        <w:t>AMF</w:t>
      </w:r>
      <w:r>
        <w:t xml:space="preserve"> are integral to soil health </w:t>
      </w:r>
      <w:r w:rsidRPr="004125A6">
        <w:t>due to the beneficial role of</w:t>
      </w:r>
      <w:r>
        <w:t xml:space="preserve"> the</w:t>
      </w:r>
      <w:r w:rsidRPr="004125A6">
        <w:t xml:space="preserve"> </w:t>
      </w:r>
      <w:r>
        <w:t>fungal</w:t>
      </w:r>
      <w:r w:rsidRPr="004125A6">
        <w:t xml:space="preserve"> mycelium</w:t>
      </w:r>
      <w:r>
        <w:t xml:space="preserve"> on soil structure </w:t>
      </w:r>
      <w:r w:rsidRPr="004125A6">
        <w:t xml:space="preserve">and AMF derived </w:t>
      </w:r>
      <w:proofErr w:type="spellStart"/>
      <w:r w:rsidRPr="004125A6">
        <w:t>glomalin</w:t>
      </w:r>
      <w:proofErr w:type="spellEnd"/>
      <w:r w:rsidRPr="004125A6">
        <w:t>-related soil protein</w:t>
      </w:r>
      <w:r>
        <w:t xml:space="preserve"> on the stability of soils </w:t>
      </w:r>
      <w:r>
        <w:fldChar w:fldCharType="begin"/>
      </w:r>
      <w:r w:rsidR="00954B3D">
        <w:instrText xml:space="preserve"> ADDIN ZOTERO_ITEM CSL_CITATION {"citationID":"pgvlj7nb5","properties":{"formattedCitation":"{\\rtf (Bedini {\\i{}et al.}, 2009)}","plainCitation":"(Bedini et al., 2009)"},"citationItems":[{"id":375,"uris":["http://zotero.org/users/local/d1gJDEOw/items/P52IWKWR"],"uri":["http://zotero.org/users/local/d1gJDEOw/items/P52IWKWR"],"itemData":{"id":375,"type":"article-journal","title":"Changes in soil aggregation and glomalin-related soil protein content as affected by the arbuscular mycorrhizal fungal species Glomus mosseae and Glomus intraradices","container-title":"Soil Biology and Biochemistry","page":"1491-1496","volume":"41","issue":"7","source":"ScienceDirect","abstract":"Arbuscular mycorrhizal (AM) fungi are key organisms of the soil/plant system, influencing soil fertility and plant nutrition, and contributing to soil aggregation and soil structure stability by the combined action of extraradical hyphae and of an insoluble, hydrophobic proteinaceous substance named glomalin-related soil protein (GRSP). Since the GRSP extraction procedures have recently revealed problems related to co-extracting substances, the relationship between GRSP and AM fungi still remains to be verified. In this work the hypothesis that GRSP concentration is positively correlated with the occurrence of AM fungi was tested by using Medicago sativa plants inoculated with different isolates of Glomus mosseae and Glomus intraradices in a microcosm experiment. Our results show that (i) mycorrhizal establishment produced an increase in GRSP concentration – compared to initial values – in contrast with non-mycorrhizal plants, which did not produce any change; (ii) aggregate stability, evaluated as mean weight diameter (MWD) of macroaggregates of 1–2 mm diameter, was significantly higher in mycorrhizal soils compared to non-mycorrhizal soil; (iii) GRSP concentration and soil aggregate stability were positively correlated with mycorrhizal root volume and weakly correlated with total root volume; (iv) MWD values of soil aggregates were positively correlated with values of total hyphal length and hyphal density of the AM fungi utilized.\n\nThe different ability of AM fungal isolates to affect GRSP concentration and to form extensive and dense mycelial networks, which may directly affect soil aggregates stability by hyphal enmeshment of soil particles, suggests the possibility of selecting the most efficient isolates to be utilized for soil quality improvement and land restoration programs.","DOI":"10.1016/j.soilbio.2009.04.005","ISSN":"0038-0717","journalAbbreviation":"Soil Biology and Biochemistry","author":[{"family":"Bedini","given":"Stefano"},{"family":"Pellegrino","given":"Elisa"},{"family":"Avio","given":"Luciano"},{"family":"Pellegrini","given":"Sergio"},{"family":"Bazzoffi","given":"Paolo"},{"family":"Argese","given":"Emanuele"},{"family":"Giovannetti","given":"Manuela"}],"issued":{"date-parts":[["2009",7]]}}}],"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Bedini</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2009)</w:t>
      </w:r>
      <w:r>
        <w:fldChar w:fldCharType="end"/>
      </w:r>
      <w:r>
        <w:t xml:space="preserve"> and </w:t>
      </w:r>
      <w:r w:rsidRPr="004125A6">
        <w:t xml:space="preserve">in the formation of water stable aggregates </w:t>
      </w:r>
      <w:r w:rsidRPr="004125A6">
        <w:fldChar w:fldCharType="begin"/>
      </w:r>
      <w:r w:rsidR="00954B3D">
        <w:instrText xml:space="preserve"> ADDIN ZOTERO_ITEM CSL_CITATION {"citationID":"orjvlucbe","properties":{"formattedCitation":"{\\rtf (Wilson {\\i{}et al.}, 2009)}","plainCitation":"(Wilson et al., 2009)"},"citationItems":[{"id":166,"uris":["http://zotero.org/users/local/d1gJDEOw/items/3AZT9DIF"],"uri":["http://zotero.org/users/local/d1gJDEOw/items/3AZT9DIF"],"itemData":{"id":166,"type":"article-journal","title":"Soil aggregation and carbon sequestration are tightly correlated with the abundance of arbuscular mycorrhizal fungi: results from long-term field experiments","container-title":"Ecology Letters","page":"452-461","volume":"12","issue":"5","source":"Web of Science","abstract":"We examined the role of arbuscular mycorrhizal fungi (AMF) in ecosystems using soil aggregate stability and C and N storage as representative ecosystem processes. We utilized a wide gradient in AMF abundance, obtained through long-term (17 and 6 years) large-scale field manipulations. Burning and N-fertilization increased soil AMF hyphae, glomalin-related soil protein (GRSP) pools and water-stable macroaggregates while fungicide applications reduced AMF hyphae, GRSP and water-stable macroaggregates. We found that AMF abundance was a surprisingly dominant factor explaining the vast majority of variability in soil aggregation. This experimental field study, involving long-term diverse management practices of native multispecies prairie communities, invariably showed a close positive correlation between AMF hyphal abundance and soil aggregation, and C and N sequestration. This highly significant linear correlation suggests there are serious consequences to the loss of AMF from ecosystems.","DOI":"10.1111/j.1461-0248.2009.01303.x","ISSN":"1461-023X","note":"WOS:000265010400008","shortTitle":"Soil aggregation and carbon sequestration are tightly correlated with the abundance of arbuscular mycorrhizal fungi","journalAbbreviation":"Ecol. Lett.","language":"English","author":[{"family":"Wilson","given":"Gail W. T."},{"family":"Rice","given":"Charles W."},{"family":"Rillig","given":"Matthias C."},{"family":"Springer","given":"Adam"},{"family":"Hartnett","given":"David C."}],"issued":{"date-parts":[["2009",5]]}}}],"schema":"https://github.com/citation-style-language/schema/raw/master/csl-citation.json"} </w:instrText>
      </w:r>
      <w:r w:rsidRPr="004125A6">
        <w:fldChar w:fldCharType="separate"/>
      </w:r>
      <w:r w:rsidR="00954B3D" w:rsidRPr="00954B3D">
        <w:rPr>
          <w:rFonts w:cs="Times New Roman"/>
          <w:szCs w:val="24"/>
        </w:rPr>
        <w:t xml:space="preserve">(Wilson </w:t>
      </w:r>
      <w:r w:rsidR="00954B3D" w:rsidRPr="00954B3D">
        <w:rPr>
          <w:rFonts w:cs="Times New Roman"/>
          <w:i/>
          <w:iCs/>
          <w:szCs w:val="24"/>
        </w:rPr>
        <w:t>et al.</w:t>
      </w:r>
      <w:r w:rsidR="00954B3D" w:rsidRPr="00954B3D">
        <w:rPr>
          <w:rFonts w:cs="Times New Roman"/>
          <w:szCs w:val="24"/>
        </w:rPr>
        <w:t>, 2009)</w:t>
      </w:r>
      <w:r w:rsidRPr="004125A6">
        <w:fldChar w:fldCharType="end"/>
      </w:r>
      <w:r>
        <w:t xml:space="preserve">. Furthermore they influence sequestration of soil carbon and have been estimated to account for up to 15% of  the organic carbon content of soils </w:t>
      </w:r>
      <w:r>
        <w:fldChar w:fldCharType="begin"/>
      </w:r>
      <w:r w:rsidR="00954B3D">
        <w:instrText xml:space="preserve"> ADDIN ZOTERO_ITEM CSL_CITATION {"citationID":"1eq3h25l8u","properties":{"formattedCitation":"{\\rtf (Leake {\\i{}et al.}, 2004)}","plainCitation":"(Leake et al., 2004)"},"citationItems":[{"id":407,"uris":["http://zotero.org/users/local/d1gJDEOw/items/K6JB6KE3"],"uri":["http://zotero.org/users/local/d1gJDEOw/items/K6JB6KE3"],"itemData":{"id":407,"type":"article-journal","title":"Networks of power and influence: the role of mycorrhizal mycelium in controlling plant communities and agroecosystem functioning","container-title":"Canadian Journal of Botany","page":"1016-1045","volume":"82","issue":"8","DOI":"10.1139/b04-060","ISSN":"0008-4026","journalAbbreviation":"Can. J. Bot.","author":[{"family":"Leake","given":"Jonathan"},{"family":"Johnson","given":"David"},{"family":"Donnelly","given":"Damian"},{"family":"Muckle","given":"Gemma"},{"family":"Boddy","given":"Lynne"},{"family":"Read","given":"David"}],"issued":{"date-parts":[["2004",8,1]]}}}],"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Leake</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2004)</w:t>
      </w:r>
      <w:r>
        <w:fldChar w:fldCharType="end"/>
      </w:r>
      <w:r>
        <w:t xml:space="preserve">. AMF are known to improve the nutrient retention of soils and reduce leaching losses </w:t>
      </w:r>
      <w:r>
        <w:fldChar w:fldCharType="begin"/>
      </w:r>
      <w:r w:rsidR="00954B3D">
        <w:instrText xml:space="preserve"> ADDIN ZOTERO_ITEM CSL_CITATION {"citationID":"RdGrYwHc","properties":{"formattedCitation":"{\\rtf (Cavagnaro {\\i{}et al.}, 2015)}","plainCitation":"(Cavagnaro et al., 2015)"},"citationItems":[{"id":152,"uris":["http://zotero.org/users/local/d1gJDEOw/items/75U9VBE8"],"uri":["http://zotero.org/users/local/d1gJDEOw/items/75U9VBE8"],"itemData":{"id":152,"type":"article-journal","title":"The role of arbuscular mycorrhizas in reducing soil nutrient loss","container-title":"Trends in Plant Science","page":"283-290","volume":"20","issue":"5","source":"Web of Science","abstract":"Substantial amounts of nutrients are lost from soils via leaching and as gaseous emissions. These losses can be environmentally damaging and expensive in terms of lost agricultural production. Plants have evolved many traits to optimize nutrient acquisition, including the formation of arbuscular mycorrhizas (AM), associations of plant roots with fungi that acquire soil nutrients. There is emerging evidence that AM have the ability to reduce nutrient loss from soils by enlarging the nutrient interception zone and preventing nutrient loss after rain-induced leaching events. Until recently, this important ecosystem service of AM had been largely overlooked. Here we review the role of AM in reducing nutrient loss and conclude that this role cannot be ignored if we are to increase global food production in an environmentally sustainable manner.","DOI":"10.1016/j.tplants.2015.03.004","ISSN":"1360-1385","note":"WOS:000355045100008","journalAbbreviation":"Trends Plant Sci.","language":"English","author":[{"family":"Cavagnaro","given":"Timothy R."},{"family":"Bender","given":"S. Franz"},{"family":"Asghari","given":"Hamid R."},{"family":"Heijden","given":"Marcel G. A.","non-dropping-particle":"van der"}],"issued":{"date-parts":[["2015",5]]}}}],"schema":"https://github.com/citation-style-language/schema/raw/master/csl-citation.json"}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Cavagnaro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2015)</w:t>
      </w:r>
      <w:r>
        <w:fldChar w:fldCharType="end"/>
      </w:r>
      <w:r>
        <w:t xml:space="preserve"> most notably for nitrogen and phosphorus </w:t>
      </w:r>
      <w:r>
        <w:fldChar w:fldCharType="begin"/>
      </w:r>
      <w:r w:rsidR="00954B3D">
        <w:instrText xml:space="preserve"> ADDIN ZOTERO_ITEM CSL_CITATION {"citationID":"t34oIvlz","properties":{"formattedCitation":"{\\rtf (Bender {\\i{}et al.}, 2015; K\\uc0\\u246{}hl &amp; van der Heijden, 2016)}","plainCitation":"(Bender et al., 2015; Köhl &amp; van der Heijden, 2016)"},"citationItems":[{"id":151,"uris":["http://zotero.org/users/local/d1gJDEOw/items/42VBMTIN"],"uri":["http://zotero.org/users/local/d1gJDEOw/items/42VBMTIN"],"itemData":{"id":151,"type":"article-journal","title":"Mycorrhizal effects on nutrient cycling, nutrient leaching and N2O production in experimental grassland","container-title":"Soil Biology &amp; Biochemistry","page":"283-292","volume":"80","source":"Web of Science","abstract":"Arbuscular mycorrhizal fungi (AMF) can enhance plant nutrition and growth. However, their contribution to nutrient cycling in ecosystems is still poorly understood. Using experimental grassland microcosms filled with two different soil types (pasture and heath soil) and fertilized with different N forms (NO3- or NH4+) we tested the AMF contribution to N and P cycling including measurements of organic and inorganic leaching losses and N2O fluxes. We hypothesized that AMF enhance the sustainability of plant-soil systems by reducing nutrient losses and enhancing plant nutrient uptake. AMF reduced reactive and unreactive P leaching by 31%, enhanced plant P contents by 15% and increased P mobilization from soil by 18%. AMF reduced N2O fluxes and NH4+ leaching in both soils. Leaching of dissolved organic N was reduced by 24% in the heath soil only. Plant N contents were increased by 13% in the pasture soil but not affected in the heath soil. The microbial biomass N content was higher with AMF. This is the first comprehensive assessment of the influence of AMF on N and P cycling, including effects on inorganic and organic nutrient leaching losses and N2O emissions in a single study. We conclude that AMF can promote sustainable nutrient cycling but the effects on N cycling are context dependent. (C) 2014 Elsevier Ltd. All rights reserved.","DOI":"10.1016/j.soilbio.2014.10.016","ISSN":"0038-0717","note":"WOS:000346545800033","journalAbbreviation":"Soil Biol. Biochem.","language":"English","author":[{"family":"Bender","given":"S. Franz"},{"family":"Conen","given":"Franz"},{"family":"Van der Heijden","given":"Marcel G. A."}],"issued":{"date-parts":[["2015",1]]}}},{"id":153,"uris":["http://zotero.org/users/local/d1gJDEOw/items/VIC8EJGD"],"uri":["http://zotero.org/users/local/d1gJDEOw/items/VIC8EJGD"],"itemData":{"id":153,"type":"article-journal","title":"Arbuscular mycorrhizal fungal species differ in their effect on nutrient leaching","container-title":"Soil Biology and Biochemistry","page":"191-199","volume":"94","source":"ScienceDirect","abstract":"Arbuscular mycorrhizal (AM) fungi have been shown to play a crucial role in nutrient cycling and can reduce nutrient losses after rain induced leaching events. It is still unclear whether nutrient leaching losses vary depending on the AM fungal taxa that are present in soil. Using experimental microcosms with one of two different host plants (the grass Lolium multiflorum, or the legume Trifolium pratense) and inoculated with one of three different AM fungal species (Claroideoglomus claroideum, Rhizoglomus irregulare, and Funneliformis mosseae), we tested whether AM fungal species vary in their effects on nutrient leaching and plant productivity.\n\nAM fungi reduced nitrogen leaching, and the effects varied depending on host plant species and the identity of the AM fungal species present in soil. The reduction of nitrogen leaching losses was strongest in microcosms planted with Trifolium. The effects of AM fungi on phosphorus leaching losses were relatively small, and in most cases not significant, although a significant negative correlation between root colonization and phosphate leaching was observed in microcosms planted with Lolium. AM fungi enhanced plant P uptake for both plant species, and different AM fungi varied in their effects on plant biomass and nutrient acquisition.\n\nOur results demonstrate, for the first time, that AM fungal species differ in their effect on nutrient leaching. This indicates that agricultural practices that alter AM fungal communities also indirectly change nutrient cycling and nutrient leaching losses.","DOI":"10.1016/j.soilbio.2015.11.019","ISSN":"0038-0717","journalAbbreviation":"Soil Biology and Biochemistry","author":[{"family":"Köhl","given":"Luise"},{"family":"Heijden","given":"Marcel G. A.","non-dropping-particle":"van der"}],"issued":{"date-parts":[["2016",3]]}}}],"schema":"https://github.com/citation-style-language/schema/raw/master/csl-citation.json"} </w:instrText>
      </w:r>
      <w:r>
        <w:fldChar w:fldCharType="separate"/>
      </w:r>
      <w:r w:rsidR="00954B3D" w:rsidRPr="00954B3D">
        <w:rPr>
          <w:rFonts w:cs="Times New Roman"/>
          <w:szCs w:val="24"/>
        </w:rPr>
        <w:t xml:space="preserve">(Bender </w:t>
      </w:r>
      <w:r w:rsidR="00954B3D" w:rsidRPr="00954B3D">
        <w:rPr>
          <w:rFonts w:cs="Times New Roman"/>
          <w:i/>
          <w:iCs/>
          <w:szCs w:val="24"/>
        </w:rPr>
        <w:t>et al.</w:t>
      </w:r>
      <w:r w:rsidR="00954B3D" w:rsidRPr="00954B3D">
        <w:rPr>
          <w:rFonts w:cs="Times New Roman"/>
          <w:szCs w:val="24"/>
        </w:rPr>
        <w:t xml:space="preserve">, 2015; </w:t>
      </w:r>
      <w:proofErr w:type="spellStart"/>
      <w:r w:rsidR="00954B3D" w:rsidRPr="00954B3D">
        <w:rPr>
          <w:rFonts w:cs="Times New Roman"/>
          <w:szCs w:val="24"/>
        </w:rPr>
        <w:t>Köhl</w:t>
      </w:r>
      <w:proofErr w:type="spellEnd"/>
      <w:r w:rsidR="00954B3D" w:rsidRPr="00954B3D">
        <w:rPr>
          <w:rFonts w:cs="Times New Roman"/>
          <w:szCs w:val="24"/>
        </w:rPr>
        <w:t xml:space="preserve"> &amp; van der </w:t>
      </w:r>
      <w:proofErr w:type="spellStart"/>
      <w:r w:rsidR="00954B3D" w:rsidRPr="00954B3D">
        <w:rPr>
          <w:rFonts w:cs="Times New Roman"/>
          <w:szCs w:val="24"/>
        </w:rPr>
        <w:t>Heijden</w:t>
      </w:r>
      <w:proofErr w:type="spellEnd"/>
      <w:r w:rsidR="00954B3D" w:rsidRPr="00954B3D">
        <w:rPr>
          <w:rFonts w:cs="Times New Roman"/>
          <w:szCs w:val="24"/>
        </w:rPr>
        <w:t>, 2016)</w:t>
      </w:r>
      <w:r>
        <w:fldChar w:fldCharType="end"/>
      </w:r>
      <w:r w:rsidRPr="00007651">
        <w:t xml:space="preserve"> </w:t>
      </w:r>
      <w:r>
        <w:t xml:space="preserve">an effect which is thought to be due to efficient uptake of nutrients through extensive exploration of soil by hyphal networks and nutrient immobilisation within fungal and plant biomass </w:t>
      </w:r>
      <w:r>
        <w:fldChar w:fldCharType="begin"/>
      </w:r>
      <w:r w:rsidR="00954B3D">
        <w:instrText xml:space="preserve"> ADDIN ZOTERO_ITEM CSL_CITATION {"citationID":"pjg72lhmb","properties":{"formattedCitation":"(Hart &amp; Reader, 2002)","plainCitation":"(Hart &amp; Reader, 2002)"},"citationItems":[{"id":388,"uris":["http://zotero.org/users/local/d1gJDEOw/items/FTCNN6QR"],"uri":["http://zotero.org/users/local/d1gJDEOw/items/FTCNN6QR"],"itemData":{"id":388,"type":"article-journal","title":"Host plant benefit from association with arbuscular mycorrhizal fungi: variation due to differences in size of mycelium","container-title":"Biology and Fertility of Soils","page":"357-366","volume":"36","issue":"5","source":"CrossRef","DOI":"10.1007/s00374-002-0539-4","ISSN":"0178-2762, 1432-0789","shortTitle":"Host plant benefit from association with arbuscular mycorrhizal fungi","author":[{"family":"Hart","given":"Miranda"},{"family":"Reader","given":"Richard"}],"issued":{"date-parts":[["2002",11,1]]}}}],"schema":"https://github.com/citation-style-language/schema/raw/master/csl-citation.json"} </w:instrText>
      </w:r>
      <w:r>
        <w:fldChar w:fldCharType="separate"/>
      </w:r>
      <w:r w:rsidR="00954B3D" w:rsidRPr="00954B3D">
        <w:rPr>
          <w:rFonts w:cs="Times New Roman"/>
        </w:rPr>
        <w:t>(Hart &amp; Reader, 2002)</w:t>
      </w:r>
      <w:r>
        <w:fldChar w:fldCharType="end"/>
      </w:r>
      <w:r w:rsidR="00861E0B">
        <w:t xml:space="preserve">. </w:t>
      </w:r>
    </w:p>
    <w:p w:rsidR="00B46350" w:rsidRDefault="00B46350" w:rsidP="00861E0B">
      <w:r>
        <w:t xml:space="preserve">Arbuscular mycorrhizal fungal communities are sensitive to both natural and anthropogenic changes in land-use, particularly agricultural land management due to substantial alteration in </w:t>
      </w:r>
      <w:r>
        <w:lastRenderedPageBreak/>
        <w:t xml:space="preserve">biological, chemical and physical properties of the soil environment. Negative impacts of intensive agricultural management practices upon AMF may result in reduced provision of key ecosystem services </w:t>
      </w:r>
      <w:r>
        <w:fldChar w:fldCharType="begin"/>
      </w:r>
      <w:r w:rsidR="00954B3D">
        <w:instrText xml:space="preserve"> ADDIN ZOTERO_ITEM CSL_CITATION {"citationID":"2sfpm83vq","properties":{"formattedCitation":"{\\rtf (Gosling {\\i{}et al.}, 2006)}","plainCitation":"(Gosling et al., 2006)"},"citationItems":[{"id":456,"uris":["http://zotero.org/users/local/d1gJDEOw/items/NJQG6MI8"],"uri":["http://zotero.org/users/local/d1gJDEOw/items/NJQG6MI8"],"itemData":{"id":456,"type":"article-journal","title":"Arbuscular mycorrhizal fungi and organic farming","container-title":"Agriculture, Ecosystems &amp; Environment","page":"17-35","volume":"113","issue":"1–4","source":"ScienceDirect","abstract":"Symbiotic associations between arbuscular mycorrhizal fungi and plant roots are widespread in the natural environment and can provide a range of benefits to the host plant. These include improved nutrition, enhanced resistance to soil-borne pests and disease, improved resistance to drought, tolerance of heavy metals and better soil structure. Many agricultural crops are mycorrhizal and there is widespread if equivocal evidence that crop plants benefit from the arbuscular mycorrhizal (AM) association in the same way. However, many agricultural practices including use of fertilisers and biocides, tillage, monocultures and the growing of non-mycorrhizal crops are detrimental to arbuscular mycorrhizal fungi (AMF). As a result, agroecosystems are impoverished in AMF and may not provide the full range of benefits to the crop. Organic farming systems may be less detrimental to AMF because they exclude the use of water-soluble fertilisers and most biocides and generally have diverse rotations. The evidence available suggests that this leads to increased AMF inoculum in soils, greater crop colonisation and enhanced nutrient uptake. AMF might therefore be able to substitute for reduced fertiliser and biocide inputs in organic systems, though there is little evidence for increased yield resulting from high rates of AMF colonisation in organic systems. This review examines the benefits that the AM association can have for agroecosystems and how farm management practices influence the AM association. Management options that may be employed to increase the benefits that AMF can bring to this type of farming system, such as changes to the rotation and careful use of tillage, are discussed.","DOI":"10.1016/j.agee.2005.09.009","ISSN":"0167-8809","journalAbbreviation":"Agriculture, Ecosystems &amp; Environment","author":[{"family":"Gosling","given":"P."},{"family":"Hodge","given":"A."},{"family":"Goodlass","given":"G."},{"family":"Bending","given":"G. D."}],"issued":{"date-parts":[["2006",4]]}}}],"schema":"https://github.com/citation-style-language/schema/raw/master/csl-citation.json"} </w:instrText>
      </w:r>
      <w:r>
        <w:fldChar w:fldCharType="separate"/>
      </w:r>
      <w:r w:rsidR="00954B3D" w:rsidRPr="00954B3D">
        <w:rPr>
          <w:rFonts w:cs="Times New Roman"/>
          <w:szCs w:val="24"/>
        </w:rPr>
        <w:t xml:space="preserve">(Gosling </w:t>
      </w:r>
      <w:r w:rsidR="00954B3D" w:rsidRPr="00954B3D">
        <w:rPr>
          <w:rFonts w:cs="Times New Roman"/>
          <w:i/>
          <w:iCs/>
          <w:szCs w:val="24"/>
        </w:rPr>
        <w:t>et al.</w:t>
      </w:r>
      <w:r w:rsidR="00954B3D" w:rsidRPr="00954B3D">
        <w:rPr>
          <w:rFonts w:cs="Times New Roman"/>
          <w:szCs w:val="24"/>
        </w:rPr>
        <w:t>, 2006)</w:t>
      </w:r>
      <w:r>
        <w:fldChar w:fldCharType="end"/>
      </w:r>
      <w:r>
        <w:t xml:space="preserve"> and this is therefore a critical area of research. Reductions in AMF diversity and alterations in AMF community structure with intensive arable agricultural management has been well documented </w:t>
      </w:r>
      <w:r>
        <w:fldChar w:fldCharType="begin"/>
      </w:r>
      <w:r w:rsidR="006B3935">
        <w:instrText xml:space="preserve"> ADDIN ZOTERO_ITEM CSL_CITATION {"citationID":"iJgC0Y1i","properties":{"formattedCitation":"{\\rtf (Helgason {\\i{}et al.}, 1998; Oehl {\\i{}et al.}, 2004; Wang {\\i{}et al.}, 2009; Verbruggen {\\i{}et al.}, 2010)}","plainCitation":"(Helgason et al., 1998; Oehl et al., 2004; Wang et al., 2009; Verbruggen et al., 2010)"},"citationItems":[{"id":156,"uris":["http://zotero.org/users/local/d1gJDEOw/items/9I8TGD8S"],"uri":["http://zotero.org/users/local/d1gJDEOw/items/9I8TGD8S"],"itemData":{"id":156,"type":"article-journal","title":"Ploughing up the wood-wide web?","container-title":"Nature","page":"431-431","volume":"394","issue":"6692","source":"www.nature.com","abstract":"Key species groups that affect major ecological processes are vital components of community diversity. Many such key groups are found in the soil, including the mycorrhizal fungi that may connect plants into a functional \"wood-wide web\". Arbuscular mycorrhizal associations are formed by fungi of the order Glomales with 90% of land plant families, and many arbuscular mycorrhizal fungi are thought to have a broad host range. Here we show that, despite this broad host range, the diversity of arbuscular mycorrhizal fungi is strikingly low in arable sites compared with a woodland.","DOI":"10.1038/28764","ISSN":"0028-0836","journalAbbreviation":"Nature","language":"en","author":[{"family":"Helgason","given":"T."},{"family":"Daniell","given":"T. J."},{"family":"Husband","given":"R."},{"family":"Fitter","given":"A. H."},{"family":"Young","given":"J. P. W."}],"issued":{"date-parts":[["1998",7,30]]}}},{"id":422,"uris":["http://zotero.org/users/local/d1gJDEOw/items/8ZSVHGWW"],"uri":["http://zotero.org/users/local/d1gJDEOw/items/8ZSVHGWW"],"itemData":{"id":422,"type":"article-journal","title":"Impact of long-term conventional and organic farming on the diversity of arbuscular mycorrhizal fungi","container-title":"Oecologia","page":"574-583","volume":"138","issue":"4","source":"CrossRef","DOI":"10.1007/s00442-003-1458-2","ISSN":"0029-8549, 1432-1939","author":[{"family":"Oehl","given":"Fritz"},{"family":"Sieverding","given":"Ewald"},{"family":"M</w:instrText>
      </w:r>
      <w:r w:rsidR="006B3935">
        <w:rPr>
          <w:rFonts w:ascii="Tahoma" w:hAnsi="Tahoma" w:cs="Tahoma"/>
        </w:rPr>
        <w:instrText>�</w:instrText>
      </w:r>
      <w:r w:rsidR="006B3935">
        <w:instrText xml:space="preserve">der","given":"Paul"},{"family":"Dubois","given":"David"},{"family":"Ineichen","given":"Kurt"},{"family":"Boller","given":"Thomas"},{"family":"Wiemken","given":"Andres"}],"issued":{"date-parts":[["2004",3,1]]}}},{"id":425,"uris":["http://zotero.org/users/local/d1gJDEOw/items/U7HEC2GK"],"uri":["http://zotero.org/users/local/d1gJDEOw/items/U7HEC2GK"],"itemData":{"id":425,"type":"article-journal","title":"Influence of Long-Term Fixed Fertilization on Diversity of Arbuscular Mycorrhizal Fungi","container-title":"Pedosphere","page":"663-672","volume":"19","issue":"5, 1002-0160","source":"www.scholarmate.com","abstract":"Diversity of arbuscular mycorrhizal fungi (AMF) was investigated in a field that had received long-term fixed fertilization (LFF) for 26 years. There were a total of 12 treatments in triplicates with different amounts of manure, urea, calcium phosphate, and potassium chloride. Rhizosphere soil samples of maize and wheat grown in the experimental field in Shandong Province, China, were collected in September 2003 and May 2004, respectively. Arbuscular mycorrhizal fungal spores were isolated and identified using morphological characters. Mycorrhizal colonization percentage, spore density (SD), species richness (SR), relative abundance (RA), and Shannon-Weiner index (SWI) were determined. Nineteen recognized species of AMF belonging to 5 genera were identified. Long-term fixed fertilization significantly influenced colonization percentage, SR, SD, and species diversity of AMF. The adaptability of AMF to soil fertility was different among species. Species richness and SD of AMF in maize and wheat rhizosphere soils were the highest in the nonfertilization treatment (control) and lowest in the high manure + high nitrogen treatment (M2N2). The SWI decreased as the fertilization level increased except in the low manure treatment (M-1) on maize. Compared with the other treatments, Treatment M2N2 significantly reduced SD of Glomus, and the high manure + low nitrogen treatment (M2N1) significantly retarded sporulation of Scutellospora. Manure treatments stimulated sporulation of Glomus mosseae. Spore density of G. mosseae was higher in the high nitrogen + phosphorus + potassium treatment (N2PK) than in the high nitrogen + phosphorus treatment (N2P) and the high nitrogen + potassium treatment (N2K). The SD of S. pellucida was higher in Treatment N2K than Treatments N2PK and N2P. In conclusion, long-term fixed fertilization, especially with high levels of manure and N, decreased SR, SD, and colonization and changed the species composition of AMF.","ISSN":"1002-0160","language":"eng","author":[{"family":"Wang","given":"Miao-Yan"},{"family":"Liang-Bin","given":"Hu"},{"family":"Wei-Hua","given":"Wang"},{"family":"Shu-Tang","given":"Liu"},{"family":"Min","given":"Li"},{"family":"Run-Jin","given":"Liu"},{"family":"Miao-Yan","given":"Wang"},{"family":"Liang-Bin","given":"Hu"},{"family":"Wei-Hua","given":"Wang"},{"family":"Shu-Tang","given":"Liu"},{"family":"Min","given":"Li"},{"family":"Run-Jin","given":"Liu"}],"issued":{"date-parts":[["2009"]]}}},{"id":423,"uris":["http://zotero.org/users/local/d1gJDEOw/items/3ZDFKIAP"],"uri":["http://zotero.org/users/local/d1gJDEOw/items/3ZDFKIAP"],"itemData":{"id":423,"type":"article-journal","title":"Positive effects of organic farming on below-ground mutualists: large-scale comparison of mycorrhizal fungal communities in agricultural soils","container-title":"The New Phytologist","page":"968-979","volume":"186","issue":"4","source":"PubMed","abstract":"*The impact of various agricultural practices on soil biodiversity and, in particular, on arbuscular mycorrhizal fungi (AMF), is still poorly understood, although AMF can provide benefit to plants and ecosystems. Here, we tested whether organic farming enhances AMF diversity and whether AMF communities from organically managed fields are more similar to those of species-rich grasslands or conventionally managed fields. *To address this issue, the AMF community composition was assessed in 26 arable fields (13 pairs of organically and conventionally managed fields) and five semi-natural grasslands, all on sandy soil. Terminal restriction fragment length polymorphism community fingerprinting was used to characterize AMF community composition. *The average number of AMF taxa was highest in grasslands (8.8), intermediate in organically managed fields (6.4) and significantly lower in conventionally managed fields (3.9). Moreover, AMF richness increased significantly with the time since conversion to organic agriculture. AMF communities of organically managed fields were also more similar to those of natural grasslands when compared with those under conventional management, and were less uniform than their conventional counterparts, as expressed by higher beta-diversity (between-site diversity). *We suggest that organic management in agro-ecosystems contributes to the restoration and maintenance of these important below-ground mutualists.","DOI":"10.1111/j.1469-8137.2010.03230.x","ISSN":"1469-8137","note":"PMID: 20345633","shortTitle":"Positive effects of organic farming on below-ground mutualists","journalAbbreviation":"New Phytol.","language":"eng","author":[{"family":"Verbruggen","given":"Erik"},{"family":"Röling","given":"Wilfred F. M."},{"family":"Gamper","given":"Hannes A."},{"family":"Kowalchuk","given":"George A."},{"family":"Verhoef","given":"Herman A."},{"family":"Heijden","given":"Marcel G. A.","non-dropping-particle":"van der"}],"issued":{"date-parts":[["2010",6]]}}}],"schema":"https://github.com/citation-style-language/schema/raw/master/csl-citation.json"}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Helgason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1998; </w:t>
      </w:r>
      <w:proofErr w:type="spellStart"/>
      <w:r w:rsidR="00954B3D" w:rsidRPr="00954B3D">
        <w:rPr>
          <w:rFonts w:cs="Times New Roman"/>
          <w:szCs w:val="24"/>
        </w:rPr>
        <w:t>Oehl</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2004; Wang </w:t>
      </w:r>
      <w:r w:rsidR="00954B3D" w:rsidRPr="00954B3D">
        <w:rPr>
          <w:rFonts w:cs="Times New Roman"/>
          <w:i/>
          <w:iCs/>
          <w:szCs w:val="24"/>
        </w:rPr>
        <w:t>et al.</w:t>
      </w:r>
      <w:r w:rsidR="00954B3D" w:rsidRPr="00954B3D">
        <w:rPr>
          <w:rFonts w:cs="Times New Roman"/>
          <w:szCs w:val="24"/>
        </w:rPr>
        <w:t xml:space="preserve">, 2009; </w:t>
      </w:r>
      <w:proofErr w:type="spellStart"/>
      <w:r w:rsidR="00954B3D" w:rsidRPr="00954B3D">
        <w:rPr>
          <w:rFonts w:cs="Times New Roman"/>
          <w:szCs w:val="24"/>
        </w:rPr>
        <w:t>Verbruggen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2010)</w:t>
      </w:r>
      <w:r>
        <w:fldChar w:fldCharType="end"/>
      </w:r>
      <w:r>
        <w:t xml:space="preserve"> although with some exceptions </w:t>
      </w:r>
      <w:r>
        <w:fldChar w:fldCharType="begin"/>
      </w:r>
      <w:r w:rsidR="00954B3D">
        <w:instrText xml:space="preserve"> ADDIN ZOTERO_ITEM CSL_CITATION {"citationID":"jl46e795e","properties":{"formattedCitation":"{\\rtf (Hijri {\\i{}et al.}, 2006)}","plainCitation":"(Hijri et al., 2006)"},"citationItems":[{"id":197,"uris":["http://zotero.org/users/local/d1gJDEOw/items/CUFICNTK"],"uri":["http://zotero.org/users/local/d1gJDEOw/items/CUFICNTK"],"itemData":{"id":197,"type":"article-journal","title":"Communities of arbuscular mycorrhizal fungi in arable soils are not necessarily low in diversity","container-title":"Molecular Ecology","page":"2277-2289","volume":"15","issue":"8","source":"Web of Science","abstract":"Communities of arbuscular mycorrhizal fungi (AMF) in five agricultural field sites of different management intensities were studied. Variable regions of the ribosomal RNA genes were used to detect and identify AMF directly within colonized roots. Roots from a continuous maize monoculture showed low AMF diversity, in agreement with previous reports on molecular diversity of AMF in agricultural soils. In contrast, a substantially higher diversity of AMF was found throughout the long term 'DOK' field experiment, where organic and conventional agricultural practices have been compared side by side since 1978. In this experiment, a 7-year crop rotation is performed under lower levels of inorganic fertilizer input and chemical pest control. These results are in good agreement with analyses of the spore community previously conducted in these field sites. In a third site, an organically managed leek field with soil of very high phosphate content reflecting the highly intensive conventional field history and intensive tillage, we detected a low-diversity community comparable to the maize monoculture. In addition to fungi from Glomus group A, which have previously been reported to dominate arable soils, we regularly found members of the genera Scutellospora, Paraglomus and Acaulospora. The genus Acaulospora was shown to occur more frequently early in the growing season, suggesting that the life history strategy of AMF may influence the active community at a given time. These data show that the diversity of AMF is not always low in arable soils. Furthermore, low-input agriculture involving crop rotation may provide better conditions to preserve AMF diversity, by preventing the selection for the few AMF taxa tolerating high nutrient levels.","DOI":"10.1111/j.1365-294X.2006.02921.x","ISSN":"0962-1083","note":"WOS:000238143900020","journalAbbreviation":"Mol. Ecol.","language":"English","author":[{"family":"Hijri","given":"Isabelle"},{"family":"Sykorova","given":"Zuzana"},{"family":"Oehl","given":"Fritz"},{"family":"Ineichen","given":"Kurt"},{"family":"Maeder","given":"Paul"},{"family":"Wiemken","given":"Andres"},{"family":"Redecker","given":"Dirk"}],"issued":{"date-parts":[["2006",7]]}}}],"schema":"https://github.com/citation-style-language/schema/raw/master/csl-citation.json"} </w:instrText>
      </w:r>
      <w:r>
        <w:fldChar w:fldCharType="separate"/>
      </w:r>
      <w:r w:rsidR="00954B3D" w:rsidRPr="00954B3D">
        <w:rPr>
          <w:rFonts w:cs="Times New Roman"/>
          <w:szCs w:val="24"/>
        </w:rPr>
        <w:t xml:space="preserve">(Hijri </w:t>
      </w:r>
      <w:r w:rsidR="00954B3D" w:rsidRPr="00954B3D">
        <w:rPr>
          <w:rFonts w:cs="Times New Roman"/>
          <w:i/>
          <w:iCs/>
          <w:szCs w:val="24"/>
        </w:rPr>
        <w:t>et al.</w:t>
      </w:r>
      <w:r w:rsidR="00954B3D" w:rsidRPr="00954B3D">
        <w:rPr>
          <w:rFonts w:cs="Times New Roman"/>
          <w:szCs w:val="24"/>
        </w:rPr>
        <w:t>, 2006)</w:t>
      </w:r>
      <w:r>
        <w:fldChar w:fldCharType="end"/>
      </w:r>
      <w:r>
        <w:t xml:space="preserve">. Intensive arable systems are heavily reliant on inorganic fertiliser inputs which are known to reduce AMF colonisation </w:t>
      </w:r>
      <w:r w:rsidRPr="00682736">
        <w:rPr>
          <w:szCs w:val="24"/>
        </w:rPr>
        <w:t xml:space="preserve">(Wang </w:t>
      </w:r>
      <w:r w:rsidRPr="00682736">
        <w:rPr>
          <w:i/>
          <w:iCs/>
          <w:szCs w:val="24"/>
        </w:rPr>
        <w:t>et al.</w:t>
      </w:r>
      <w:r w:rsidRPr="00682736">
        <w:rPr>
          <w:szCs w:val="24"/>
        </w:rPr>
        <w:t>, 2009)</w:t>
      </w:r>
      <w:r>
        <w:t xml:space="preserve"> and diversity </w:t>
      </w:r>
      <w:r>
        <w:fldChar w:fldCharType="begin"/>
      </w:r>
      <w:r w:rsidR="00954B3D">
        <w:instrText xml:space="preserve"> ADDIN ZOTERO_ITEM CSL_CITATION {"citationID":"djWPPlW5","properties":{"formattedCitation":"{\\rtf (Verbruggen {\\i{}et al.}, 2010; Fester &amp; Sawers, 2011)}","plainCitation":"(Verbruggen et al., 2010; Fester &amp; Sawers, 2011)"},"citationItems":[{"id":423,"uris":["http://zotero.org/users/local/d1gJDEOw/items/3ZDFKIAP"],"uri":["http://zotero.org/users/local/d1gJDEOw/items/3ZDFKIAP"],"itemData":{"id":423,"type":"article-journal","title":"Positive effects of organic farming on below-ground mutualists: large-scale comparison of mycorrhizal fungal communities in agricultural soils","container-title":"The New Phytologist","page":"968-979","volume":"186","issue":"4","source":"PubMed","abstract":"*The impact of various agricultural practices on soil biodiversity and, in particular, on arbuscular mycorrhizal fungi (AMF), is still poorly understood, although AMF can provide benefit to plants and ecosystems. Here, we tested whether organic farming enhances AMF diversity and whether AMF communities from organically managed fields are more similar to those of species-rich grasslands or conventionally managed fields. *To address this issue, the AMF community composition was assessed in 26 arable fields (13 pairs of organically and conventionally managed fields) and five semi-natural grasslands, all on sandy soil. Terminal restriction fragment length polymorphism community fingerprinting was used to characterize AMF community composition. *The average number of AMF taxa was highest in grasslands (8.8), intermediate in organically managed fields (6.4) and significantly lower in conventionally managed fields (3.9). Moreover, AMF richness increased significantly with the time since conversion to organic agriculture. AMF communities of organically managed fields were also more similar to those of natural grasslands when compared with those under conventional management, and were less uniform than their conventional counterparts, as expressed by higher beta-diversity (between-site diversity). *We suggest that organic management in agro-ecosystems contributes to the restoration and maintenance of these important below-ground mutualists.","DOI":"10.1111/j.1469-8137.2010.03230.x","ISSN":"1469-8137","note":"PMID: 20345633","shortTitle":"Positive effects of organic farming on below-ground mutualists","journalAbbreviation":"New Phytol.","language":"eng","author":[{"family":"Verbruggen","given":"Erik"},{"family":"Röling","given":"Wilfred F. M."},{"family":"Gamper","given":"Hannes A."},{"family":"Kowalchuk","given":"George A."},{"family":"Verhoef","given":"Herman A."},{"family":"Heijden","given":"Marcel G. A.","non-dropping-particle":"van der"}],"issued":{"date-parts":[["2010",6]]}}},{"id":140,"uris":["http://zotero.org/users/local/d1gJDEOw/items/9IE68PVG"],"uri":["http://zotero.org/users/local/d1gJDEOw/items/9IE68PVG"],"itemData":{"id":140,"type":"article-journal","title":"Progress and Challenges in Agricultural Applications of Arbuscular Mycorrhizal Fungi","container-title":"Critical Reviews in Plant Sciences","page":"459-470","volume":"30","issue":"5","source":"Taylor and Francis+NEJM","abstract":"Arbuscular mycorrhiza is a widespread interaction between plant roots and mutualistic fungi that both promotes plant mineral nutrition and supports stability in many natural ecosystems. Given the demand in current agriculture for these ecosystem services, it appears desirable to further integrate this interaction in current management schemes. While two different approaches can be identified in this regard, a number of problems have limited the agricultural application of mycorrhiza to date. In this review, the sensitivity of arbuscular mycorrhizal fungi to certain agricultural management methods, the functional variability of arbuscular mycorrhizal fungi, and the variability of plant responsiveness will be discussed in particular. In addition we will focus on recent advances in the study of mycorrhiza in natural ecosystems, and illustrate how such knowledge might be used to further the integration of arbuscular mycorrhizal fungi in agricultural regimes, and so increase the sustainability and robustness of current practice.","DOI":"10.1080/07352689.2011.605741","ISSN":"0735-2689","author":[{"family":"Fester","given":"T."},{"family":"Sawers","given":"R."}],"issued":{"date-parts":[["2011",9,1]]}}}],"schema":"https://github.com/citation-style-language/schema/raw/master/csl-citation.json"}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Verbruggen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2010; Fester &amp; </w:t>
      </w:r>
      <w:proofErr w:type="spellStart"/>
      <w:r w:rsidR="00954B3D" w:rsidRPr="00954B3D">
        <w:rPr>
          <w:rFonts w:cs="Times New Roman"/>
          <w:szCs w:val="24"/>
        </w:rPr>
        <w:t>Sawers</w:t>
      </w:r>
      <w:proofErr w:type="spellEnd"/>
      <w:r w:rsidR="00954B3D" w:rsidRPr="00954B3D">
        <w:rPr>
          <w:rFonts w:cs="Times New Roman"/>
          <w:szCs w:val="24"/>
        </w:rPr>
        <w:t>, 2011)</w:t>
      </w:r>
      <w:r>
        <w:fldChar w:fldCharType="end"/>
      </w:r>
      <w:r>
        <w:t xml:space="preserve">, presumably via suppression of carbon allocation to the fungus as a consequence of enhanced plant nutrition </w:t>
      </w:r>
      <w:r>
        <w:fldChar w:fldCharType="begin"/>
      </w:r>
      <w:r w:rsidR="00954B3D">
        <w:instrText xml:space="preserve"> ADDIN ZOTERO_ITEM CSL_CITATION {"citationID":"hwdFQxcn","properties":{"formattedCitation":"{\\rtf (Field {\\i{}et al.}, 2017)}","plainCitation":"(Field et al., 2017)"},"citationItems":[{"id":471,"uris":["http://zotero.org/users/local/d1gJDEOw/items/GDZU677K"],"uri":["http://zotero.org/users/local/d1gJDEOw/items/GDZU677K"],"itemData":{"id":471,"type":"chapter","title":"Magnitude, Dynamics, and Control of the Carbon Flow to Mycorrhizas","container-title":"Mycorrhizal Mediation of Soil : Fertility, Structure, and Carbon Storage","publisher":"Elsevier Science Publishing, USA.","edition":"1st Edition","author":[{"family":"Field","given":"KJ"},{"family":"Davidson","given":"SJ"},{"family":"Alghamdi","given":"SA"},{"family":"Cameron","given":"DD"}],"issued":{"date-parts":[["2017"]]}}}],"schema":"https://github.com/citation-style-language/schema/raw/master/csl-citation.json"} </w:instrText>
      </w:r>
      <w:r>
        <w:fldChar w:fldCharType="separate"/>
      </w:r>
      <w:r w:rsidR="00954B3D" w:rsidRPr="00954B3D">
        <w:rPr>
          <w:rFonts w:cs="Times New Roman"/>
          <w:szCs w:val="24"/>
        </w:rPr>
        <w:t xml:space="preserve">(Field </w:t>
      </w:r>
      <w:r w:rsidR="00954B3D" w:rsidRPr="00954B3D">
        <w:rPr>
          <w:rFonts w:cs="Times New Roman"/>
          <w:i/>
          <w:iCs/>
          <w:szCs w:val="24"/>
        </w:rPr>
        <w:t>et al.</w:t>
      </w:r>
      <w:r w:rsidR="00954B3D" w:rsidRPr="00954B3D">
        <w:rPr>
          <w:rFonts w:cs="Times New Roman"/>
          <w:szCs w:val="24"/>
        </w:rPr>
        <w:t>, 2017)</w:t>
      </w:r>
      <w:r>
        <w:fldChar w:fldCharType="end"/>
      </w:r>
      <w:r>
        <w:t xml:space="preserve">. Reductions in AMF diversity and colonisation in addition to changes in community composition have been reported for physical disturbance of agricultural soils through tillage </w:t>
      </w:r>
      <w:r>
        <w:fldChar w:fldCharType="begin"/>
      </w:r>
      <w:r w:rsidR="00954B3D">
        <w:instrText xml:space="preserve"> ADDIN ZOTERO_ITEM CSL_CITATION {"citationID":"1e0pvbj94i","properties":{"formattedCitation":"{\\rtf (Helgason {\\i{}et al.}, 1998; Bowles {\\i{}et al.}, 2016)}","plainCitation":"(Helgason et al., 1998; Bowles et al., 2016)"},"citationItems":[{"id":156,"uris":["http://zotero.org/users/local/d1gJDEOw/items/9I8TGD8S"],"uri":["http://zotero.org/users/local/d1gJDEOw/items/9I8TGD8S"],"itemData":{"id":156,"type":"article-journal","title":"Ploughing up the wood-wide web?","container-title":"Nature","page":"431-431","volume":"394","issue":"6692","source":"www.nature.com","abstract":"Key species groups that affect major ecological processes are vital components of community diversity. Many such key groups are found in the soil, including the mycorrhizal fungi that may connect plants into a functional \"wood-wide web\". Arbuscular mycorrhizal associations are formed by fungi of the order Glomales with 90% of land plant families, and many arbuscular mycorrhizal fungi are thought to have a broad host range. Here we show that, despite this broad host range, the diversity of arbuscular mycorrhizal fungi is strikingly low in arable sites compared with a woodland.","DOI":"10.1038/28764","ISSN":"0028-0836","journalAbbreviation":"Nature","language":"en","author":[{"family":"Helgason","given":"T."},{"family":"Daniell","given":"T. J."},{"family":"Husband","given":"R."},{"family":"Fitter","given":"A. H."},{"family":"Young","given":"J. P. W."}],"issued":{"date-parts":[["1998",7,30]]}}},{"id":455,"uris":["http://zotero.org/users/local/d1gJDEOw/items/M8JHJB78"],"uri":["http://zotero.org/users/local/d1gJDEOw/items/M8JHJB78"],"itemData":{"id":455,"type":"article-journal","title":"Ecological intensification and arbuscular mycorrhizas: a meta-analysis of tillage and cover crop effects","container-title":"Journal of Applied Ecology","source":"CrossRef","URL":"http://doi.wiley.com/10.1111/1365-2664.12815","DOI":"10.1111/1365-2664.12815","ISSN":"00218901","shortTitle":"Ecological intensification and arbuscular mycorrhizas","language":"en","author":[{"family":"Bowles","given":"Timothy M."},{"family":"Jackson","given":"Louise E."},{"family":"Loeher","given":"Malina"},{"family":"Cavagnaro","given":"Timothy R."}],"issued":{"date-parts":[["2016",10]]},"accessed":{"date-parts":[["2016",10,27]]}}}],"schema":"https://github.com/citation-style-language/schema/raw/master/csl-citation.json"}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Helgason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1998; Bowles </w:t>
      </w:r>
      <w:r w:rsidR="00954B3D" w:rsidRPr="00954B3D">
        <w:rPr>
          <w:rFonts w:cs="Times New Roman"/>
          <w:i/>
          <w:iCs/>
          <w:szCs w:val="24"/>
        </w:rPr>
        <w:t>et al.</w:t>
      </w:r>
      <w:r w:rsidR="00954B3D" w:rsidRPr="00954B3D">
        <w:rPr>
          <w:rFonts w:cs="Times New Roman"/>
          <w:szCs w:val="24"/>
        </w:rPr>
        <w:t>, 2016)</w:t>
      </w:r>
      <w:r>
        <w:fldChar w:fldCharType="end"/>
      </w:r>
      <w:r>
        <w:t xml:space="preserve"> high application rate of inorganic fertilisers </w:t>
      </w:r>
      <w:r>
        <w:fldChar w:fldCharType="begin"/>
      </w:r>
      <w:r w:rsidR="006B3935">
        <w:instrText xml:space="preserve"> ADDIN ZOTERO_ITEM CSL_CITATION {"citationID":"1b7a1uc5gh","properties":{"formattedCitation":"{\\rtf (Wang {\\i{}et al.}, 2009; Verbruggen {\\i{}et al.}, 2010)}","plainCitation":"(Wang et al., 2009; Verbruggen et al., 2010)"},"citationItems":[{"id":425,"uris":["http://zotero.org/users/local/d1gJDEOw/items/U7HEC2GK"],"uri":["http://zotero.org/users/local/d1gJDEOw/items/U7HEC2GK"],"itemData":{"id":425,"type":"article-journal","title":"Influence of Long-Term Fixed Fertilization on Diversity of Arbuscular Mycorrhizal Fungi","container-title":"Pedosphere","page":"663-672","volume":"19","issue":"5, 1002-0160","source":"www.scholarmate.com","abstract":"Diversity of arbuscular mycorrhizal fungi (AMF) was investigated in a field that had received long-term fixed fertilization (LFF) for 26 years. There were a total of 12 treatments in triplicates with different amounts of manure, urea, calcium phosphate, and potassium chloride. Rhizosphere soil samples of maize and wheat grown in the experimental field in Shandong Province, China, were collected in September 2003 and May 2004, respectively. Arbuscular mycorrhizal fungal spores were isolated and identified using morphological characters. Mycorrhizal colonization percentage, spore density (SD), species richness (SR), relative abundance (RA), and Shannon-Weiner index (SWI) were determined. Nineteen recognized species of AMF belonging to 5 genera were identified. Long-term fixed fertilization significantly influenced colonization percentage, SR, SD, and species diversity of AMF. The adaptability of AMF to soil fertility was different among species. Species richness and SD of AMF in maize and wheat rhizosphere soils were the highest in the nonfertilization treatment (control) and lowest in the high manure + high nitrogen treatment (M2N2). The SWI decreased as the fertilization level increased except in the low manure treatment (M-1) on maize. Compared with the other treatments, Treatment M2N2 significantly reduced SD of Glomus, and the high manure + low nitrogen treatment (M2N1) significantly retarded sporulation of Scutellospora. Manure treatments stimulated sporulation of Glomus mosseae. Spore density of G. mosseae was higher in the high nitrogen + phosphorus + potassium treatment (N2PK) than in the high nitrogen + phosphorus treatment (N2P) and the high nitrogen + potassium treatment (N2K). The SD of S. pellucida was higher in Treatment N2K than Treatments N2PK and N2P. In conclusion, long-term fixed fertilization, especially with high levels of manure and N, decreased SR, SD, and colonization and changed the species composition of AMF.","ISSN":"1002-0160","language":"eng","author":[{"family":"Wang","given":"Miao-Yan"},{"family":"Liang-Bin","given":"Hu"},{"family":"Wei-Hua","given":"Wang"},{"family":"Shu-Tang","given":"Liu"},{"family":"Min","given":"Li"},{"family":"Run-Jin","given":"Liu"},{"family":"Miao-Yan","given":"Wang"},{"family":"Liang-Bin","given":"Hu"},{"family":"Wei-Hua","given":"Wang"},{"family":"Shu-Tang","given":"Liu"},{"family":"Min","given":"Li"},{"family":"Run-Jin","given":"Liu"}],"issued":{"date-parts":[["2009"]]}}},{"id":423,"uris":["http://zotero.org/users/local/d1gJDEOw/items/3ZDFKIAP"],"uri":["http://zotero.org/users/local/d1gJDEOw/items/3ZDFKIAP"],"itemData":{"id":423,"type":"article-journal","title":"Positive effects of organic farming on below-ground mutualists: large-scale comparison of mycorrhizal fungal communities in agricultural soils","container-title":"The New Phytologist","page":"968-979","volume":"186","issue":"4","source":"PubMed","abstract":"*The impact of various agricultural practices on soil biodiversity and, in particular, on arbuscular mycorrhizal fungi (AMF), is still poorly understood, although AMF can provide benefit to plants and ecosystems. Here, we tested whether organic farming enhances AMF diversity and whether AMF communities from organically managed fields are more similar to those of species-rich grasslands or conventionally managed fields. *To address this issue, the AMF community composition was assessed in 26 arable fields (13 pairs of organically and conventionally managed fields) and five semi-natural grasslands, all on sandy soil. Terminal restriction fragment length polymorphism community fingerprinting was used to characterize AMF community composition. *The average number of AMF taxa was highest in grasslands (8.8), intermediate in organically managed fields (6.4) and significantly lower in conventionally managed fields (3.9). Moreover, AMF richness increased significantly with the time since conversion to organic agriculture. AMF communities of organically managed fields were also more similar to those of natural grasslands when compared with those under conventional management, and were less uniform than their conventional counterparts, as expressed by higher beta-diversity (between-site diversity). *We suggest that organic management in agro-ecosystems contributes to the restoration and maintenance of these important below-ground mutualists.","DOI":"10.1111/j.1469-8137.2010.03230.x","ISSN":"1469-8137","note":"PMID: 20345633","shortTitle":"Positive effects of organic farming on below-ground mutualists","journalAbbreviation":"New Phytol.","language":"eng","author":[{"family":"Verbruggen","given":"Erik"},{"family":"Röling","given":"Wilfred F. M."},{"family":"Gamper","given":"Hannes A."},{"family":"Kowalchuk","given":"George A."},{"family":"Verhoef","given":"Herman A."},{"family":"Heijden","given":"Marcel G. A.","non-dropping-particle":"van der"}],"issued":{"date-parts":[["2010",6]]}}}],"schema":"https://github.com/citation-style-language/schema/raw/master/csl-citation.json"} </w:instrText>
      </w:r>
      <w:r>
        <w:fldChar w:fldCharType="separate"/>
      </w:r>
      <w:r w:rsidR="00954B3D" w:rsidRPr="00954B3D">
        <w:rPr>
          <w:rFonts w:cs="Times New Roman"/>
          <w:szCs w:val="24"/>
        </w:rPr>
        <w:t xml:space="preserve">(Wang </w:t>
      </w:r>
      <w:r w:rsidR="00954B3D" w:rsidRPr="00954B3D">
        <w:rPr>
          <w:rFonts w:cs="Times New Roman"/>
          <w:i/>
          <w:iCs/>
          <w:szCs w:val="24"/>
        </w:rPr>
        <w:t>et al.</w:t>
      </w:r>
      <w:r w:rsidR="00954B3D" w:rsidRPr="00954B3D">
        <w:rPr>
          <w:rFonts w:cs="Times New Roman"/>
          <w:szCs w:val="24"/>
        </w:rPr>
        <w:t xml:space="preserve">, 2009; </w:t>
      </w:r>
      <w:proofErr w:type="spellStart"/>
      <w:r w:rsidR="00954B3D" w:rsidRPr="00954B3D">
        <w:rPr>
          <w:rFonts w:cs="Times New Roman"/>
          <w:szCs w:val="24"/>
        </w:rPr>
        <w:t>Verbruggen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2010)</w:t>
      </w:r>
      <w:r>
        <w:fldChar w:fldCharType="end"/>
      </w:r>
      <w:r>
        <w:t>, crop monoculture (</w:t>
      </w:r>
      <w:proofErr w:type="spellStart"/>
      <w:r>
        <w:t>Verbruggen</w:t>
      </w:r>
      <w:proofErr w:type="spellEnd"/>
      <w:r>
        <w:t xml:space="preserve"> &amp; Kiers, 2010)  and periods of fallow </w:t>
      </w:r>
      <w:r>
        <w:fldChar w:fldCharType="begin"/>
      </w:r>
      <w:r w:rsidR="00954B3D">
        <w:instrText xml:space="preserve"> ADDIN ZOTERO_ITEM CSL_CITATION {"citationID":"d97mfksgj","properties":{"formattedCitation":"(Lekberg &amp; Koide, 2005)","plainCitation":"(Lekberg &amp; Koide, 2005)"},"citationItems":[{"id":464,"uris":["http://zotero.org/users/local/d1gJDEOw/items/DRXVCB58"],"uri":["http://zotero.org/users/local/d1gJDEOw/items/DRXVCB58"],"itemData":{"id":464,"type":"article-journal","title":"Is plant performance limited by abundance of arbuscular mycorrhizal fungi? A meta-analysis of studies published between 1988 and 2003","container-title":"The New Phytologist","page":"189-204","volume":"168","issue":"1","source":"PubMed","abstract":"We conducted meta-analyses of 290 published field and glasshouse trials to determine the effects of various agricultural practices on mycorrhizal colonization in nonsterile soils, and the consequence of those effects on yield, biomass, and phosphorus (P) concentration. Mycorrhizal colonization was increased most by inoculation (29% increase), followed by shortened fallow (20%) and reduced soil disturbance (7%). The effect of crop rotation depended on whether the crop was mycorrhizal. Increased colonization resulted in a yield increase in the field of 23% across all management practices. Biomass at harvest and shoot P concentration in early season were increased by inoculation (57 and 33%, respectively) and shortened fallow (55 and 24%). Reduced disturbance increased shoot P concentration by 27%, but biomass was not significantly affected. Biomass was significantly reduced in 2% of all trials in which there was a significant increase in colonization. Irrespective of management practice, an increased mycorrhizal colonization was less likely to increase biomass if either soil P or indigenous inoculum potential was high.","DOI":"10.1111/j.1469-8137.2005.01490.x","ISSN":"0028-646X","note":"PMID: 16159333","shortTitle":"Is plant performance limited by abundance of arbuscular mycorrhizal fungi?","journalAbbreviation":"New Phytol.","language":"ENG","author":[{"family":"Lekberg","given":"Y."},{"family":"Koide","given":"R. T."}],"issued":{"date-parts":[["2005",10]]}}}],"schema":"https://github.com/citation-style-language/schema/raw/master/csl-citation.json"} </w:instrText>
      </w:r>
      <w:r>
        <w:fldChar w:fldCharType="separate"/>
      </w:r>
      <w:r w:rsidR="00954B3D" w:rsidRPr="00954B3D">
        <w:rPr>
          <w:rFonts w:cs="Times New Roman"/>
        </w:rPr>
        <w:t>(Lekberg &amp; Koide, 2005)</w:t>
      </w:r>
      <w:r>
        <w:fldChar w:fldCharType="end"/>
      </w:r>
      <w:r w:rsidR="00861E0B">
        <w:t>.</w:t>
      </w:r>
    </w:p>
    <w:p w:rsidR="00B46350" w:rsidRDefault="00B46350" w:rsidP="00861E0B">
      <w:r>
        <w:t xml:space="preserve">In comparison to arable systems far less is known about the AMF communities of tree based cropping systems despite the important contribution of these systems to agricultural production worldwide </w:t>
      </w:r>
      <w:r>
        <w:fldChar w:fldCharType="begin"/>
      </w:r>
      <w:r w:rsidR="00954B3D">
        <w:instrText xml:space="preserve"> ADDIN ZOTERO_ITEM CSL_CITATION {"citationID":"2pvd132nu8","properties":{"formattedCitation":"{\\rtf (Bainard {\\i{}et al.}, 2011)}","plainCitation":"(Bainard et al., 2011)"},"citationItems":[{"id":420,"uris":["http://zotero.org/users/local/d1gJDEOw/items/5V7SNQ86"],"uri":["http://zotero.org/users/local/d1gJDEOw/items/5V7SNQ86"],"itemData":{"id":420,"type":"article-journal","title":"Arbuscular mycorrhizal fungi in tree-based intercropping systems: A review of their abundance and diversity","container-title":"Pedobiologia","page":"57-61","volume":"54","issue":"2","source":"ScienceDirect","abstract":"Arbuscular mycorrhizal (AM) fungi are important components of agroecosystems as they form symbiotic associations with the majority of agricultural crops. The mycorrhizal association is normally mutualistic and can provide a number of benefits to the host plant including increased nutrient uptake, improved water relations, and protection from pathogens. However, conventional agricultural practices have been shown to have a negative impact on the abundance and diversity of AM fungi. The use of more diverse and sustainable land use practices such as tree-based intercropping can have the potential to reduce the negative impact of agricultural practices on AM fungi. This paper reviews the literature to investigate the effect of temperate and tropical tree-based intercropping systems on the abundance and diversity of AM fungi. Evidence from these studies suggests that tree-based intercropping systems support a more abundant and diverse AM fungal community compared to conventionally managed systems. However, there are studies that observed zero or negative significant effects on the AM fungal community as a result of incorporating trees into agricultural systems. The variable effect of tree-based intercropping systems on AM fungi observed may be a function of the different cultivation techniques, climatic variation, or diverse tree–crop combinations used within the different tree-based intercropping systems. To further our understanding of AM fungal dynamics in tree-based intercropping systems, future research should focus on the influence of tree species with varying mycorrhizal associations and the functional role of common mycelial networks in these systems, while utilizing applicable molecular techniques.","DOI":"10.1016/j.pedobi.2010.11.001","ISSN":"0031-4056","shortTitle":"Arbuscular mycorrhizal fungi in tree-based intercropping systems","journalAbbreviation":"Pedobiologia","author":[{"family":"Bainard","given":"Luke D."},{"family":"Klironomos","given":"John N."},{"family":"Gordon","given":"Andrew M."}],"issued":{"date-parts":[["2011",3,10]]}}}],"schema":"https://github.com/citation-style-language/schema/raw/master/csl-citation.json"}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Bainard</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2011)</w:t>
      </w:r>
      <w:r>
        <w:fldChar w:fldCharType="end"/>
      </w:r>
      <w:r>
        <w:t>.</w:t>
      </w:r>
      <w:r w:rsidRPr="000608C2">
        <w:t xml:space="preserve"> </w:t>
      </w:r>
      <w:r>
        <w:t xml:space="preserve">Apples are the fourth most widely grown fruit crop with orchards utilising over 4.7 million hectares worldwide for apple production (FAO, 2012) and are known to be both responsive to AMF </w:t>
      </w:r>
      <w:r>
        <w:fldChar w:fldCharType="begin"/>
      </w:r>
      <w:r w:rsidR="00954B3D">
        <w:instrText xml:space="preserve"> ADDIN ZOTERO_ITEM CSL_CITATION {"citationID":"ZBSlO0IR","properties":{"formattedCitation":"{\\rtf (Miller {\\i{}et al.}, 1985b; Matsubara {\\i{}et al.}, 1996)}","plainCitation":"(Miller et al., 1985b; Matsubara et al., 1996)"},"citationItems":[{"id":199,"uris":["http://zotero.org/users/local/d1gJDEOw/items/SFEITGDV"],"uri":["http://zotero.org/users/local/d1gJDEOw/items/SFEITGDV"],"itemData":{"id":199,"type":"article-journal","title":"Colonization and Efficacy of Different Endomycorrhizal Fungi with Apple Seedlings at 2-Phosphorus Levels","container-title":"New Phytologist","page":"393-402","volume":"100","issue":"3","source":"Web of Science","DOI":"10.1111/j.1469-8137.1985.tb02788.x","ISSN":"0028-646X","note":"WOS:A1985AND4800011","journalAbbreviation":"New Phytol.","language":"English","author":[{"family":"Miller","given":"Dd"},{"family":"Domoto","given":"Pa"},{"family":"Walker","given":"C."}],"issued":{"date-parts":[["1985"]]}}},{"id":184,"uris":["http://zotero.org/users/local/d1gJDEOw/items/8JWXI5WT"],"uri":["http://zotero.org/users/local/d1gJDEOw/items/8JWXI5WT"],"itemData":{"id":184,"type":"article-journal","title":"Effect of arbuscular Mycorrhizal fungus inoculation on growth of apple (Malus ssp) seedlings","container-title":"Journal of the Japanese Society for Horticultural Science","page":"297-302","volume":"65","issue":"2","source":"Web of Science","abstract":"The means of enhancing the growth of seedlings of apples, Malus pumila Mill. var. domestica Schneid. (cv. McIntosh, American Summer Pearmain, Jonathan, Golden Delicious, Starking Delicious, Fuji, Mutsu and Red Gold) and Malus sieboldii Rehd., through inoculation of arbuscular mycorrhizal (AM) fungus [Glomus etunicatum (GE) and Gigaspora margarila (GM)] were investigated. Eight weeks after inoculation, AM fungus infection occurred in all combinations of apple cultivars and fungus species. The rate of AM fungus-infected portions in a whole root system were: 31.7% in 'Golden Delicious', 50.5% in 'Jonathan' in GE-inoculated plants, and 24.0% for Malus sieboldii Rehd., and 50.7% in 'Starking Delicious' in GM-inoculated ones. Plant height and dry weights of top and roots were greater in all GE-infected seedlings than in noninoculated ones. The GM-infected seedlings made larger height and weight increments than did the noninoculated ones in all seedlings except those of 'Golden Delicious' and Malus sieboldii Rehd.. In 'McIntosh' seedlings, plant growth enhancement through symbiosis clearly appeared associated with both fungi. With both fungal species, P concentrations in the top or roots were higher in infected plants than in noninoculated plants; the effect appeared more noticeably in roots than in top. Consequently, it was confirmed that GE and GM infections and their plant growth enhancement through symbiosis occurred with the seedling stage in several apple cultivars.","ISSN":"1882-3351","note":"WOS:A1996VG48900009","journalAbbreviation":"J. Jpn. Soc. Hortic. Sci.","language":"English","author":[{"family":"Matsubara","given":"Y."},{"family":"Karikomi","given":"T."},{"family":"Ikuta","given":"M."},{"family":"Hori","given":"H."},{"family":"Ishikawa","given":"S."},{"family":"Harada","given":"T."}],"issued":{"date-parts":[["1996",9]]}}}],"schema":"https://github.com/citation-style-language/schema/raw/master/csl-citation.json"} </w:instrText>
      </w:r>
      <w:r>
        <w:fldChar w:fldCharType="separate"/>
      </w:r>
      <w:r w:rsidR="00954B3D" w:rsidRPr="00954B3D">
        <w:rPr>
          <w:rFonts w:cs="Times New Roman"/>
          <w:szCs w:val="24"/>
        </w:rPr>
        <w:t xml:space="preserve">(Miller </w:t>
      </w:r>
      <w:r w:rsidR="00954B3D" w:rsidRPr="00954B3D">
        <w:rPr>
          <w:rFonts w:cs="Times New Roman"/>
          <w:i/>
          <w:iCs/>
          <w:szCs w:val="24"/>
        </w:rPr>
        <w:t>et al.</w:t>
      </w:r>
      <w:r w:rsidR="00954B3D" w:rsidRPr="00954B3D">
        <w:rPr>
          <w:rFonts w:cs="Times New Roman"/>
          <w:szCs w:val="24"/>
        </w:rPr>
        <w:t xml:space="preserve">, 1985b; Matsubara </w:t>
      </w:r>
      <w:r w:rsidR="00954B3D" w:rsidRPr="00954B3D">
        <w:rPr>
          <w:rFonts w:cs="Times New Roman"/>
          <w:i/>
          <w:iCs/>
          <w:szCs w:val="24"/>
        </w:rPr>
        <w:t>et al.</w:t>
      </w:r>
      <w:r w:rsidR="00954B3D" w:rsidRPr="00954B3D">
        <w:rPr>
          <w:rFonts w:cs="Times New Roman"/>
          <w:szCs w:val="24"/>
        </w:rPr>
        <w:t>, 1996)</w:t>
      </w:r>
      <w:r>
        <w:fldChar w:fldCharType="end"/>
      </w:r>
      <w:r>
        <w:t xml:space="preserve"> and able to host relatively high diversity of AMF </w:t>
      </w:r>
      <w:r>
        <w:fldChar w:fldCharType="begin"/>
      </w:r>
      <w:r w:rsidR="00954B3D">
        <w:instrText xml:space="preserve"> ADDIN ZOTERO_ITEM CSL_CITATION {"citationID":"1tqs7dep0g","properties":{"formattedCitation":"{\\rtf (Cavallazzi, J.P.R {\\i{}et al.}, 2007)}","plainCitation":"(Cavallazzi, J.P.R et al., 2007)"},"citationItems":[{"id":42,"uris":["http://zotero.org/users/local/d1gJDEOw/items/WBBBMA9K"],"uri":["http://zotero.org/users/local/d1gJDEOw/items/WBBBMA9K"],"itemData":{"id":42,"type":"article-journal","title":"Screening and selecting arbuscular mycorrhizal fungi for inoculating micropropagated apple rootstocks in acid soils","container-title":"Plant Cell Tissue and Organ Culture","page":"117-129","volume":"90","author":[{"literal":"Cavallazzi, J.P.R"},{"literal":"Filho OK"},{"literal":"Stürmer SL"},{"literal":"Rygiewicz P"},{"literal":"Mendonça NM"}],"issued":{"date-parts":[["2007"]]}}}],"schema":"https://github.com/citation-style-language/schema/raw/master/csl-citation.json"}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Cavallazzi</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2007)</w:t>
      </w:r>
      <w:r>
        <w:fldChar w:fldCharType="end"/>
      </w:r>
      <w:r>
        <w:t xml:space="preserve">. Despite this little is known about the diversity or community structure of AMF within apple orchards. In comparison to arable systems, orchards may be more favourable environments for supporting diverse AMF communities </w:t>
      </w:r>
      <w:r>
        <w:fldChar w:fldCharType="begin"/>
      </w:r>
      <w:r w:rsidR="00954B3D">
        <w:instrText xml:space="preserve"> ADDIN ZOTERO_ITEM CSL_CITATION {"citationID":"2fgdb8rebt","properties":{"formattedCitation":"{\\rtf (Bainard {\\i{}et al.}, 2011)}","plainCitation":"(Bainard et al., 2011)"},"citationItems":[{"id":420,"uris":["http://zotero.org/users/local/d1gJDEOw/items/5V7SNQ86"],"uri":["http://zotero.org/users/local/d1gJDEOw/items/5V7SNQ86"],"itemData":{"id":420,"type":"article-journal","title":"Arbuscular mycorrhizal fungi in tree-based intercropping systems: A review of their abundance and diversity","container-title":"Pedobiologia","page":"57-61","volume":"54","issue":"2","source":"ScienceDirect","abstract":"Arbuscular mycorrhizal (AM) fungi are important components of agroecosystems as they form symbiotic associations with the majority of agricultural crops. The mycorrhizal association is normally mutualistic and can provide a number of benefits to the host plant including increased nutrient uptake, improved water relations, and protection from pathogens. However, conventional agricultural practices have been shown to have a negative impact on the abundance and diversity of AM fungi. The use of more diverse and sustainable land use practices such as tree-based intercropping can have the potential to reduce the negative impact of agricultural practices on AM fungi. This paper reviews the literature to investigate the effect of temperate and tropical tree-based intercropping systems on the abundance and diversity of AM fungi. Evidence from these studies suggests that tree-based intercropping systems support a more abundant and diverse AM fungal community compared to conventionally managed systems. However, there are studies that observed zero or negative significant effects on the AM fungal community as a result of incorporating trees into agricultural systems. The variable effect of tree-based intercropping systems on AM fungi observed may be a function of the different cultivation techniques, climatic variation, or diverse tree–crop combinations used within the different tree-based intercropping systems. To further our understanding of AM fungal dynamics in tree-based intercropping systems, future research should focus on the influence of tree species with varying mycorrhizal associations and the functional role of common mycelial networks in these systems, while utilizing applicable molecular techniques.","DOI":"10.1016/j.pedobi.2010.11.001","ISSN":"0031-4056","shortTitle":"Arbuscular mycorrhizal fungi in tree-based intercropping systems","journalAbbreviation":"Pedobiologia","author":[{"family":"Bainard","given":"Luke D."},{"family":"Klironomos","given":"John N."},{"family":"Gordon","given":"Andrew M."}],"issued":{"date-parts":[["2011",3,10]]}}}],"schema":"https://github.com/citation-style-language/schema/raw/master/csl-citation.json"}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Bainard</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2011)</w:t>
      </w:r>
      <w:r>
        <w:fldChar w:fldCharType="end"/>
      </w:r>
      <w:r>
        <w:t xml:space="preserve"> as due to the perennial nature of tree crops, orchards have a lower level of soil disturbance and greater diversity and cover of vegetation.  Fertiliser application rates vary across orchard management types (</w:t>
      </w:r>
      <w:r>
        <w:fldChar w:fldCharType="begin"/>
      </w:r>
      <w:r>
        <w:instrText xml:space="preserve"> REF _Ref465333127 \h </w:instrText>
      </w:r>
      <w:r w:rsidR="00861E0B">
        <w:instrText xml:space="preserve"> \* MERGEFORMAT </w:instrText>
      </w:r>
      <w:r>
        <w:fldChar w:fldCharType="separate"/>
      </w:r>
      <w:r w:rsidR="00E0714D" w:rsidRPr="00F00459">
        <w:rPr>
          <w:sz w:val="20"/>
          <w:szCs w:val="20"/>
        </w:rPr>
        <w:t xml:space="preserve">Table </w:t>
      </w:r>
      <w:r w:rsidR="00E0714D" w:rsidRPr="00F00459">
        <w:rPr>
          <w:noProof/>
          <w:sz w:val="20"/>
          <w:szCs w:val="20"/>
        </w:rPr>
        <w:t>3.1</w:t>
      </w:r>
      <w:r>
        <w:fldChar w:fldCharType="end"/>
      </w:r>
      <w:r>
        <w:t xml:space="preserve">) and are likely to result in differences in AMF communities between orchard management types </w:t>
      </w:r>
      <w:r>
        <w:fldChar w:fldCharType="begin"/>
      </w:r>
      <w:r w:rsidR="00B15DDB">
        <w:instrText xml:space="preserve"> ADDIN ZOTERO_ITEM CSL_CITATION {"citationID":"HbKxkspT","properties":{"formattedCitation":"{\\rtf (Geel {\\i{}et al.}, 2016)}","plainCitation":"(Geel et al., 2016)","dontUpdate":true},"citationItems":[{"id":39,"uris":["http://zotero.org/users/local/d1gJDEOw/items/P7VUPPJG"],"uri":["http://zotero.org/users/local/d1gJDEOw/items/P7VUPPJG"],"itemData":{"id":39,"type":"article-journal","title":"Application of slow-release phosphorus fertilizers increases arbuscular mycorrhizal fungal diversity in the roots of apple trees","container-title":"Plant and Soil","page":"291-301","volume":"402","issue":"1-2","source":"link.springer.com","abstract":"Aims Arbuscular mycorrhizal fungi (AMF) play a key role in the functioning of agricultural ecosystems. Therefore, understanding how the application of fertilizers, a common management practice, affects AMF communities is of major importance. Here we aimed to: (i) experimentally test whether different amounts and forms of phosphorus (P) fertilizer affect AMF diversity and community composition associated with the roots of apple trees (Malus domestica); (ii) identify differences in tolerance to P fertilization between AMF taxa. Methods We used 454-pyrosequencing of the small subunit rRNA gene amplicons to quantify AMF diversity and community composition in root samples obtained from a three year field experiment, with two inorganic, three slow-release P fertilization and one control treatment. Results The slow-release fertilizer treatments showed significantly higher AMF richness and differed in community composition compared to the inorganic fertilizer treatments. The distribution of AMF OTUs showed a significantly nested pattern. Additionally, AMF communities in the inorganic fertilizer treatments were a subset of the communities in the slow-release fertilizer treatments. Conclusions We demonstrate that application of slow-release fertilizers promoted AMF diversity in the roots of cultivated apple trees in comparison to the other treatments. The application of inorganic fertilizers elevated levels of plant-available P in the soil and selected only a small subset of abundant AMF, resulting in a lower AMF diversity. This may result in AMF communities dominated by inferior AMF mutualists.","DOI":"10.1007/s11104-015-2777-x","ISSN":"0032-079X, 1573-5036","journalAbbreviation":"Plant Soil","language":"en","author":[{"family":"Geel","given":"Maarten","non-dropping-particle":"van"},{"family":"Beenhouwer","given":"Matthias De"},{"family":"Ceulemans","given":"Tobias"},{"family":"Caes","given":"Kenny"},{"family":"Ceustermans","given":"An"},{"family":"Bylemans","given":"Dany"},{"family":"Gomand","given":"Ann"},{"family":"Lievens","given":"Bart"},{"family":"Honnay","given":"Olivier"}],"issued":{"date-parts":[["2016",1,16]]}}}],"schema":"https://github.com/citation-style-language/schema/raw/master/csl-citation.json"} </w:instrText>
      </w:r>
      <w:r>
        <w:fldChar w:fldCharType="separate"/>
      </w:r>
      <w:r w:rsidRPr="00796DE1">
        <w:rPr>
          <w:szCs w:val="24"/>
        </w:rPr>
        <w:t>(</w:t>
      </w:r>
      <w:r>
        <w:rPr>
          <w:szCs w:val="24"/>
        </w:rPr>
        <w:t xml:space="preserve">van </w:t>
      </w:r>
      <w:proofErr w:type="spellStart"/>
      <w:r w:rsidRPr="00796DE1">
        <w:rPr>
          <w:szCs w:val="24"/>
        </w:rPr>
        <w:t>Geel</w:t>
      </w:r>
      <w:proofErr w:type="spellEnd"/>
      <w:r w:rsidRPr="00796DE1">
        <w:rPr>
          <w:szCs w:val="24"/>
        </w:rPr>
        <w:t xml:space="preserve"> </w:t>
      </w:r>
      <w:r w:rsidRPr="00796DE1">
        <w:rPr>
          <w:i/>
          <w:iCs/>
          <w:szCs w:val="24"/>
        </w:rPr>
        <w:t>et al.</w:t>
      </w:r>
      <w:r w:rsidRPr="00796DE1">
        <w:rPr>
          <w:szCs w:val="24"/>
        </w:rPr>
        <w:t>, 2016)</w:t>
      </w:r>
      <w:r>
        <w:fldChar w:fldCharType="end"/>
      </w:r>
      <w:r>
        <w:t>.</w:t>
      </w:r>
    </w:p>
    <w:p w:rsidR="00B46350" w:rsidRDefault="00B46350" w:rsidP="00861E0B">
      <w:r>
        <w:t xml:space="preserve">Understanding the ability of orchards to maintain a functionally diverse AMF community  is important as functional differentiation between AMF taxa has been reported to result in taxa specific differences in functions such as plant biomass production </w:t>
      </w:r>
      <w:r>
        <w:fldChar w:fldCharType="begin"/>
      </w:r>
      <w:r w:rsidR="00954B3D">
        <w:instrText xml:space="preserve"> ADDIN ZOTERO_ITEM CSL_CITATION {"citationID":"yIDBS9al","properties":{"formattedCitation":"{\\rtf (van der Heijden {\\i{}et al.}, 1998; Hart &amp; Reader, 2002; Uibopuu {\\i{}et al.}, 2012; K\\uc0\\u246{}hl &amp; van der Heijden, 2016)}","plainCitation":"(van der Heijden et al., 1998; Hart &amp; Reader, 2002; Uibopuu et al., 2012; Köhl &amp; van der Heijden, 2016)"},"citationItems":[{"id":572,"uris":["http://zotero.org/users/local/d1gJDEOw/items/AF7B2VZ2"],"uri":["http://zotero.org/users/local/d1gJDEOw/items/AF7B2VZ2"],"itemData":{"id":572,"type":"article-journal","title":"Mycorrhizal fungal diversity determines plant biodiversity, ecosystem variability and productivity","container-title":"Nature","page":"69-72","volume":"396","issue":"6706","source":"Web of Science","abstract":"The functioning and stability of terrestrial ecosystems are determined by plant biodiversity and species composition(1-5). However. the ecological mechanisms by which plant biodiversity and species composition are regulated and maintained are not well understood. These mechanisms need to be identified to ensure successful management for conservation and restoration of diverse natural ecosystems. Here we show,by using two-independent, but complementary, ecological experiments, that below-ground diversity of arbuscular mycorrhizal fungi (AMF) is a major factor contributing to the maintenance of plant biodiversity and to ecosystem functioning. At low AMF diversity, the plant species composition and overall structure of microcosms that simulate European calcareous grassland fluctuate greatly when the AMF taxa that are present are changed. Plant biodiversity, nutrient capture and productivity in macrocosms that simulate North American old-fields increase significantly with increasing AMF-species richness. These results emphasize the need to protect AMF and to consider these fungi in future management practices in order to maintain diverse ecosystems. Our results also show that microbial interactions can drive ecosystem functions such as plant biodiversity, productivity and variability.","ISSN":"0028-0836","note":"WOS:000076852700054","journalAbbreviation":"Nature","language":"English","author":[{"family":"Heijden","given":"M. G. A.","non-dropping-particle":"van der"},{"family":"Klironomos","given":"J. N."},{"family":"Ursic","given":"M."},{"family":"Moutoglis","given":"P."},{"family":"Streitwolf-Engel","given":"R."},{"family":"Boller","given":"T."},{"family":"Wiemken","given":"A."},{"family":"Sanders","given":"I. R."}],"issued":{"date-parts":[["1998",11,5]]}}},{"id":388,"uris":["http://zotero.org/users/local/d1gJDEOw/items/FTCNN6QR"],"uri":["http://zotero.org/users/local/d1gJDEOw/items/FTCNN6QR"],"itemData":{"id":388,"type":"article-journal","title":"Host plant benefit from association with arbuscular mycorrhizal fungi: variation due to differences in size of mycelium","container-title":"Biology and Fertility of Soils","page":"357-366","volume":"36","issue":"5","source":"CrossRef","DOI":"10.1007/s00374-002-0539-4","ISSN":"0178-2762, 1432-0789","shortTitle":"Host plant benefit from association with arbuscular mycorrhizal fungi","author":[{"family":"Hart","given":"Miranda"},{"family":"Reader","given":"Richard"}],"issued":{"date-parts":[["2002",11,1]]}}},{"id":350,"uris":["http://zotero.org/users/local/d1gJDEOw/items/MS3RJCAS"],"uri":["http://zotero.org/users/local/d1gJDEOw/items/MS3RJCAS"],"itemData":{"id":350,"type":"article-journal","title":"Temperate forest understorey species performance is altered by local arbuscular mycorrhizal fungal communities from stands of different successional stages","container-title":"Plant and Soil","page":"331-339","volume":"356","issue":"1-2","source":"link.springer.com","abstract":"Background and AimsArbuscular mycorrhizal (AM) fungal communities in plant roots vary in space and time. However, the effect of different fungal communities on plant performance and growth is poorly understood.MethodsWe test the effect of two AM fungal communities originating from successionally young and old forest stands on eight forest plant species.ResultsTwo plant species (Geranium pratense, Prunella vulgaris) showed greater positive mycorrhizal growth response to old forest than to young forest inoculum. Hypericum maculatum showed higher positive growth response to old forest inoculum with respect to shoot biomass and Veronica chamaedrys with respect to root biomass. Fragaria vesca, Plantago lanceolata and Primula veris showed no difference in response to old and young forest inoculum, Solidago virgaurea grew better with young forest inoculum. The naturally growing plant individuals of G. pratense and P. vulgaris were also significantly larger in old stands.ConclusionsThe effect of AM fungal communities from differently managed forests resulted in different growth of forest plant species; the old growth inoculum exhibited in general a more positive effect than inoculum from young forest. Because land use affects the composition of AM fungal communities, the response of plant communities to forest management intensity may be mediated by mycorrhizal interactions.","DOI":"10.1007/s11104-011-1116-0","ISSN":"0032-079X, 1573-5036","journalAbbreviation":"Plant Soil","language":"en","author":[{"family":"Uibopuu","given":"Annika"},{"family":"Moora","given":"Mari"},{"family":"Öpik","given":"Maarja"},{"family":"Zobel","given":"Martin"}],"issued":{"date-parts":[["2012",1,21]]}}},{"id":153,"uris":["http://zotero.org/users/local/d1gJDEOw/items/VIC8EJGD"],"uri":["http://zotero.org/users/local/d1gJDEOw/items/VIC8EJGD"],"itemData":{"id":153,"type":"article-journal","title":"Arbuscular mycorrhizal fungal species differ in their effect on nutrient leaching","container-title":"Soil Biology and Biochemistry","page":"191-199","volume":"94","source":"ScienceDirect","abstract":"Arbuscular mycorrhizal (AM) fungi have been shown to play a crucial role in nutrient cycling and can reduce nutrient losses after rain induced leaching events. It is still unclear whether nutrient leaching losses vary depending on the AM fungal taxa that are present in soil. Using experimental microcosms with one of two different host plants (the grass Lolium multiflorum, or the legume Trifolium pratense) and inoculated with one of three different AM fungal species (Claroideoglomus claroideum, Rhizoglomus irregulare, and Funneliformis mosseae), we tested whether AM fungal species vary in their effects on nutrient leaching and plant productivity.\n\nAM fungi reduced nitrogen leaching, and the effects varied depending on host plant species and the identity of the AM fungal species present in soil. The reduction of nitrogen leaching losses was strongest in microcosms planted with Trifolium. The effects of AM fungi on phosphorus leaching losses were relatively small, and in most cases not significant, although a significant negative correlation between root colonization and phosphate leaching was observed in microcosms planted with Lolium. AM fungi enhanced plant P uptake for both plant species, and different AM fungi varied in their effects on plant biomass and nutrient acquisition.\n\nOur results demonstrate, for the first time, that AM fungal species differ in their effect on nutrient leaching. This indicates that agricultural practices that alter AM fungal communities also indirectly change nutrient cycling and nutrient leaching losses.","DOI":"10.1016/j.soilbio.2015.11.019","ISSN":"0038-0717","journalAbbreviation":"Soil Biology and Biochemistry","author":[{"family":"Köhl","given":"Luise"},{"family":"Heijden","given":"Marcel G. A.","non-dropping-particle":"van der"}],"issued":{"date-parts":[["2016",3]]}}}],"schema":"https://github.com/citation-style-language/schema/raw/master/csl-citation.json"} </w:instrText>
      </w:r>
      <w:r>
        <w:fldChar w:fldCharType="separate"/>
      </w:r>
      <w:r w:rsidR="00954B3D" w:rsidRPr="00954B3D">
        <w:rPr>
          <w:rFonts w:cs="Times New Roman"/>
          <w:szCs w:val="24"/>
        </w:rPr>
        <w:t xml:space="preserve">(van der </w:t>
      </w:r>
      <w:proofErr w:type="spellStart"/>
      <w:r w:rsidR="00954B3D" w:rsidRPr="00954B3D">
        <w:rPr>
          <w:rFonts w:cs="Times New Roman"/>
          <w:szCs w:val="24"/>
        </w:rPr>
        <w:t>Heijden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1998; Hart &amp; Reader, 2002; </w:t>
      </w:r>
      <w:proofErr w:type="spellStart"/>
      <w:r w:rsidR="00954B3D" w:rsidRPr="00954B3D">
        <w:rPr>
          <w:rFonts w:cs="Times New Roman"/>
          <w:szCs w:val="24"/>
        </w:rPr>
        <w:t>Uibopuu</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2012; </w:t>
      </w:r>
      <w:proofErr w:type="spellStart"/>
      <w:r w:rsidR="00954B3D" w:rsidRPr="00954B3D">
        <w:rPr>
          <w:rFonts w:cs="Times New Roman"/>
          <w:szCs w:val="24"/>
        </w:rPr>
        <w:t>Köhl</w:t>
      </w:r>
      <w:proofErr w:type="spellEnd"/>
      <w:r w:rsidR="00954B3D" w:rsidRPr="00954B3D">
        <w:rPr>
          <w:rFonts w:cs="Times New Roman"/>
          <w:szCs w:val="24"/>
        </w:rPr>
        <w:t xml:space="preserve"> &amp; van der </w:t>
      </w:r>
      <w:proofErr w:type="spellStart"/>
      <w:r w:rsidR="00954B3D" w:rsidRPr="00954B3D">
        <w:rPr>
          <w:rFonts w:cs="Times New Roman"/>
          <w:szCs w:val="24"/>
        </w:rPr>
        <w:t>Heijden</w:t>
      </w:r>
      <w:proofErr w:type="spellEnd"/>
      <w:r w:rsidR="00954B3D" w:rsidRPr="00954B3D">
        <w:rPr>
          <w:rFonts w:cs="Times New Roman"/>
          <w:szCs w:val="24"/>
        </w:rPr>
        <w:t>, 2016)</w:t>
      </w:r>
      <w:r>
        <w:fldChar w:fldCharType="end"/>
      </w:r>
      <w:r>
        <w:t xml:space="preserve">,  plant nutrient uptake </w:t>
      </w:r>
      <w:r>
        <w:fldChar w:fldCharType="begin"/>
      </w:r>
      <w:r w:rsidR="00954B3D">
        <w:instrText xml:space="preserve"> ADDIN ZOTERO_ITEM CSL_CITATION {"citationID":"cfXgLv05","properties":{"formattedCitation":"{\\rtf (Jansa {\\i{}et al.}, 2005; Kohl {\\i{}et al.}, 2014)}","plainCitation":"(Jansa et al., 2005; Kohl et al., 2014)"},"citationItems":[{"id":384,"uris":["http://zotero.org/users/local/d1gJDEOw/items/N2FNNHER"],"uri":["http://zotero.org/users/local/d1gJDEOw/items/N2FNNHER"],"itemData":{"id":384,"type":"article-journal","title":"Phosphorus Acquisition Strategies within Arbuscular Mycorrhizal Fungal Community of a Single Field Site","container-title":"Plant and Soil","page":"163-176","volume":"276","issue":"1-2","source":"CrossRef","DOI":"10.1007/s11104-005-4274-0","ISSN":"0032-079X, 1573-5036","language":"en","author":[{"family":"Jansa","given":"Jan"},{"family":"Mozafar","given":"Ahmad"},{"family":"Frossard","given":"Emmanuel"}],"issued":{"date-parts":[["2005",10]]}}},{"id":568,"uris":["http://zotero.org/users/local/d1gJDEOw/items/GV6R7PCI"],"uri":["http://zotero.org/users/local/d1gJDEOw/items/GV6R7PCI"],"itemData":{"id":568,"type":"article-journal","title":"Agricultural practices indirectly influence plant productivity and ecosystem services through effects on soil biota","container-title":"Ecological Applications","page":"1842-1853","volume":"24","issue":"7","source":"Web of Science","abstract":"It is well established that agricultural practices alter the composition and diversity of soil microbial communities. However, the impact of changing soil microbial communities on the functioning of the agroecosystems is still poorly understood. Earlier work showed that soil tillage drastically altered microbial community composition. Here we tested, using an experimental grassland (Lolium, Trifolium, Plantago) as a model system, whether soil microbial communities from conventionally tilled (CT) and non-tilled (NT) soils have different influences on plant productivity and nutrient acquisition. We specifically focus on arbuscular mycorrhizal fungi (AMF), as they are a group of beneficial soil fungi that can promote plant productivity and ecosystem functioning and are also strongly affected by tillage management. Soil microbial communities from CT and NT soils varied greatly in their effects on the grassland communities. Communities from CT soil increased overall biomass production more than soil communities from NT soil. This effect was mainly due to a significant growth promotion of Trifolium by CT microorganisms. In contrast to CT soil inoculum, NT soil inoculum increased plant phosphorus concentration and total plant P content, demonstrating that the soil microbial communities from NT fields enhance P uptake. Differences in AM fungal community composition resulting, for instance, in twofold greater hyphal length in NT soil communities when compared to CT, are the most likely explanation for the different plant responses to CT and NT soil inocula. A range of field studies have shown that plant P uptake increases when farmers change to conservation tillage or direct seeding. Our results indicate that this enhanced P uptake results from enhanced hyphal length and an altered AM fungal community. Our results further demonstrate that agricultural management practices indirectly influence ecosystem services and plant community structure through effects on soil biota.","ISSN":"1051-0761","note":"WOS:000342859800021","journalAbbreviation":"Ecol. Appl.","language":"English","author":[{"family":"Kohl","given":"Luise"},{"family":"Oehl","given":"Fritz"},{"family":"Heijden","given":"Marcel G. A.","non-dropping-particle":"van der"}],"issued":{"date-parts":[["2014",10]]}}}],"schema":"https://github.com/citation-style-language/schema/raw/master/csl-citation.json"}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Jansa</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2005; Kohl </w:t>
      </w:r>
      <w:r w:rsidR="00954B3D" w:rsidRPr="00954B3D">
        <w:rPr>
          <w:rFonts w:cs="Times New Roman"/>
          <w:i/>
          <w:iCs/>
          <w:szCs w:val="24"/>
        </w:rPr>
        <w:t>et al.</w:t>
      </w:r>
      <w:r w:rsidR="00954B3D" w:rsidRPr="00954B3D">
        <w:rPr>
          <w:rFonts w:cs="Times New Roman"/>
          <w:szCs w:val="24"/>
        </w:rPr>
        <w:t>, 2014)</w:t>
      </w:r>
      <w:r>
        <w:fldChar w:fldCharType="end"/>
      </w:r>
      <w:r>
        <w:t xml:space="preserve">, nutrient leaching  </w:t>
      </w:r>
      <w:r>
        <w:fldChar w:fldCharType="begin"/>
      </w:r>
      <w:r w:rsidR="00954B3D">
        <w:instrText xml:space="preserve"> ADDIN ZOTERO_ITEM CSL_CITATION {"citationID":"6g9g99sni","properties":{"formattedCitation":"{\\rtf (K\\uc0\\u246{}hl &amp; van der Heijden, 2016)}","plainCitation":"(Köhl &amp; van der Heijden, 2016)"},"citationItems":[{"id":153,"uris":["http://zotero.org/users/local/d1gJDEOw/items/VIC8EJGD"],"uri":["http://zotero.org/users/local/d1gJDEOw/items/VIC8EJGD"],"itemData":{"id":153,"type":"article-journal","title":"Arbuscular mycorrhizal fungal species differ in their effect on nutrient leaching","container-title":"Soil Biology and Biochemistry","page":"191-199","volume":"94","source":"ScienceDirect","abstract":"Arbuscular mycorrhizal (AM) fungi have been shown to play a crucial role in nutrient cycling and can reduce nutrient losses after rain induced leaching events. It is still unclear whether nutrient leaching losses vary depending on the AM fungal taxa that are present in soil. Using experimental microcosms with one of two different host plants (the grass Lolium multiflorum, or the legume Trifolium pratense) and inoculated with one of three different AM fungal species (Claroideoglomus claroideum, Rhizoglomus irregulare, and Funneliformis mosseae), we tested whether AM fungal species vary in their effects on nutrient leaching and plant productivity.\n\nAM fungi reduced nitrogen leaching, and the effects varied depending on host plant species and the identity of the AM fungal species present in soil. The reduction of nitrogen leaching losses was strongest in microcosms planted with Trifolium. The effects of AM fungi on phosphorus leaching losses were relatively small, and in most cases not significant, although a significant negative correlation between root colonization and phosphate leaching was observed in microcosms planted with Lolium. AM fungi enhanced plant P uptake for both plant species, and different AM fungi varied in their effects on plant biomass and nutrient acquisition.\n\nOur results demonstrate, for the first time, that AM fungal species differ in their effect on nutrient leaching. This indicates that agricultural practices that alter AM fungal communities also indirectly change nutrient cycling and nutrient leaching losses.","DOI":"10.1016/j.soilbio.2015.11.019","ISSN":"0038-0717","journalAbbreviation":"Soil Biology and Biochemistry","author":[{"family":"Köhl","given":"Luise"},{"family":"Heijden","given":"Marcel G. A.","non-dropping-particle":"van der"}],"issued":{"date-parts":[["2016",3]]}}}],"schema":"https://github.com/citation-style-language/schema/raw/master/csl-citation.json"}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Köhl</w:t>
      </w:r>
      <w:proofErr w:type="spellEnd"/>
      <w:r w:rsidR="00954B3D" w:rsidRPr="00954B3D">
        <w:rPr>
          <w:rFonts w:cs="Times New Roman"/>
          <w:szCs w:val="24"/>
        </w:rPr>
        <w:t xml:space="preserve"> &amp; van der </w:t>
      </w:r>
      <w:proofErr w:type="spellStart"/>
      <w:r w:rsidR="00954B3D" w:rsidRPr="00954B3D">
        <w:rPr>
          <w:rFonts w:cs="Times New Roman"/>
          <w:szCs w:val="24"/>
        </w:rPr>
        <w:t>Heijden</w:t>
      </w:r>
      <w:proofErr w:type="spellEnd"/>
      <w:r w:rsidR="00954B3D" w:rsidRPr="00954B3D">
        <w:rPr>
          <w:rFonts w:cs="Times New Roman"/>
          <w:szCs w:val="24"/>
        </w:rPr>
        <w:t>, 2016)</w:t>
      </w:r>
      <w:r>
        <w:fldChar w:fldCharType="end"/>
      </w:r>
      <w:r>
        <w:t xml:space="preserve"> and soil </w:t>
      </w:r>
      <w:proofErr w:type="spellStart"/>
      <w:r>
        <w:t>glomalin</w:t>
      </w:r>
      <w:proofErr w:type="spellEnd"/>
      <w:r>
        <w:t xml:space="preserve"> concentration and aggregate stability </w:t>
      </w:r>
      <w:r>
        <w:fldChar w:fldCharType="begin"/>
      </w:r>
      <w:r w:rsidR="00954B3D">
        <w:instrText xml:space="preserve"> ADDIN ZOTERO_ITEM CSL_CITATION {"citationID":"2g14u6o42k","properties":{"formattedCitation":"{\\rtf (Bedini {\\i{}et al.}, 2009)}","plainCitation":"(Bedini et al., 2009)"},"citationItems":[{"id":375,"uris":["http://zotero.org/users/local/d1gJDEOw/items/P52IWKWR"],"uri":["http://zotero.org/users/local/d1gJDEOw/items/P52IWKWR"],"itemData":{"id":375,"type":"article-journal","title":"Changes in soil aggregation and glomalin-related soil protein content as affected by the arbuscular mycorrhizal fungal species Glomus mosseae and Glomus intraradices","container-title":"Soil Biology and Biochemistry","page":"1491-1496","volume":"41","issue":"7","source":"ScienceDirect","abstract":"Arbuscular mycorrhizal (AM) fungi are key organisms of the soil/plant system, influencing soil fertility and plant nutrition, and contributing to soil aggregation and soil structure stability by the combined action of extraradical hyphae and of an insoluble, hydrophobic proteinaceous substance named glomalin-related soil protein (GRSP). Since the GRSP extraction procedures have recently revealed problems related to co-extracting substances, the relationship between GRSP and AM fungi still remains to be verified. In this work the hypothesis that GRSP concentration is positively correlated with the occurrence of AM fungi was tested by using Medicago sativa plants inoculated with different isolates of Glomus mosseae and Glomus intraradices in a microcosm experiment. Our results show that (i) mycorrhizal establishment produced an increase in GRSP concentration – compared to initial values – in contrast with non-mycorrhizal plants, which did not produce any change; (ii) aggregate stability, evaluated as mean weight diameter (MWD) of macroaggregates of 1–2 mm diameter, was significantly higher in mycorrhizal soils compared to non-mycorrhizal soil; (iii) GRSP concentration and soil aggregate stability were positively correlated with mycorrhizal root volume and weakly correlated with total root volume; (iv) MWD values of soil aggregates were positively correlated with values of total hyphal length and hyphal density of the AM fungi utilized.\n\nThe different ability of AM fungal isolates to affect GRSP concentration and to form extensive and dense mycelial networks, which may directly affect soil aggregates stability by hyphal enmeshment of soil particles, suggests the possibility of selecting the most efficient isolates to be utilized for soil quality improvement and land restoration programs.","DOI":"10.1016/j.soilbio.2009.04.005","ISSN":"0038-0717","journalAbbreviation":"Soil Biology and Biochemistry","author":[{"family":"Bedini","given":"Stefano"},{"family":"Pellegrino","given":"Elisa"},{"family":"Avio","given":"Luciano"},{"family":"Pellegrini","given":"Sergio"},{"family":"Bazzoffi","given":"Paolo"},{"family":"Argese","given":"Emanuele"},{"family":"Giovannetti","given":"Manuela"}],"issued":{"date-parts":[["2009",7]]}}}],"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Bedini</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2009)</w:t>
      </w:r>
      <w:r>
        <w:fldChar w:fldCharType="end"/>
      </w:r>
      <w:r>
        <w:t xml:space="preserve"> and therefore may ultimately effect sustainability and productivity of orchards. Results from a recent study comparing the AMF communities colonising apple tree roots within organic versus standard orchards in Belgium showed greater diversity of AMF under organic management </w:t>
      </w:r>
      <w:r>
        <w:fldChar w:fldCharType="begin"/>
      </w:r>
      <w:r w:rsidR="00954B3D">
        <w:instrText xml:space="preserve"> ADDIN ZOTERO_ITEM CSL_CITATION {"citationID":"dppovif3k","properties":{"formattedCitation":"{\\rtf (van Geel {\\i{}et al.}, 2015)}","plainCitation":"(van Geel et al., 2015)"},"citationItems":[{"id":36,"uris":["http://zotero.org/users/local/d1gJDEOw/items/VFAUSJQP"],"uri":["http://zotero.org/users/local/d1gJDEOw/items/VFAUSJQP"],"itemData":{"id":36,"type":"article-journal","title":"Decrease in diversity and changes in community composition of arbuscular mycorrhizal fungi in roots of apple trees with increasing orchard management intensity across a regional scale","container-title":"Molecular Ecology","page":"941-952","volume":"24","issue":"4","source":"Wiley Online Library","abstract":"Understanding which factors drive the diversity and community composition of arbuscular mycorrhizal fungi (AMF) is important due to the role of these soil micro-organisms in ecosystem functioning and current environmental threats to AMF biodiversity. Additionally, in agro-ecosystems, this knowledge may help to evaluate their use in making agriculture more sustainable. Here, we used 454-pyrosequencing of small subunit rRNA gene amplicons to quantify AMF diversity and community composition in the roots of cultivated apple trees across 24 orchards in central Belgium. We aimed at identifying the factors (soil chemical variables, organic vs. conventional farming, and geographical location) that affect AMF diversity and community composition. In total, 110 AMF OTUs were detected, of which the majority belonged to the Glomeraceae (73%) and the Claroideoglomeraceae (19%). We show that soil characteristics and farming system, rather than the geographical location of the orchards, shape AMF communities on apple trees. Particularly, plant-available P content of the soil was associated with lower AMF diversity. In orchards with a lower plant-available P content of the soil (P &lt; 100 mg/kg soil), we also found a significantly higher AMF diversity in organically managed orchards as compared to conventionally managed orchards. Finally, the degree of nestedness of the AMF communities was related to plant-available P and N content of the soil, pointing at a progressive loss of AMF taxa with increasing fertilization. Overall, we conclude that a combination of organic orchard management and moderate fertilization may preserve diverse AMF communities on apple trees and that AMF in the roots of apple trees appear not to be dispersal limited at the scale of central Belgium.","DOI":"10.1111/mec.13079","ISSN":"1365-294X","journalAbbreviation":"Mol Ecol","language":"en","author":[{"family":"Geel","given":"Maarten","non-dropping-particle":"van"},{"family":"Ceustermans","given":"An"},{"family":"Hemelrijck","given":"Wendy","non-dropping-particle":"van"},{"family":"Lievens","given":"Bart"},{"family":"Honnay","given":"Olivier"}],"issued":{"date-parts":[["2015",2,1]]}}}],"schema":"https://github.com/citation-style-language/schema/raw/master/csl-citation.json"} </w:instrText>
      </w:r>
      <w:r>
        <w:fldChar w:fldCharType="separate"/>
      </w:r>
      <w:r w:rsidR="00954B3D" w:rsidRPr="00954B3D">
        <w:rPr>
          <w:rFonts w:cs="Times New Roman"/>
          <w:szCs w:val="24"/>
        </w:rPr>
        <w:t xml:space="preserve">(van </w:t>
      </w:r>
      <w:proofErr w:type="spellStart"/>
      <w:r w:rsidR="00954B3D" w:rsidRPr="00954B3D">
        <w:rPr>
          <w:rFonts w:cs="Times New Roman"/>
          <w:szCs w:val="24"/>
        </w:rPr>
        <w:t>Geel</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2015)</w:t>
      </w:r>
      <w:r>
        <w:fldChar w:fldCharType="end"/>
      </w:r>
      <w:r>
        <w:t xml:space="preserve"> however this study was hampered by the small sample size of organic orchards studied and only compared between two of the three major apple orchard management </w:t>
      </w:r>
      <w:r w:rsidRPr="0042773A">
        <w:t xml:space="preserve">types. Source of fertiliser input has </w:t>
      </w:r>
      <w:r w:rsidRPr="0042773A">
        <w:lastRenderedPageBreak/>
        <w:t xml:space="preserve">been shown to influence AMF communities in apple roots with organic P sources promoting richer AMF communities and difference in community structure compared to AMF communities in orchards receiving inorganic P sources </w:t>
      </w:r>
      <w:r w:rsidRPr="0042773A">
        <w:fldChar w:fldCharType="begin"/>
      </w:r>
      <w:r w:rsidR="00954B3D">
        <w:instrText xml:space="preserve"> ADDIN ZOTERO_ITEM CSL_CITATION {"citationID":"1qovvma1vl","properties":{"formattedCitation":"{\\rtf (van Geel {\\i{}et al.}, 2016)}","plainCitation":"(van Geel et al., 2016)"},"citationItems":[{"id":39,"uris":["http://zotero.org/users/local/d1gJDEOw/items/P7VUPPJG"],"uri":["http://zotero.org/users/local/d1gJDEOw/items/P7VUPPJG"],"itemData":{"id":39,"type":"article-journal","title":"Application of slow-release phosphorus fertilizers increases arbuscular mycorrhizal fungal diversity in the roots of apple trees","container-title":"Plant and Soil","page":"291-301","volume":"402","issue":"1-2","source":"link.springer.com","abstract":"Aims Arbuscular mycorrhizal fungi (AMF) play a key role in the functioning of agricultural ecosystems. Therefore, understanding how the application of fertilizers, a common management practice, affects AMF communities is of major importance. Here we aimed to: (i) experimentally test whether different amounts and forms of phosphorus (P) fertilizer affect AMF diversity and community composition associated with the roots of apple trees (Malus domestica); (ii) identify differences in tolerance to P fertilization between AMF taxa. Methods We used 454-pyrosequencing of the small subunit rRNA gene amplicons to quantify AMF diversity and community composition in root samples obtained from a three year field experiment, with two inorganic, three slow-release P fertilization and one control treatment. Results The slow-release fertilizer treatments showed significantly higher AMF richness and differed in community composition compared to the inorganic fertilizer treatments. The distribution of AMF OTUs showed a significantly nested pattern. Additionally, AMF communities in the inorganic fertilizer treatments were a subset of the communities in the slow-release fertilizer treatments. Conclusions We demonstrate that application of slow-release fertilizers promoted AMF diversity in the roots of cultivated apple trees in comparison to the other treatments. The application of inorganic fertilizers elevated levels of plant-available P in the soil and selected only a small subset of abundant AMF, resulting in a lower AMF diversity. This may result in AMF communities dominated by inferior AMF mutualists.","DOI":"10.1007/s11104-015-2777-x","ISSN":"0032-079X, 1573-5036","journalAbbreviation":"Plant Soil","language":"en","author":[{"family":"Geel","given":"Maarten","non-dropping-particle":"van"},{"family":"Beenhouwer","given":"Matthias De"},{"family":"Ceulemans","given":"Tobias"},{"family":"Caes","given":"Kenny"},{"family":"Ceustermans","given":"An"},{"family":"Bylemans","given":"Dany"},{"family":"Gomand","given":"Ann"},{"family":"Lievens","given":"Bart"},{"family":"Honnay","given":"Olivier"}],"issued":{"date-parts":[["2016",1,16]]}}}],"schema":"https://github.com/citation-style-language/schema/raw/master/csl-citation.json"} </w:instrText>
      </w:r>
      <w:r w:rsidRPr="0042773A">
        <w:fldChar w:fldCharType="separate"/>
      </w:r>
      <w:r w:rsidR="00954B3D" w:rsidRPr="00954B3D">
        <w:rPr>
          <w:rFonts w:cs="Times New Roman"/>
          <w:szCs w:val="24"/>
        </w:rPr>
        <w:t xml:space="preserve">(van </w:t>
      </w:r>
      <w:proofErr w:type="spellStart"/>
      <w:r w:rsidR="00954B3D" w:rsidRPr="00954B3D">
        <w:rPr>
          <w:rFonts w:cs="Times New Roman"/>
          <w:szCs w:val="24"/>
        </w:rPr>
        <w:t>Geel</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2016)</w:t>
      </w:r>
      <w:r w:rsidRPr="0042773A">
        <w:fldChar w:fldCharType="end"/>
      </w:r>
      <w:r w:rsidRPr="0042773A">
        <w:t>.</w:t>
      </w:r>
      <w:r w:rsidRPr="000608C2">
        <w:t xml:space="preserve"> </w:t>
      </w:r>
    </w:p>
    <w:p w:rsidR="00B46350" w:rsidRPr="00D07E73" w:rsidRDefault="00B46350" w:rsidP="00B46350">
      <w:pPr>
        <w:pStyle w:val="Heading3"/>
      </w:pPr>
      <w:bookmarkStart w:id="217" w:name="_Toc464758679"/>
      <w:bookmarkStart w:id="218" w:name="_Toc469855037"/>
      <w:bookmarkStart w:id="219" w:name="_Toc469856037"/>
      <w:bookmarkStart w:id="220" w:name="_Toc469931946"/>
      <w:bookmarkStart w:id="221" w:name="_Toc469982267"/>
      <w:r w:rsidRPr="00127CB1">
        <w:t>Aims</w:t>
      </w:r>
      <w:bookmarkEnd w:id="217"/>
      <w:bookmarkEnd w:id="218"/>
      <w:bookmarkEnd w:id="219"/>
      <w:bookmarkEnd w:id="220"/>
      <w:bookmarkEnd w:id="221"/>
    </w:p>
    <w:p w:rsidR="00B46350" w:rsidRDefault="00B46350" w:rsidP="00B46350">
      <w:pPr>
        <w:rPr>
          <w:rFonts w:cs="Times New Roman"/>
        </w:rPr>
      </w:pPr>
      <w:r>
        <w:rPr>
          <w:rFonts w:cs="Times New Roman"/>
        </w:rPr>
        <w:t>This chapter aims to characterise how AMF communities vary between three orchard management types which differ in their management intensity and compare these AMF communities with those of broadleaved woodland and intensive arable sites.  Arable sites were sampled as a reference habitat as intensive arable agriculture is known to be associated with reduced AMF diversity. In contrast sampling of broadleaved woodlands enables comparison with a more natural habitat and one that is similar to the original land cover type in this region. AMF communities were compared between land use types by measuring changes in AMF using (</w:t>
      </w:r>
      <w:proofErr w:type="spellStart"/>
      <w:r>
        <w:rPr>
          <w:rFonts w:cs="Times New Roman"/>
        </w:rPr>
        <w:t>i</w:t>
      </w:r>
      <w:proofErr w:type="spellEnd"/>
      <w:r>
        <w:rPr>
          <w:rFonts w:cs="Times New Roman"/>
        </w:rPr>
        <w:t>) richness, (ii) Simpson’s diversity, (iii) presence/absence</w:t>
      </w:r>
      <w:r w:rsidR="00861E0B">
        <w:rPr>
          <w:rFonts w:cs="Times New Roman"/>
        </w:rPr>
        <w:t>,</w:t>
      </w:r>
      <w:r>
        <w:rPr>
          <w:rFonts w:cs="Times New Roman"/>
        </w:rPr>
        <w:t xml:space="preserve"> and </w:t>
      </w:r>
      <w:proofErr w:type="gramStart"/>
      <w:r>
        <w:rPr>
          <w:rFonts w:cs="Times New Roman"/>
        </w:rPr>
        <w:t>(iv) relative</w:t>
      </w:r>
      <w:proofErr w:type="gramEnd"/>
      <w:r>
        <w:rPr>
          <w:rFonts w:cs="Times New Roman"/>
        </w:rPr>
        <w:t xml:space="preserve"> abundance.</w:t>
      </w:r>
    </w:p>
    <w:p w:rsidR="00B46350" w:rsidRDefault="00B46350" w:rsidP="00B46350">
      <w:pPr>
        <w:rPr>
          <w:rFonts w:cs="Times New Roman"/>
        </w:rPr>
      </w:pPr>
      <w:r>
        <w:rPr>
          <w:rFonts w:cs="Times New Roman"/>
        </w:rPr>
        <w:t>Specifically in this chapter the following research questions are addressed:</w:t>
      </w:r>
    </w:p>
    <w:p w:rsidR="00B46350" w:rsidRPr="000C10DC" w:rsidRDefault="00B46350" w:rsidP="005D6985">
      <w:pPr>
        <w:pStyle w:val="ListParagraph"/>
        <w:numPr>
          <w:ilvl w:val="0"/>
          <w:numId w:val="12"/>
        </w:numPr>
      </w:pPr>
      <w:r w:rsidRPr="00654E59">
        <w:t>What is the</w:t>
      </w:r>
      <w:r>
        <w:t xml:space="preserve"> richness, Simpson’s diversity, community composition and taxa relative abundance of AMF within cider apple orchards under the three main management types: conventional bush orchards, conventional </w:t>
      </w:r>
      <w:r w:rsidRPr="003C6D28">
        <w:t>standard</w:t>
      </w:r>
      <w:r>
        <w:t xml:space="preserve"> orchards and organic standard orchards and h</w:t>
      </w:r>
      <w:r w:rsidRPr="000C10DC">
        <w:t xml:space="preserve">ow does orchard management </w:t>
      </w:r>
      <w:r>
        <w:t>effect the AMF community?</w:t>
      </w:r>
    </w:p>
    <w:p w:rsidR="00B46350" w:rsidRPr="000C10DC" w:rsidRDefault="00B46350" w:rsidP="005D6985">
      <w:pPr>
        <w:pStyle w:val="ListParagraph"/>
        <w:numPr>
          <w:ilvl w:val="0"/>
          <w:numId w:val="12"/>
        </w:numPr>
      </w:pPr>
      <w:r>
        <w:t xml:space="preserve">How do AMF communities within </w:t>
      </w:r>
      <w:r w:rsidRPr="003C6D28">
        <w:t>soils</w:t>
      </w:r>
      <w:r>
        <w:t xml:space="preserve"> from each orchard type compare to soils collected from the two reference habitats: intensive arable fields and broadleaved woodlands?</w:t>
      </w:r>
    </w:p>
    <w:p w:rsidR="00B46350" w:rsidRDefault="00B46350" w:rsidP="00B46350">
      <w:r w:rsidRPr="007B3970">
        <w:t xml:space="preserve">Based upon the </w:t>
      </w:r>
      <w:r w:rsidR="003B7AD2">
        <w:t>current understanding of AMF responses to agricultural management it was</w:t>
      </w:r>
      <w:r>
        <w:t xml:space="preserve"> hypothesised that:</w:t>
      </w:r>
    </w:p>
    <w:p w:rsidR="00B46350" w:rsidRPr="007A1FCF" w:rsidRDefault="00B46350" w:rsidP="005D6985">
      <w:pPr>
        <w:pStyle w:val="ListParagraph"/>
        <w:numPr>
          <w:ilvl w:val="0"/>
          <w:numId w:val="11"/>
        </w:numPr>
      </w:pPr>
      <w:r>
        <w:t xml:space="preserve">Intensive orchard management would impact the AMF community with conventional bush orchards showing reduced AMF richness and evenness and significant differences in community composition and taxa relative abundance when compared to conventional standard and organic standard orchards. </w:t>
      </w:r>
    </w:p>
    <w:p w:rsidR="00B46350" w:rsidRPr="007A1FCF" w:rsidRDefault="00B46350" w:rsidP="005D6985">
      <w:pPr>
        <w:pStyle w:val="ListParagraph"/>
        <w:numPr>
          <w:ilvl w:val="0"/>
          <w:numId w:val="11"/>
        </w:numPr>
      </w:pPr>
      <w:r>
        <w:t>AMF communities of orchards show greater similarity with those of woodlands to those of arable fields.</w:t>
      </w:r>
      <w:r w:rsidRPr="007A1FCF">
        <w:t xml:space="preserve"> </w:t>
      </w:r>
    </w:p>
    <w:p w:rsidR="00B46350" w:rsidRPr="007A1FCF" w:rsidRDefault="00B46350" w:rsidP="00B46350">
      <w:pPr>
        <w:pStyle w:val="Heading2"/>
      </w:pPr>
      <w:bookmarkStart w:id="222" w:name="_Toc464758680"/>
      <w:bookmarkStart w:id="223" w:name="_Toc469855038"/>
      <w:bookmarkStart w:id="224" w:name="_Toc469856038"/>
      <w:bookmarkStart w:id="225" w:name="_Toc469931947"/>
      <w:bookmarkStart w:id="226" w:name="_Toc469982268"/>
      <w:r w:rsidRPr="007A1FCF">
        <w:t>Methods</w:t>
      </w:r>
      <w:bookmarkEnd w:id="222"/>
      <w:bookmarkEnd w:id="223"/>
      <w:bookmarkEnd w:id="224"/>
      <w:bookmarkEnd w:id="225"/>
      <w:bookmarkEnd w:id="226"/>
    </w:p>
    <w:p w:rsidR="00B46350" w:rsidRPr="007A1FCF" w:rsidRDefault="00B46350" w:rsidP="00B46350">
      <w:pPr>
        <w:pStyle w:val="Heading3"/>
      </w:pPr>
      <w:bookmarkStart w:id="227" w:name="_Toc464758681"/>
      <w:bookmarkStart w:id="228" w:name="_Toc469855039"/>
      <w:bookmarkStart w:id="229" w:name="_Toc469856039"/>
      <w:bookmarkStart w:id="230" w:name="_Ref469867738"/>
      <w:bookmarkStart w:id="231" w:name="_Toc469931948"/>
      <w:bookmarkStart w:id="232" w:name="_Toc469982269"/>
      <w:r>
        <w:t>S</w:t>
      </w:r>
      <w:r w:rsidRPr="007A1FCF">
        <w:t>tudy site selection</w:t>
      </w:r>
      <w:bookmarkEnd w:id="227"/>
      <w:bookmarkEnd w:id="228"/>
      <w:bookmarkEnd w:id="229"/>
      <w:bookmarkEnd w:id="230"/>
      <w:bookmarkEnd w:id="231"/>
      <w:bookmarkEnd w:id="232"/>
    </w:p>
    <w:p w:rsidR="00B46350" w:rsidRPr="0015658D" w:rsidRDefault="00B46350" w:rsidP="00B46350">
      <w:r w:rsidRPr="007A1FCF">
        <w:t>All 125 studied orchards, woodland and arable fields were located within Herefordshire, a major apple growing county of the UK and were distributed over an area of approximately 30km</w:t>
      </w:r>
      <w:r w:rsidRPr="007A1FCF">
        <w:rPr>
          <w:vertAlign w:val="superscript"/>
        </w:rPr>
        <w:t>2</w:t>
      </w:r>
      <w:r w:rsidRPr="007A1FCF">
        <w:t xml:space="preserve">. Twenty five replicate cider apple orchards belonging to </w:t>
      </w:r>
      <w:r w:rsidR="00BF07DF">
        <w:t xml:space="preserve">each of </w:t>
      </w:r>
      <w:r w:rsidRPr="007A1FCF">
        <w:t>the following management categories were studied: (</w:t>
      </w:r>
      <w:proofErr w:type="spellStart"/>
      <w:r w:rsidRPr="007A1FCF">
        <w:t>i</w:t>
      </w:r>
      <w:proofErr w:type="spellEnd"/>
      <w:r w:rsidRPr="007A1FCF">
        <w:t xml:space="preserve">) conventional bush orchard (ii) conventional standard orchard, (iii) </w:t>
      </w:r>
      <w:r w:rsidRPr="007A1FCF">
        <w:lastRenderedPageBreak/>
        <w:t xml:space="preserve">organic </w:t>
      </w:r>
      <w:r w:rsidR="00861E0B">
        <w:t>standard orchard (</w:t>
      </w:r>
      <w:r w:rsidR="00861E0B">
        <w:fldChar w:fldCharType="begin"/>
      </w:r>
      <w:r w:rsidR="00861E0B">
        <w:instrText xml:space="preserve"> REF _Ref465333127 \h </w:instrText>
      </w:r>
      <w:r w:rsidR="00861E0B">
        <w:fldChar w:fldCharType="separate"/>
      </w:r>
      <w:r w:rsidR="00E0714D" w:rsidRPr="00861E0B">
        <w:t xml:space="preserve">Table </w:t>
      </w:r>
      <w:r w:rsidR="00E0714D">
        <w:rPr>
          <w:noProof/>
        </w:rPr>
        <w:t>3</w:t>
      </w:r>
      <w:r w:rsidR="00E0714D" w:rsidRPr="00861E0B">
        <w:t>.</w:t>
      </w:r>
      <w:r w:rsidR="00E0714D">
        <w:rPr>
          <w:noProof/>
        </w:rPr>
        <w:t>1</w:t>
      </w:r>
      <w:r w:rsidR="00861E0B">
        <w:fldChar w:fldCharType="end"/>
      </w:r>
      <w:r w:rsidR="00861E0B">
        <w:t>)</w:t>
      </w:r>
      <w:r w:rsidRPr="007A1FCF">
        <w:t xml:space="preserve"> summarises the main differences between these orchard management </w:t>
      </w:r>
      <w:r w:rsidR="003C6D28">
        <w:t xml:space="preserve">types). </w:t>
      </w:r>
      <w:r w:rsidRPr="007A1FCF">
        <w:t xml:space="preserve">Organic orchards were classified as those </w:t>
      </w:r>
      <w:r>
        <w:t>that</w:t>
      </w:r>
      <w:r w:rsidRPr="007A1FCF">
        <w:t xml:space="preserve"> had been registered as Soil Association Organic for a minimum of 10 years. ‘Bush’ vs ‘Standard’ w</w:t>
      </w:r>
      <w:r>
        <w:t>ere categorised</w:t>
      </w:r>
      <w:r w:rsidRPr="007A1FCF">
        <w:t xml:space="preserve"> according to tree rootstocks with dwarfing/semi-dwarfing belonging to ‘bush’ and standard rootstocks classified as ‘standard’.  To minimise differences between topographic, edaphic and climatic conditions between sites under comparison habitat types were grouped into 25 groups each containing one of all five of the habitat types under comparison and the maximum distance between any two habitat types within a group was 4km.  Twenty five arable and woodland sites were also sampled to enable comparison of AM</w:t>
      </w:r>
      <w:r>
        <w:t>F</w:t>
      </w:r>
      <w:r w:rsidRPr="007A1FCF">
        <w:t xml:space="preserve"> communities with an environment which is more intensively and less intensively managed relative to the apple orchards.</w:t>
      </w:r>
    </w:p>
    <w:p w:rsidR="00B46350" w:rsidRPr="00861E0B" w:rsidRDefault="00B46350" w:rsidP="00861E0B">
      <w:pPr>
        <w:pStyle w:val="Caption"/>
        <w:rPr>
          <w:rStyle w:val="Captionlabel"/>
          <w:sz w:val="20"/>
        </w:rPr>
      </w:pPr>
      <w:bookmarkStart w:id="233" w:name="_Ref465333127"/>
      <w:bookmarkStart w:id="234" w:name="_Ref465333120"/>
      <w:bookmarkStart w:id="235" w:name="_Toc469868575"/>
      <w:r w:rsidRPr="00861E0B">
        <w:t xml:space="preserve">Table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Pr="00861E0B">
        <w:t>.</w:t>
      </w:r>
      <w:r w:rsidR="00C44EF5">
        <w:fldChar w:fldCharType="begin"/>
      </w:r>
      <w:r w:rsidR="00C44EF5">
        <w:instrText xml:space="preserve"> SEQ Table \* ARABIC \s 1 </w:instrText>
      </w:r>
      <w:r w:rsidR="00C44EF5">
        <w:fldChar w:fldCharType="separate"/>
      </w:r>
      <w:r w:rsidR="00E0714D">
        <w:rPr>
          <w:noProof/>
        </w:rPr>
        <w:t>1</w:t>
      </w:r>
      <w:r w:rsidR="00C44EF5">
        <w:rPr>
          <w:noProof/>
        </w:rPr>
        <w:fldChar w:fldCharType="end"/>
      </w:r>
      <w:bookmarkEnd w:id="233"/>
      <w:r w:rsidRPr="00861E0B">
        <w:t xml:space="preserve"> </w:t>
      </w:r>
      <w:r w:rsidRPr="00861E0B">
        <w:rPr>
          <w:rStyle w:val="Captionlabel"/>
          <w:sz w:val="20"/>
        </w:rPr>
        <w:t>Contrasting management and characteristics of the three cider apple orchard types studied (data from NACM 1980, and UK BAP 2008)</w:t>
      </w:r>
      <w:bookmarkEnd w:id="234"/>
      <w:bookmarkEnd w:id="235"/>
    </w:p>
    <w:tbl>
      <w:tblPr>
        <w:tblStyle w:val="TableGrid"/>
        <w:tblW w:w="0" w:type="auto"/>
        <w:jc w:val="center"/>
        <w:tblLook w:val="04A0" w:firstRow="1" w:lastRow="0" w:firstColumn="1" w:lastColumn="0" w:noHBand="0" w:noVBand="1"/>
      </w:tblPr>
      <w:tblGrid>
        <w:gridCol w:w="2268"/>
        <w:gridCol w:w="1848"/>
        <w:gridCol w:w="2327"/>
        <w:gridCol w:w="2061"/>
      </w:tblGrid>
      <w:tr w:rsidR="00B46350" w:rsidRPr="00293ABC" w:rsidTr="00B46350">
        <w:trPr>
          <w:jc w:val="center"/>
        </w:trPr>
        <w:tc>
          <w:tcPr>
            <w:tcW w:w="2268" w:type="dxa"/>
            <w:tcBorders>
              <w:top w:val="nil"/>
              <w:left w:val="nil"/>
              <w:bottom w:val="single" w:sz="4" w:space="0" w:color="auto"/>
              <w:right w:val="nil"/>
            </w:tcBorders>
          </w:tcPr>
          <w:p w:rsidR="00B46350" w:rsidRPr="000349FA" w:rsidRDefault="00B46350" w:rsidP="00B46350">
            <w:pPr>
              <w:spacing w:line="240" w:lineRule="auto"/>
              <w:jc w:val="left"/>
              <w:rPr>
                <w:b/>
                <w:sz w:val="20"/>
                <w:szCs w:val="20"/>
              </w:rPr>
            </w:pPr>
            <w:r w:rsidRPr="000349FA">
              <w:rPr>
                <w:b/>
                <w:sz w:val="20"/>
                <w:szCs w:val="20"/>
              </w:rPr>
              <w:t>Characteristic</w:t>
            </w:r>
          </w:p>
        </w:tc>
        <w:tc>
          <w:tcPr>
            <w:tcW w:w="1848" w:type="dxa"/>
            <w:tcBorders>
              <w:top w:val="nil"/>
              <w:left w:val="nil"/>
              <w:bottom w:val="single" w:sz="4" w:space="0" w:color="auto"/>
              <w:right w:val="nil"/>
            </w:tcBorders>
          </w:tcPr>
          <w:p w:rsidR="00B46350" w:rsidRPr="000349FA" w:rsidRDefault="00B46350" w:rsidP="00B46350">
            <w:pPr>
              <w:spacing w:line="240" w:lineRule="auto"/>
              <w:jc w:val="left"/>
              <w:rPr>
                <w:b/>
                <w:sz w:val="20"/>
                <w:szCs w:val="20"/>
              </w:rPr>
            </w:pPr>
            <w:r w:rsidRPr="000349FA">
              <w:rPr>
                <w:b/>
                <w:sz w:val="20"/>
                <w:szCs w:val="20"/>
              </w:rPr>
              <w:t>Bush Orchard</w:t>
            </w:r>
          </w:p>
        </w:tc>
        <w:tc>
          <w:tcPr>
            <w:tcW w:w="2327" w:type="dxa"/>
            <w:tcBorders>
              <w:top w:val="nil"/>
              <w:left w:val="nil"/>
              <w:bottom w:val="single" w:sz="4" w:space="0" w:color="auto"/>
              <w:right w:val="nil"/>
            </w:tcBorders>
          </w:tcPr>
          <w:p w:rsidR="00B46350" w:rsidRPr="000349FA" w:rsidRDefault="00B46350" w:rsidP="00B46350">
            <w:pPr>
              <w:spacing w:line="240" w:lineRule="auto"/>
              <w:jc w:val="left"/>
              <w:rPr>
                <w:b/>
                <w:sz w:val="20"/>
                <w:szCs w:val="20"/>
              </w:rPr>
            </w:pPr>
            <w:r w:rsidRPr="000349FA">
              <w:rPr>
                <w:b/>
                <w:sz w:val="20"/>
                <w:szCs w:val="20"/>
              </w:rPr>
              <w:t>Conventional Standard Orchard</w:t>
            </w:r>
          </w:p>
        </w:tc>
        <w:tc>
          <w:tcPr>
            <w:tcW w:w="2061" w:type="dxa"/>
            <w:tcBorders>
              <w:top w:val="nil"/>
              <w:left w:val="nil"/>
              <w:bottom w:val="single" w:sz="4" w:space="0" w:color="auto"/>
              <w:right w:val="nil"/>
            </w:tcBorders>
          </w:tcPr>
          <w:p w:rsidR="00B46350" w:rsidRPr="000349FA" w:rsidRDefault="00B46350" w:rsidP="00B46350">
            <w:pPr>
              <w:spacing w:line="240" w:lineRule="auto"/>
              <w:jc w:val="left"/>
              <w:rPr>
                <w:b/>
                <w:sz w:val="20"/>
                <w:szCs w:val="20"/>
              </w:rPr>
            </w:pPr>
            <w:r w:rsidRPr="000349FA">
              <w:rPr>
                <w:b/>
                <w:sz w:val="20"/>
                <w:szCs w:val="20"/>
              </w:rPr>
              <w:t>Organic Standard Orchard</w:t>
            </w:r>
          </w:p>
        </w:tc>
      </w:tr>
      <w:tr w:rsidR="00B46350" w:rsidRPr="00293ABC" w:rsidTr="00B46350">
        <w:trPr>
          <w:jc w:val="center"/>
        </w:trPr>
        <w:tc>
          <w:tcPr>
            <w:tcW w:w="2268" w:type="dxa"/>
            <w:tcBorders>
              <w:top w:val="single" w:sz="4" w:space="0" w:color="auto"/>
              <w:left w:val="nil"/>
              <w:bottom w:val="nil"/>
              <w:right w:val="nil"/>
            </w:tcBorders>
          </w:tcPr>
          <w:p w:rsidR="00B46350" w:rsidRPr="000349FA" w:rsidRDefault="00B46350" w:rsidP="00B46350">
            <w:pPr>
              <w:spacing w:line="240" w:lineRule="auto"/>
              <w:jc w:val="left"/>
              <w:rPr>
                <w:i/>
                <w:sz w:val="20"/>
                <w:szCs w:val="20"/>
              </w:rPr>
            </w:pPr>
            <w:r w:rsidRPr="000349FA">
              <w:rPr>
                <w:i/>
                <w:sz w:val="20"/>
                <w:szCs w:val="20"/>
              </w:rPr>
              <w:t xml:space="preserve">Planting density (trees hectare </w:t>
            </w:r>
            <w:r w:rsidRPr="000349FA">
              <w:rPr>
                <w:i/>
                <w:sz w:val="20"/>
                <w:szCs w:val="20"/>
                <w:vertAlign w:val="superscript"/>
              </w:rPr>
              <w:t>-1)</w:t>
            </w:r>
          </w:p>
        </w:tc>
        <w:tc>
          <w:tcPr>
            <w:tcW w:w="1848" w:type="dxa"/>
            <w:tcBorders>
              <w:top w:val="single" w:sz="4" w:space="0" w:color="auto"/>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400-600</w:t>
            </w:r>
          </w:p>
        </w:tc>
        <w:tc>
          <w:tcPr>
            <w:tcW w:w="2327" w:type="dxa"/>
            <w:tcBorders>
              <w:top w:val="single" w:sz="4" w:space="0" w:color="auto"/>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 xml:space="preserve">100-150 </w:t>
            </w:r>
          </w:p>
        </w:tc>
        <w:tc>
          <w:tcPr>
            <w:tcW w:w="2061" w:type="dxa"/>
            <w:tcBorders>
              <w:top w:val="single" w:sz="4" w:space="0" w:color="auto"/>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100-150</w:t>
            </w:r>
          </w:p>
        </w:tc>
      </w:tr>
      <w:tr w:rsidR="00B46350" w:rsidRPr="00293ABC" w:rsidTr="00B46350">
        <w:trPr>
          <w:jc w:val="center"/>
        </w:trPr>
        <w:tc>
          <w:tcPr>
            <w:tcW w:w="2268" w:type="dxa"/>
            <w:tcBorders>
              <w:top w:val="nil"/>
              <w:left w:val="nil"/>
              <w:bottom w:val="nil"/>
              <w:right w:val="nil"/>
            </w:tcBorders>
          </w:tcPr>
          <w:p w:rsidR="00B46350" w:rsidRPr="000349FA" w:rsidRDefault="00B46350" w:rsidP="00B46350">
            <w:pPr>
              <w:spacing w:line="240" w:lineRule="auto"/>
              <w:jc w:val="left"/>
              <w:rPr>
                <w:i/>
                <w:sz w:val="20"/>
                <w:szCs w:val="20"/>
              </w:rPr>
            </w:pPr>
            <w:r w:rsidRPr="000349FA">
              <w:rPr>
                <w:i/>
                <w:sz w:val="20"/>
                <w:szCs w:val="20"/>
              </w:rPr>
              <w:t>Tree height</w:t>
            </w:r>
          </w:p>
        </w:tc>
        <w:tc>
          <w:tcPr>
            <w:tcW w:w="1848"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1.8-4.6m</w:t>
            </w:r>
          </w:p>
        </w:tc>
        <w:tc>
          <w:tcPr>
            <w:tcW w:w="2327"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6-12m</w:t>
            </w:r>
          </w:p>
        </w:tc>
        <w:tc>
          <w:tcPr>
            <w:tcW w:w="2061"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6-12m</w:t>
            </w:r>
          </w:p>
        </w:tc>
      </w:tr>
      <w:tr w:rsidR="00B46350" w:rsidRPr="00293ABC" w:rsidTr="00B46350">
        <w:trPr>
          <w:jc w:val="center"/>
        </w:trPr>
        <w:tc>
          <w:tcPr>
            <w:tcW w:w="2268" w:type="dxa"/>
            <w:tcBorders>
              <w:top w:val="nil"/>
              <w:left w:val="nil"/>
              <w:bottom w:val="nil"/>
              <w:right w:val="nil"/>
            </w:tcBorders>
          </w:tcPr>
          <w:p w:rsidR="00B46350" w:rsidRPr="000349FA" w:rsidRDefault="00B46350" w:rsidP="00B46350">
            <w:pPr>
              <w:spacing w:line="240" w:lineRule="auto"/>
              <w:jc w:val="left"/>
              <w:rPr>
                <w:i/>
                <w:sz w:val="20"/>
                <w:szCs w:val="20"/>
              </w:rPr>
            </w:pPr>
            <w:r w:rsidRPr="000349FA">
              <w:rPr>
                <w:i/>
                <w:sz w:val="20"/>
                <w:szCs w:val="20"/>
              </w:rPr>
              <w:t>Canopy Spread</w:t>
            </w:r>
          </w:p>
        </w:tc>
        <w:tc>
          <w:tcPr>
            <w:tcW w:w="1848"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6m</w:t>
            </w:r>
          </w:p>
        </w:tc>
        <w:tc>
          <w:tcPr>
            <w:tcW w:w="2327"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7.6m</w:t>
            </w:r>
          </w:p>
        </w:tc>
        <w:tc>
          <w:tcPr>
            <w:tcW w:w="2061"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7.6m</w:t>
            </w:r>
          </w:p>
        </w:tc>
      </w:tr>
      <w:tr w:rsidR="00B46350" w:rsidRPr="00293ABC" w:rsidTr="00B46350">
        <w:trPr>
          <w:jc w:val="center"/>
        </w:trPr>
        <w:tc>
          <w:tcPr>
            <w:tcW w:w="2268" w:type="dxa"/>
            <w:tcBorders>
              <w:top w:val="nil"/>
              <w:left w:val="nil"/>
              <w:bottom w:val="nil"/>
              <w:right w:val="nil"/>
            </w:tcBorders>
          </w:tcPr>
          <w:p w:rsidR="00B46350" w:rsidRPr="000349FA" w:rsidRDefault="00B46350" w:rsidP="00B46350">
            <w:pPr>
              <w:spacing w:line="240" w:lineRule="auto"/>
              <w:jc w:val="left"/>
              <w:rPr>
                <w:i/>
                <w:sz w:val="20"/>
                <w:szCs w:val="20"/>
              </w:rPr>
            </w:pPr>
            <w:r w:rsidRPr="000349FA">
              <w:rPr>
                <w:i/>
                <w:sz w:val="20"/>
                <w:szCs w:val="20"/>
              </w:rPr>
              <w:t xml:space="preserve">Crop yield (approximate tonnes hectare </w:t>
            </w:r>
            <w:r w:rsidRPr="000349FA">
              <w:rPr>
                <w:i/>
                <w:sz w:val="20"/>
                <w:szCs w:val="20"/>
                <w:vertAlign w:val="superscript"/>
              </w:rPr>
              <w:t>-1</w:t>
            </w:r>
            <w:r w:rsidRPr="000349FA">
              <w:rPr>
                <w:i/>
                <w:sz w:val="20"/>
                <w:szCs w:val="20"/>
              </w:rPr>
              <w:t>)</w:t>
            </w:r>
          </w:p>
        </w:tc>
        <w:tc>
          <w:tcPr>
            <w:tcW w:w="1848"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25-50</w:t>
            </w:r>
          </w:p>
        </w:tc>
        <w:tc>
          <w:tcPr>
            <w:tcW w:w="2327"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10-12</w:t>
            </w:r>
          </w:p>
        </w:tc>
        <w:tc>
          <w:tcPr>
            <w:tcW w:w="2061"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10-12</w:t>
            </w:r>
          </w:p>
        </w:tc>
      </w:tr>
      <w:tr w:rsidR="00B46350" w:rsidRPr="00293ABC" w:rsidTr="00B46350">
        <w:trPr>
          <w:jc w:val="center"/>
        </w:trPr>
        <w:tc>
          <w:tcPr>
            <w:tcW w:w="2268" w:type="dxa"/>
            <w:tcBorders>
              <w:top w:val="nil"/>
              <w:left w:val="nil"/>
              <w:bottom w:val="nil"/>
              <w:right w:val="nil"/>
            </w:tcBorders>
          </w:tcPr>
          <w:p w:rsidR="00B46350" w:rsidRPr="000349FA" w:rsidRDefault="00B46350" w:rsidP="00B46350">
            <w:pPr>
              <w:spacing w:line="240" w:lineRule="auto"/>
              <w:jc w:val="left"/>
              <w:rPr>
                <w:i/>
                <w:sz w:val="20"/>
                <w:szCs w:val="20"/>
              </w:rPr>
            </w:pPr>
            <w:r w:rsidRPr="000349FA">
              <w:rPr>
                <w:i/>
                <w:sz w:val="20"/>
                <w:szCs w:val="20"/>
              </w:rPr>
              <w:t>Tree cropping frequency</w:t>
            </w:r>
          </w:p>
        </w:tc>
        <w:tc>
          <w:tcPr>
            <w:tcW w:w="1848"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Annual</w:t>
            </w:r>
          </w:p>
        </w:tc>
        <w:tc>
          <w:tcPr>
            <w:tcW w:w="2327"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Annual or biannual</w:t>
            </w:r>
          </w:p>
        </w:tc>
        <w:tc>
          <w:tcPr>
            <w:tcW w:w="2061"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Annual or biannual</w:t>
            </w:r>
          </w:p>
        </w:tc>
      </w:tr>
      <w:tr w:rsidR="00B46350" w:rsidRPr="00293ABC" w:rsidTr="00B46350">
        <w:trPr>
          <w:jc w:val="center"/>
        </w:trPr>
        <w:tc>
          <w:tcPr>
            <w:tcW w:w="2268" w:type="dxa"/>
            <w:tcBorders>
              <w:top w:val="nil"/>
              <w:left w:val="nil"/>
              <w:bottom w:val="nil"/>
              <w:right w:val="nil"/>
            </w:tcBorders>
          </w:tcPr>
          <w:p w:rsidR="00B46350" w:rsidRPr="000349FA" w:rsidRDefault="00B46350" w:rsidP="00B46350">
            <w:pPr>
              <w:spacing w:line="240" w:lineRule="auto"/>
              <w:jc w:val="left"/>
              <w:rPr>
                <w:i/>
                <w:sz w:val="20"/>
                <w:szCs w:val="20"/>
              </w:rPr>
            </w:pPr>
            <w:r w:rsidRPr="000349FA">
              <w:rPr>
                <w:i/>
                <w:sz w:val="20"/>
                <w:szCs w:val="20"/>
              </w:rPr>
              <w:t xml:space="preserve">Tree age </w:t>
            </w:r>
            <w:r>
              <w:rPr>
                <w:i/>
                <w:sz w:val="20"/>
                <w:szCs w:val="20"/>
              </w:rPr>
              <w:t xml:space="preserve">(years) </w:t>
            </w:r>
            <w:r w:rsidRPr="000349FA">
              <w:rPr>
                <w:i/>
                <w:sz w:val="20"/>
                <w:szCs w:val="20"/>
              </w:rPr>
              <w:t>at which full cropping is reached</w:t>
            </w:r>
          </w:p>
        </w:tc>
        <w:tc>
          <w:tcPr>
            <w:tcW w:w="1848"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8</w:t>
            </w:r>
          </w:p>
        </w:tc>
        <w:tc>
          <w:tcPr>
            <w:tcW w:w="2327"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15</w:t>
            </w:r>
          </w:p>
        </w:tc>
        <w:tc>
          <w:tcPr>
            <w:tcW w:w="2061"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15</w:t>
            </w:r>
          </w:p>
        </w:tc>
      </w:tr>
      <w:tr w:rsidR="00B46350" w:rsidRPr="00293ABC" w:rsidTr="00B46350">
        <w:trPr>
          <w:jc w:val="center"/>
        </w:trPr>
        <w:tc>
          <w:tcPr>
            <w:tcW w:w="2268" w:type="dxa"/>
            <w:tcBorders>
              <w:top w:val="nil"/>
              <w:left w:val="nil"/>
              <w:bottom w:val="nil"/>
              <w:right w:val="nil"/>
            </w:tcBorders>
          </w:tcPr>
          <w:p w:rsidR="00B46350" w:rsidRPr="000349FA" w:rsidRDefault="00B46350" w:rsidP="00B46350">
            <w:pPr>
              <w:spacing w:line="240" w:lineRule="auto"/>
              <w:jc w:val="left"/>
              <w:rPr>
                <w:i/>
                <w:sz w:val="20"/>
                <w:szCs w:val="20"/>
              </w:rPr>
            </w:pPr>
            <w:r w:rsidRPr="000349FA">
              <w:rPr>
                <w:i/>
                <w:sz w:val="20"/>
                <w:szCs w:val="20"/>
              </w:rPr>
              <w:t>Average life span</w:t>
            </w:r>
            <w:r>
              <w:rPr>
                <w:i/>
                <w:sz w:val="20"/>
                <w:szCs w:val="20"/>
              </w:rPr>
              <w:t xml:space="preserve"> (years)</w:t>
            </w:r>
          </w:p>
        </w:tc>
        <w:tc>
          <w:tcPr>
            <w:tcW w:w="1848"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 xml:space="preserve">40 </w:t>
            </w:r>
          </w:p>
        </w:tc>
        <w:tc>
          <w:tcPr>
            <w:tcW w:w="2327"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 xml:space="preserve">&gt;80 </w:t>
            </w:r>
          </w:p>
        </w:tc>
        <w:tc>
          <w:tcPr>
            <w:tcW w:w="2061"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 xml:space="preserve">&gt;80 </w:t>
            </w:r>
          </w:p>
        </w:tc>
      </w:tr>
      <w:tr w:rsidR="00B46350" w:rsidRPr="00293ABC" w:rsidTr="00B46350">
        <w:trPr>
          <w:jc w:val="center"/>
        </w:trPr>
        <w:tc>
          <w:tcPr>
            <w:tcW w:w="2268" w:type="dxa"/>
            <w:tcBorders>
              <w:top w:val="nil"/>
              <w:left w:val="nil"/>
              <w:bottom w:val="nil"/>
              <w:right w:val="nil"/>
            </w:tcBorders>
          </w:tcPr>
          <w:p w:rsidR="00B46350" w:rsidRPr="000349FA" w:rsidRDefault="00B46350" w:rsidP="00B46350">
            <w:pPr>
              <w:spacing w:line="240" w:lineRule="auto"/>
              <w:jc w:val="left"/>
              <w:rPr>
                <w:i/>
                <w:sz w:val="20"/>
                <w:szCs w:val="20"/>
              </w:rPr>
            </w:pPr>
            <w:r w:rsidRPr="000349FA">
              <w:rPr>
                <w:i/>
                <w:sz w:val="20"/>
                <w:szCs w:val="20"/>
              </w:rPr>
              <w:t>Diversity of tree age</w:t>
            </w:r>
          </w:p>
        </w:tc>
        <w:tc>
          <w:tcPr>
            <w:tcW w:w="1848"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All trees same age</w:t>
            </w:r>
          </w:p>
        </w:tc>
        <w:tc>
          <w:tcPr>
            <w:tcW w:w="2327"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Range of tree ages</w:t>
            </w:r>
          </w:p>
        </w:tc>
        <w:tc>
          <w:tcPr>
            <w:tcW w:w="2061"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Range of tree ages</w:t>
            </w:r>
          </w:p>
        </w:tc>
      </w:tr>
      <w:tr w:rsidR="00B46350" w:rsidRPr="00293ABC" w:rsidTr="00B46350">
        <w:trPr>
          <w:jc w:val="center"/>
        </w:trPr>
        <w:tc>
          <w:tcPr>
            <w:tcW w:w="2268" w:type="dxa"/>
            <w:tcBorders>
              <w:top w:val="nil"/>
              <w:left w:val="nil"/>
              <w:bottom w:val="nil"/>
              <w:right w:val="nil"/>
            </w:tcBorders>
          </w:tcPr>
          <w:p w:rsidR="00B46350" w:rsidRPr="000349FA" w:rsidRDefault="00B46350" w:rsidP="00B46350">
            <w:pPr>
              <w:spacing w:line="240" w:lineRule="auto"/>
              <w:jc w:val="left"/>
              <w:rPr>
                <w:i/>
                <w:sz w:val="20"/>
                <w:szCs w:val="20"/>
              </w:rPr>
            </w:pPr>
            <w:r w:rsidRPr="000349FA">
              <w:rPr>
                <w:i/>
                <w:sz w:val="20"/>
                <w:szCs w:val="20"/>
              </w:rPr>
              <w:t>Rootstock</w:t>
            </w:r>
          </w:p>
        </w:tc>
        <w:tc>
          <w:tcPr>
            <w:tcW w:w="1848"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Dwarfing /Semi dwarfing rootstocks (e.g. MM111, MM106)</w:t>
            </w:r>
          </w:p>
        </w:tc>
        <w:tc>
          <w:tcPr>
            <w:tcW w:w="2327"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Vigorous standard  rootstocks (e.g. M25)</w:t>
            </w:r>
          </w:p>
        </w:tc>
        <w:tc>
          <w:tcPr>
            <w:tcW w:w="2061"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Vigorous standard  rootstocks  (e.g. M25)</w:t>
            </w:r>
          </w:p>
        </w:tc>
      </w:tr>
      <w:tr w:rsidR="00B46350" w:rsidRPr="00293ABC" w:rsidTr="00B46350">
        <w:trPr>
          <w:jc w:val="center"/>
        </w:trPr>
        <w:tc>
          <w:tcPr>
            <w:tcW w:w="2268" w:type="dxa"/>
            <w:tcBorders>
              <w:top w:val="nil"/>
              <w:left w:val="nil"/>
              <w:bottom w:val="nil"/>
              <w:right w:val="nil"/>
            </w:tcBorders>
          </w:tcPr>
          <w:p w:rsidR="00B46350" w:rsidRPr="000349FA" w:rsidRDefault="00B46350" w:rsidP="00B46350">
            <w:pPr>
              <w:spacing w:line="240" w:lineRule="auto"/>
              <w:jc w:val="left"/>
              <w:rPr>
                <w:i/>
                <w:sz w:val="20"/>
                <w:szCs w:val="20"/>
              </w:rPr>
            </w:pPr>
            <w:r w:rsidRPr="000349FA">
              <w:rPr>
                <w:i/>
                <w:sz w:val="20"/>
                <w:szCs w:val="20"/>
              </w:rPr>
              <w:t>Scion</w:t>
            </w:r>
          </w:p>
        </w:tc>
        <w:tc>
          <w:tcPr>
            <w:tcW w:w="1848"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Modern commercial variety, budded close to ground</w:t>
            </w:r>
          </w:p>
        </w:tc>
        <w:tc>
          <w:tcPr>
            <w:tcW w:w="2327"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Traditional variety, budded/grafted from cutting  or seedling</w:t>
            </w:r>
          </w:p>
        </w:tc>
        <w:tc>
          <w:tcPr>
            <w:tcW w:w="2061"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Traditional variety, budded/grafted from cutting  or seedling</w:t>
            </w:r>
          </w:p>
        </w:tc>
      </w:tr>
      <w:tr w:rsidR="00B46350" w:rsidRPr="00293ABC" w:rsidTr="00B46350">
        <w:trPr>
          <w:jc w:val="center"/>
        </w:trPr>
        <w:tc>
          <w:tcPr>
            <w:tcW w:w="2268" w:type="dxa"/>
            <w:tcBorders>
              <w:top w:val="nil"/>
              <w:left w:val="nil"/>
              <w:bottom w:val="nil"/>
              <w:right w:val="nil"/>
            </w:tcBorders>
          </w:tcPr>
          <w:p w:rsidR="00B46350" w:rsidRPr="000349FA" w:rsidRDefault="00B46350" w:rsidP="00B46350">
            <w:pPr>
              <w:spacing w:line="240" w:lineRule="auto"/>
              <w:jc w:val="left"/>
              <w:rPr>
                <w:i/>
                <w:sz w:val="20"/>
                <w:szCs w:val="20"/>
              </w:rPr>
            </w:pPr>
            <w:r w:rsidRPr="000349FA">
              <w:rPr>
                <w:i/>
                <w:sz w:val="20"/>
                <w:szCs w:val="20"/>
              </w:rPr>
              <w:t>Orchard floor management</w:t>
            </w:r>
          </w:p>
        </w:tc>
        <w:tc>
          <w:tcPr>
            <w:tcW w:w="1848"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Frequent mowing of grass alley</w:t>
            </w:r>
          </w:p>
        </w:tc>
        <w:tc>
          <w:tcPr>
            <w:tcW w:w="2327"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Grazed by livestock/cut for hay</w:t>
            </w:r>
          </w:p>
        </w:tc>
        <w:tc>
          <w:tcPr>
            <w:tcW w:w="2061"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Grazed by livestock/cut for hay</w:t>
            </w:r>
          </w:p>
        </w:tc>
      </w:tr>
      <w:tr w:rsidR="00B46350" w:rsidRPr="00293ABC" w:rsidTr="00B46350">
        <w:trPr>
          <w:jc w:val="center"/>
        </w:trPr>
        <w:tc>
          <w:tcPr>
            <w:tcW w:w="2268" w:type="dxa"/>
            <w:tcBorders>
              <w:top w:val="nil"/>
              <w:left w:val="nil"/>
              <w:bottom w:val="nil"/>
              <w:right w:val="nil"/>
            </w:tcBorders>
          </w:tcPr>
          <w:p w:rsidR="00B46350" w:rsidRPr="000349FA" w:rsidRDefault="00B46350" w:rsidP="00B46350">
            <w:pPr>
              <w:spacing w:line="240" w:lineRule="auto"/>
              <w:jc w:val="left"/>
              <w:rPr>
                <w:i/>
                <w:sz w:val="20"/>
                <w:szCs w:val="20"/>
              </w:rPr>
            </w:pPr>
            <w:r w:rsidRPr="000349FA">
              <w:rPr>
                <w:i/>
                <w:sz w:val="20"/>
                <w:szCs w:val="20"/>
              </w:rPr>
              <w:t>Herbicide strips</w:t>
            </w:r>
          </w:p>
        </w:tc>
        <w:tc>
          <w:tcPr>
            <w:tcW w:w="1848"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Present</w:t>
            </w:r>
          </w:p>
        </w:tc>
        <w:tc>
          <w:tcPr>
            <w:tcW w:w="2327"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Absent</w:t>
            </w:r>
          </w:p>
        </w:tc>
        <w:tc>
          <w:tcPr>
            <w:tcW w:w="2061"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Absent</w:t>
            </w:r>
          </w:p>
        </w:tc>
      </w:tr>
      <w:tr w:rsidR="00B46350" w:rsidRPr="00293ABC" w:rsidTr="00B46350">
        <w:trPr>
          <w:jc w:val="center"/>
        </w:trPr>
        <w:tc>
          <w:tcPr>
            <w:tcW w:w="2268" w:type="dxa"/>
            <w:tcBorders>
              <w:top w:val="nil"/>
              <w:left w:val="nil"/>
              <w:bottom w:val="nil"/>
              <w:right w:val="nil"/>
            </w:tcBorders>
          </w:tcPr>
          <w:p w:rsidR="00B46350" w:rsidRPr="000349FA" w:rsidRDefault="00B46350" w:rsidP="00B46350">
            <w:pPr>
              <w:spacing w:line="240" w:lineRule="auto"/>
              <w:jc w:val="left"/>
              <w:rPr>
                <w:i/>
                <w:sz w:val="20"/>
                <w:szCs w:val="20"/>
              </w:rPr>
            </w:pPr>
            <w:r w:rsidRPr="000349FA">
              <w:rPr>
                <w:i/>
                <w:sz w:val="20"/>
                <w:szCs w:val="20"/>
              </w:rPr>
              <w:t>Pruning</w:t>
            </w:r>
          </w:p>
        </w:tc>
        <w:tc>
          <w:tcPr>
            <w:tcW w:w="1848"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Frequent and intense pruning to remove all dead/decaying wood</w:t>
            </w:r>
          </w:p>
        </w:tc>
        <w:tc>
          <w:tcPr>
            <w:tcW w:w="2327"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Low level</w:t>
            </w:r>
          </w:p>
        </w:tc>
        <w:tc>
          <w:tcPr>
            <w:tcW w:w="2061"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Low level</w:t>
            </w:r>
          </w:p>
        </w:tc>
      </w:tr>
      <w:tr w:rsidR="00B46350" w:rsidRPr="00293ABC" w:rsidTr="00BF07DF">
        <w:trPr>
          <w:jc w:val="center"/>
        </w:trPr>
        <w:tc>
          <w:tcPr>
            <w:tcW w:w="2268" w:type="dxa"/>
            <w:tcBorders>
              <w:top w:val="nil"/>
              <w:left w:val="nil"/>
              <w:bottom w:val="nil"/>
              <w:right w:val="nil"/>
            </w:tcBorders>
          </w:tcPr>
          <w:p w:rsidR="00B46350" w:rsidRPr="000349FA" w:rsidRDefault="00B46350" w:rsidP="00B46350">
            <w:pPr>
              <w:spacing w:line="240" w:lineRule="auto"/>
              <w:jc w:val="left"/>
              <w:rPr>
                <w:i/>
                <w:sz w:val="20"/>
                <w:szCs w:val="20"/>
              </w:rPr>
            </w:pPr>
            <w:r w:rsidRPr="000349FA">
              <w:rPr>
                <w:i/>
                <w:sz w:val="20"/>
                <w:szCs w:val="20"/>
              </w:rPr>
              <w:t>Fertiliser  input</w:t>
            </w:r>
          </w:p>
        </w:tc>
        <w:tc>
          <w:tcPr>
            <w:tcW w:w="1848"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Frequent</w:t>
            </w:r>
          </w:p>
        </w:tc>
        <w:tc>
          <w:tcPr>
            <w:tcW w:w="2327" w:type="dxa"/>
            <w:tcBorders>
              <w:top w:val="nil"/>
              <w:left w:val="nil"/>
              <w:bottom w:val="nil"/>
              <w:right w:val="nil"/>
            </w:tcBorders>
          </w:tcPr>
          <w:p w:rsidR="00B46350" w:rsidRPr="000349FA" w:rsidRDefault="00B46350" w:rsidP="00B46350">
            <w:pPr>
              <w:spacing w:line="240" w:lineRule="auto"/>
              <w:jc w:val="left"/>
              <w:rPr>
                <w:sz w:val="20"/>
                <w:szCs w:val="20"/>
              </w:rPr>
            </w:pPr>
            <w:r w:rsidRPr="000349FA">
              <w:rPr>
                <w:sz w:val="20"/>
                <w:szCs w:val="20"/>
              </w:rPr>
              <w:t>Occasional/none</w:t>
            </w:r>
          </w:p>
        </w:tc>
        <w:tc>
          <w:tcPr>
            <w:tcW w:w="2061" w:type="dxa"/>
            <w:tcBorders>
              <w:top w:val="nil"/>
              <w:left w:val="nil"/>
              <w:bottom w:val="nil"/>
              <w:right w:val="nil"/>
            </w:tcBorders>
          </w:tcPr>
          <w:p w:rsidR="00B46350" w:rsidRPr="000349FA" w:rsidRDefault="00B46350" w:rsidP="00B46350">
            <w:pPr>
              <w:spacing w:line="240" w:lineRule="auto"/>
              <w:jc w:val="left"/>
              <w:rPr>
                <w:sz w:val="20"/>
                <w:szCs w:val="20"/>
              </w:rPr>
            </w:pPr>
            <w:r>
              <w:rPr>
                <w:sz w:val="20"/>
                <w:szCs w:val="20"/>
              </w:rPr>
              <w:t>n</w:t>
            </w:r>
            <w:r w:rsidRPr="000349FA">
              <w:rPr>
                <w:sz w:val="20"/>
                <w:szCs w:val="20"/>
              </w:rPr>
              <w:t>one</w:t>
            </w:r>
          </w:p>
        </w:tc>
      </w:tr>
      <w:tr w:rsidR="00B46350" w:rsidRPr="00293ABC" w:rsidTr="00BF07DF">
        <w:trPr>
          <w:jc w:val="center"/>
        </w:trPr>
        <w:tc>
          <w:tcPr>
            <w:tcW w:w="2268" w:type="dxa"/>
            <w:tcBorders>
              <w:top w:val="nil"/>
              <w:left w:val="nil"/>
              <w:bottom w:val="single" w:sz="4" w:space="0" w:color="auto"/>
              <w:right w:val="nil"/>
            </w:tcBorders>
          </w:tcPr>
          <w:p w:rsidR="00B46350" w:rsidRPr="000349FA" w:rsidRDefault="00B46350" w:rsidP="00B46350">
            <w:pPr>
              <w:spacing w:line="240" w:lineRule="auto"/>
              <w:jc w:val="left"/>
              <w:rPr>
                <w:i/>
                <w:sz w:val="20"/>
                <w:szCs w:val="20"/>
              </w:rPr>
            </w:pPr>
            <w:r w:rsidRPr="000349FA">
              <w:rPr>
                <w:i/>
                <w:sz w:val="20"/>
                <w:szCs w:val="20"/>
              </w:rPr>
              <w:t>Chemical control  inputs</w:t>
            </w:r>
          </w:p>
        </w:tc>
        <w:tc>
          <w:tcPr>
            <w:tcW w:w="1848" w:type="dxa"/>
            <w:tcBorders>
              <w:top w:val="nil"/>
              <w:left w:val="nil"/>
              <w:bottom w:val="single" w:sz="4" w:space="0" w:color="auto"/>
              <w:right w:val="nil"/>
            </w:tcBorders>
          </w:tcPr>
          <w:p w:rsidR="00B46350" w:rsidRPr="000349FA" w:rsidRDefault="00B46350" w:rsidP="00B46350">
            <w:pPr>
              <w:spacing w:line="240" w:lineRule="auto"/>
              <w:jc w:val="left"/>
              <w:rPr>
                <w:sz w:val="20"/>
                <w:szCs w:val="20"/>
              </w:rPr>
            </w:pPr>
            <w:r w:rsidRPr="000349FA">
              <w:rPr>
                <w:sz w:val="20"/>
                <w:szCs w:val="20"/>
              </w:rPr>
              <w:t>Frequent (10-14 applications year</w:t>
            </w:r>
            <w:r w:rsidRPr="000349FA">
              <w:rPr>
                <w:sz w:val="20"/>
                <w:szCs w:val="20"/>
                <w:vertAlign w:val="superscript"/>
              </w:rPr>
              <w:t xml:space="preserve">-1 </w:t>
            </w:r>
            <w:r w:rsidRPr="000349FA">
              <w:rPr>
                <w:sz w:val="20"/>
                <w:szCs w:val="20"/>
              </w:rPr>
              <w:t>)</w:t>
            </w:r>
          </w:p>
        </w:tc>
        <w:tc>
          <w:tcPr>
            <w:tcW w:w="2327" w:type="dxa"/>
            <w:tcBorders>
              <w:top w:val="nil"/>
              <w:left w:val="nil"/>
              <w:bottom w:val="single" w:sz="4" w:space="0" w:color="auto"/>
              <w:right w:val="nil"/>
            </w:tcBorders>
          </w:tcPr>
          <w:p w:rsidR="00B46350" w:rsidRPr="000349FA" w:rsidRDefault="00B46350" w:rsidP="00B46350">
            <w:pPr>
              <w:spacing w:line="240" w:lineRule="auto"/>
              <w:jc w:val="left"/>
              <w:rPr>
                <w:sz w:val="20"/>
                <w:szCs w:val="20"/>
              </w:rPr>
            </w:pPr>
            <w:r w:rsidRPr="000349FA">
              <w:rPr>
                <w:sz w:val="20"/>
                <w:szCs w:val="20"/>
              </w:rPr>
              <w:t>Occasional</w:t>
            </w:r>
            <w:r>
              <w:rPr>
                <w:sz w:val="20"/>
                <w:szCs w:val="20"/>
              </w:rPr>
              <w:t>/none</w:t>
            </w:r>
          </w:p>
        </w:tc>
        <w:tc>
          <w:tcPr>
            <w:tcW w:w="2061" w:type="dxa"/>
            <w:tcBorders>
              <w:top w:val="nil"/>
              <w:left w:val="nil"/>
              <w:bottom w:val="single" w:sz="4" w:space="0" w:color="auto"/>
              <w:right w:val="nil"/>
            </w:tcBorders>
          </w:tcPr>
          <w:p w:rsidR="00B46350" w:rsidRPr="000349FA" w:rsidRDefault="00B46350" w:rsidP="00B46350">
            <w:pPr>
              <w:spacing w:line="240" w:lineRule="auto"/>
              <w:jc w:val="left"/>
              <w:rPr>
                <w:sz w:val="20"/>
                <w:szCs w:val="20"/>
              </w:rPr>
            </w:pPr>
            <w:r>
              <w:rPr>
                <w:sz w:val="20"/>
                <w:szCs w:val="20"/>
              </w:rPr>
              <w:t>n</w:t>
            </w:r>
            <w:r w:rsidRPr="000349FA">
              <w:rPr>
                <w:sz w:val="20"/>
                <w:szCs w:val="20"/>
              </w:rPr>
              <w:t>one</w:t>
            </w:r>
          </w:p>
        </w:tc>
      </w:tr>
    </w:tbl>
    <w:p w:rsidR="00BF07DF" w:rsidRDefault="00BF07DF" w:rsidP="00B46350"/>
    <w:p w:rsidR="00B46350" w:rsidRPr="007A1FCF" w:rsidRDefault="00B46350" w:rsidP="00B46350">
      <w:r w:rsidRPr="007A1FCF">
        <w:t xml:space="preserve">To select study sites </w:t>
      </w:r>
      <w:r w:rsidR="00BF07DF">
        <w:t>(</w:t>
      </w:r>
      <w:r w:rsidR="00BF07DF">
        <w:fldChar w:fldCharType="begin"/>
      </w:r>
      <w:r w:rsidR="00BF07DF">
        <w:instrText xml:space="preserve"> REF _Ref469919961 \h </w:instrText>
      </w:r>
      <w:r w:rsidR="00BF07DF">
        <w:fldChar w:fldCharType="separate"/>
      </w:r>
      <w:r w:rsidR="00E0714D" w:rsidRPr="00861E0B">
        <w:t xml:space="preserve">Figure </w:t>
      </w:r>
      <w:r w:rsidR="00E0714D">
        <w:rPr>
          <w:noProof/>
        </w:rPr>
        <w:t>3</w:t>
      </w:r>
      <w:r w:rsidR="00E0714D" w:rsidRPr="00861E0B">
        <w:t>.</w:t>
      </w:r>
      <w:r w:rsidR="00E0714D">
        <w:rPr>
          <w:noProof/>
        </w:rPr>
        <w:t>1</w:t>
      </w:r>
      <w:r w:rsidR="00BF07DF">
        <w:fldChar w:fldCharType="end"/>
      </w:r>
      <w:r w:rsidR="00BF07DF">
        <w:t xml:space="preserve">) </w:t>
      </w:r>
      <w:r w:rsidRPr="007A1FCF">
        <w:t>a random stratified sampling method was used. First</w:t>
      </w:r>
      <w:r>
        <w:t>ly</w:t>
      </w:r>
      <w:r w:rsidRPr="007A1FCF">
        <w:t xml:space="preserve"> 25 organic standard orchards (the least abundant orchard type) were randomly selected from a directory of contract growers belonging to </w:t>
      </w:r>
      <w:proofErr w:type="spellStart"/>
      <w:r w:rsidRPr="007A1FCF">
        <w:t>Westons</w:t>
      </w:r>
      <w:proofErr w:type="spellEnd"/>
      <w:r w:rsidRPr="007A1FCF">
        <w:t xml:space="preserve"> Cider Ltd, one of the major organic cider producers in the area.  Secondly using a directory of conventional bush and conventional standard orchards belonging to contract farmers for </w:t>
      </w:r>
      <w:proofErr w:type="spellStart"/>
      <w:r w:rsidRPr="007A1FCF">
        <w:t>Bulmers</w:t>
      </w:r>
      <w:proofErr w:type="spellEnd"/>
      <w:r w:rsidRPr="007A1FCF">
        <w:t xml:space="preserve"> Cider</w:t>
      </w:r>
      <w:r>
        <w:t>,</w:t>
      </w:r>
      <w:r w:rsidRPr="007A1FCF">
        <w:t xml:space="preserve"> the closest possible conventional bush and </w:t>
      </w:r>
      <w:r w:rsidRPr="007A1FCF">
        <w:lastRenderedPageBreak/>
        <w:t>standard orchards were matched to each organic standard orchard. All study orchards fit the following criteria (</w:t>
      </w:r>
      <w:proofErr w:type="spellStart"/>
      <w:r w:rsidRPr="007A1FCF">
        <w:t>i</w:t>
      </w:r>
      <w:proofErr w:type="spellEnd"/>
      <w:r w:rsidRPr="007A1FCF">
        <w:t>) orchard age of over 10 years, (ii) orchards had to be under the classified management for a minimum of 10 years (iii) orchard were larger than 100m</w:t>
      </w:r>
      <w:r w:rsidRPr="007A1FCF">
        <w:rPr>
          <w:vertAlign w:val="superscript"/>
        </w:rPr>
        <w:t>2</w:t>
      </w:r>
      <w:r w:rsidRPr="007A1FCF">
        <w:t xml:space="preserve"> in area.  All farmers were then contacted to gain permission for use o</w:t>
      </w:r>
      <w:r w:rsidR="00861E0B">
        <w:t>f their orchards for the study.</w:t>
      </w:r>
    </w:p>
    <w:p w:rsidR="00B46350" w:rsidRPr="00E32EDD" w:rsidRDefault="00B46350" w:rsidP="00B46350">
      <w:r w:rsidRPr="007A1FCF">
        <w:t xml:space="preserve">Woodland ‘reference’ sites were selected by locating the closest woodland </w:t>
      </w:r>
      <w:r>
        <w:t>to the orchard groups that met</w:t>
      </w:r>
      <w:r w:rsidRPr="007A1FCF">
        <w:t xml:space="preserve"> th</w:t>
      </w:r>
      <w:r>
        <w:t>e following selection criteria:</w:t>
      </w:r>
      <w:r w:rsidRPr="007A1FCF">
        <w:t xml:space="preserve"> (</w:t>
      </w:r>
      <w:proofErr w:type="spellStart"/>
      <w:r w:rsidRPr="007A1FCF">
        <w:t>i</w:t>
      </w:r>
      <w:proofErr w:type="spellEnd"/>
      <w:r w:rsidRPr="007A1FCF">
        <w:t xml:space="preserve">) </w:t>
      </w:r>
      <w:r>
        <w:t>broadleaved woodland dominated by native species; oak (</w:t>
      </w:r>
      <w:proofErr w:type="spellStart"/>
      <w:r w:rsidRPr="00951D6E">
        <w:rPr>
          <w:i/>
        </w:rPr>
        <w:t>Quercus</w:t>
      </w:r>
      <w:proofErr w:type="spellEnd"/>
      <w:r w:rsidRPr="00951D6E">
        <w:rPr>
          <w:i/>
        </w:rPr>
        <w:t xml:space="preserve"> </w:t>
      </w:r>
      <w:proofErr w:type="spellStart"/>
      <w:r w:rsidRPr="00951D6E">
        <w:rPr>
          <w:i/>
        </w:rPr>
        <w:t>sp</w:t>
      </w:r>
      <w:proofErr w:type="spellEnd"/>
      <w:r>
        <w:t>), ash (</w:t>
      </w:r>
      <w:proofErr w:type="spellStart"/>
      <w:r w:rsidRPr="003D45F4">
        <w:rPr>
          <w:i/>
        </w:rPr>
        <w:t>Fraxinus</w:t>
      </w:r>
      <w:proofErr w:type="spellEnd"/>
      <w:r w:rsidRPr="003D45F4">
        <w:rPr>
          <w:i/>
        </w:rPr>
        <w:t xml:space="preserve"> excelsior</w:t>
      </w:r>
      <w:r>
        <w:t>), beech (</w:t>
      </w:r>
      <w:r w:rsidRPr="00951D6E">
        <w:rPr>
          <w:i/>
        </w:rPr>
        <w:t>Fagus</w:t>
      </w:r>
      <w:r>
        <w:rPr>
          <w:i/>
        </w:rPr>
        <w:t xml:space="preserve"> sylvatica</w:t>
      </w:r>
      <w:r>
        <w:t>) and hazel (</w:t>
      </w:r>
      <w:proofErr w:type="spellStart"/>
      <w:r w:rsidRPr="00951D6E">
        <w:rPr>
          <w:i/>
        </w:rPr>
        <w:t>Corylus</w:t>
      </w:r>
      <w:proofErr w:type="spellEnd"/>
      <w:r w:rsidRPr="00951D6E">
        <w:rPr>
          <w:i/>
        </w:rPr>
        <w:t xml:space="preserve"> </w:t>
      </w:r>
      <w:proofErr w:type="spellStart"/>
      <w:r w:rsidRPr="00951D6E">
        <w:rPr>
          <w:i/>
        </w:rPr>
        <w:t>avellana</w:t>
      </w:r>
      <w:proofErr w:type="spellEnd"/>
      <w:r>
        <w:t xml:space="preserve">), </w:t>
      </w:r>
      <w:r w:rsidRPr="007A1FCF">
        <w:t>ii) woodland had been established for over 10 years (ii) woodland area was greater than 100m</w:t>
      </w:r>
      <w:r w:rsidRPr="007A1FCF">
        <w:rPr>
          <w:vertAlign w:val="superscript"/>
        </w:rPr>
        <w:t>2</w:t>
      </w:r>
      <w:r w:rsidRPr="007A1FCF">
        <w:t xml:space="preserve">. </w:t>
      </w:r>
      <w:r>
        <w:t xml:space="preserve">Similarly, the nearest arable fields were chosen as a ‘reference’ site based on the following selection criteria </w:t>
      </w:r>
      <w:r w:rsidRPr="007A1FCF">
        <w:t xml:space="preserve"> (</w:t>
      </w:r>
      <w:proofErr w:type="spellStart"/>
      <w:r w:rsidRPr="007A1FCF">
        <w:t>i</w:t>
      </w:r>
      <w:proofErr w:type="spellEnd"/>
      <w:r w:rsidRPr="007A1FCF">
        <w:t>) field was sown with wint</w:t>
      </w:r>
      <w:r>
        <w:t>er cereals (either winter wheat (</w:t>
      </w:r>
      <w:proofErr w:type="spellStart"/>
      <w:r w:rsidRPr="006A6AD0">
        <w:rPr>
          <w:i/>
        </w:rPr>
        <w:t>Triticum</w:t>
      </w:r>
      <w:proofErr w:type="spellEnd"/>
      <w:r w:rsidRPr="006A6AD0">
        <w:rPr>
          <w:i/>
        </w:rPr>
        <w:t xml:space="preserve"> </w:t>
      </w:r>
      <w:proofErr w:type="spellStart"/>
      <w:r w:rsidRPr="006A6AD0">
        <w:rPr>
          <w:i/>
        </w:rPr>
        <w:t>aestivum</w:t>
      </w:r>
      <w:proofErr w:type="spellEnd"/>
      <w:r>
        <w:t>)</w:t>
      </w:r>
      <w:r w:rsidRPr="007A1FCF">
        <w:t xml:space="preserve"> or winter</w:t>
      </w:r>
      <w:r>
        <w:t xml:space="preserve"> barley (</w:t>
      </w:r>
      <w:proofErr w:type="spellStart"/>
      <w:r>
        <w:rPr>
          <w:i/>
        </w:rPr>
        <w:t>Hordeum</w:t>
      </w:r>
      <w:proofErr w:type="spellEnd"/>
      <w:r>
        <w:rPr>
          <w:i/>
        </w:rPr>
        <w:t xml:space="preserve"> vul</w:t>
      </w:r>
      <w:r w:rsidRPr="006A6AD0">
        <w:rPr>
          <w:i/>
        </w:rPr>
        <w:t>gare</w:t>
      </w:r>
      <w:r w:rsidRPr="007A1FCF">
        <w:t>), (ii) field had been under</w:t>
      </w:r>
      <w:r>
        <w:t xml:space="preserve"> conventional</w:t>
      </w:r>
      <w:r w:rsidRPr="007A1FCF">
        <w:t xml:space="preserve"> arable cultivation for a minimum of 2 years, (iii) field area was greater than 100m</w:t>
      </w:r>
      <w:r w:rsidRPr="007A1FCF">
        <w:rPr>
          <w:vertAlign w:val="superscript"/>
        </w:rPr>
        <w:t>2</w:t>
      </w:r>
      <w:r w:rsidRPr="007A1FCF">
        <w:t>. In arable fields cores were taken a minimum of 1m away from the ‘tramlines’ where tractor wheels passed through the field to avoid any effects of compaction.  All sample and data collection was carried out during June, July and August 2013 and groups of habitat types were systematically visited to minimise differences in time of sampling over the season. Permission to access land was obtained from al</w:t>
      </w:r>
      <w:r>
        <w:t>l landowners prior to sampling.</w:t>
      </w:r>
    </w:p>
    <w:p w:rsidR="00B46350" w:rsidRPr="004474B2" w:rsidRDefault="00B46350" w:rsidP="00B46350">
      <w:pPr>
        <w:rPr>
          <w:sz w:val="12"/>
          <w:szCs w:val="12"/>
        </w:rPr>
      </w:pPr>
      <w:r>
        <w:rPr>
          <w:noProof/>
          <w:sz w:val="12"/>
          <w:szCs w:val="12"/>
          <w:lang w:eastAsia="en-GB"/>
        </w:rPr>
        <mc:AlternateContent>
          <mc:Choice Requires="wpg">
            <w:drawing>
              <wp:anchor distT="0" distB="0" distL="114300" distR="114300" simplePos="0" relativeHeight="251666432" behindDoc="0" locked="0" layoutInCell="1" allowOverlap="1" wp14:anchorId="75AFE02F" wp14:editId="7738528C">
                <wp:simplePos x="0" y="0"/>
                <wp:positionH relativeFrom="column">
                  <wp:posOffset>3699002</wp:posOffset>
                </wp:positionH>
                <wp:positionV relativeFrom="paragraph">
                  <wp:posOffset>1060723</wp:posOffset>
                </wp:positionV>
                <wp:extent cx="1537335" cy="1447165"/>
                <wp:effectExtent l="0" t="0" r="5715" b="635"/>
                <wp:wrapNone/>
                <wp:docPr id="4" name="Group 4"/>
                <wp:cNvGraphicFramePr/>
                <a:graphic xmlns:a="http://schemas.openxmlformats.org/drawingml/2006/main">
                  <a:graphicData uri="http://schemas.microsoft.com/office/word/2010/wordprocessingGroup">
                    <wpg:wgp>
                      <wpg:cNvGrpSpPr/>
                      <wpg:grpSpPr>
                        <a:xfrm>
                          <a:off x="0" y="0"/>
                          <a:ext cx="1537335" cy="1447165"/>
                          <a:chOff x="-343535" y="-239790"/>
                          <a:chExt cx="1537335" cy="1447165"/>
                        </a:xfrm>
                      </wpg:grpSpPr>
                      <pic:pic xmlns:pic="http://schemas.openxmlformats.org/drawingml/2006/picture">
                        <pic:nvPicPr>
                          <pic:cNvPr id="5" name="Picture 5"/>
                          <pic:cNvPicPr>
                            <a:picLocks noChangeAspect="1"/>
                          </pic:cNvPicPr>
                        </pic:nvPicPr>
                        <pic:blipFill rotWithShape="1">
                          <a:blip r:embed="rId26" cstate="print">
                            <a:extLst>
                              <a:ext uri="{28A0092B-C50C-407E-A947-70E740481C1C}">
                                <a14:useLocalDpi xmlns:a14="http://schemas.microsoft.com/office/drawing/2010/main" val="0"/>
                              </a:ext>
                            </a:extLst>
                          </a:blip>
                          <a:srcRect l="10584" t="6979" r="50259" b="40927"/>
                          <a:stretch/>
                        </pic:blipFill>
                        <pic:spPr bwMode="auto">
                          <a:xfrm>
                            <a:off x="-343535" y="-239790"/>
                            <a:ext cx="1537335" cy="1447165"/>
                          </a:xfrm>
                          <a:prstGeom prst="rect">
                            <a:avLst/>
                          </a:prstGeom>
                          <a:ln>
                            <a:noFill/>
                          </a:ln>
                          <a:extLst>
                            <a:ext uri="{53640926-AAD7-44D8-BBD7-CCE9431645EC}">
                              <a14:shadowObscured xmlns:a14="http://schemas.microsoft.com/office/drawing/2010/main"/>
                            </a:ext>
                          </a:extLst>
                        </pic:spPr>
                      </pic:pic>
                      <wps:wsp>
                        <wps:cNvPr id="6" name="Text Box 2"/>
                        <wps:cNvSpPr txBox="1">
                          <a:spLocks noChangeArrowheads="1"/>
                        </wps:cNvSpPr>
                        <wps:spPr bwMode="auto">
                          <a:xfrm>
                            <a:off x="-86983" y="141737"/>
                            <a:ext cx="927100" cy="340995"/>
                          </a:xfrm>
                          <a:prstGeom prst="rect">
                            <a:avLst/>
                          </a:prstGeom>
                          <a:noFill/>
                          <a:ln w="9525">
                            <a:noFill/>
                            <a:miter lim="800000"/>
                            <a:headEnd/>
                            <a:tailEnd/>
                          </a:ln>
                        </wps:spPr>
                        <wps:txbx>
                          <w:txbxContent>
                            <w:p w:rsidR="003C4E2F" w:rsidRPr="00FC625E" w:rsidRDefault="003C4E2F" w:rsidP="00B46350">
                              <w:pPr>
                                <w:rPr>
                                  <w:sz w:val="16"/>
                                  <w:szCs w:val="16"/>
                                </w:rPr>
                              </w:pPr>
                              <w:r w:rsidRPr="00FC625E">
                                <w:rPr>
                                  <w:sz w:val="16"/>
                                  <w:szCs w:val="16"/>
                                </w:rPr>
                                <w:t>Herefordshire</w:t>
                              </w:r>
                            </w:p>
                          </w:txbxContent>
                        </wps:txbx>
                        <wps:bodyPr rot="0" vert="horz" wrap="square" lIns="91440" tIns="45720" rIns="91440" bIns="45720" anchor="t" anchorCtr="0">
                          <a:noAutofit/>
                        </wps:bodyPr>
                      </wps:wsp>
                    </wpg:wgp>
                  </a:graphicData>
                </a:graphic>
              </wp:anchor>
            </w:drawing>
          </mc:Choice>
          <mc:Fallback>
            <w:pict>
              <v:group w14:anchorId="75AFE02F" id="Group 4" o:spid="_x0000_s1031" style="position:absolute;left:0;text-align:left;margin-left:291.25pt;margin-top:83.5pt;width:121.05pt;height:113.95pt;z-index:251666432" coordorigin="-3435,-2397" coordsize="15373,14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">
                <v:shape id="Picture 5" o:spid="_x0000_s1032" type="#_x0000_t75" style="position:absolute;left:-3435;top:-2397;width:15373;height:14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6UgrBAAAA2gAAAA8AAABkcnMvZG93bnJldi54bWxEj0FrAjEUhO8F/0N4Qm81a0utrEYRoeKh&#10;tFTF82Pz3F1287IkMcZ/3xQKPQ4z8w2zXCfTi0jOt5YVTCcFCOLK6pZrBafj+9MchA/IGnvLpOBO&#10;Htar0cMSS21v/E3xEGqRIexLVNCEMJRS+qohg35iB+LsXawzGLJ0tdQObxluevlcFDNpsOW80OBA&#10;24aq7nA1CpJ7OccuvvFHZz71l9nF8yxFpR7HabMAESiF//Bfe68VvMLvlXwD5O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76UgrBAAAA2gAAAA8AAAAAAAAAAAAAAAAAnwIA&#10;AGRycy9kb3ducmV2LnhtbFBLBQYAAAAABAAEAPcAAACNAwAAAAA=&#10;">
                  <v:imagedata r:id="rId27" o:title="" croptop="4574f" cropbottom="26822f" cropleft="6936f" cropright="32938f"/>
                  <v:path arrowok="t"/>
                </v:shape>
                <v:shape id="_x0000_s1033" type="#_x0000_t202" style="position:absolute;left:-869;top:1417;width:9270;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rsidR="003C4E2F" w:rsidRPr="00FC625E" w:rsidRDefault="003C4E2F" w:rsidP="00B46350">
                        <w:pPr>
                          <w:rPr>
                            <w:sz w:val="16"/>
                            <w:szCs w:val="16"/>
                          </w:rPr>
                        </w:pPr>
                        <w:r w:rsidRPr="00FC625E">
                          <w:rPr>
                            <w:sz w:val="16"/>
                            <w:szCs w:val="16"/>
                          </w:rPr>
                          <w:t>Herefordshire</w:t>
                        </w:r>
                      </w:p>
                    </w:txbxContent>
                  </v:textbox>
                </v:shape>
              </v:group>
            </w:pict>
          </mc:Fallback>
        </mc:AlternateContent>
      </w:r>
      <w:r>
        <w:rPr>
          <w:noProof/>
          <w:sz w:val="12"/>
          <w:szCs w:val="12"/>
          <w:lang w:eastAsia="en-GB"/>
        </w:rPr>
        <w:drawing>
          <wp:inline distT="0" distB="0" distL="0" distR="0" wp14:anchorId="46C3BF38" wp14:editId="5E8B92A5">
            <wp:extent cx="5233405" cy="2541319"/>
            <wp:effectExtent l="0" t="0" r="571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all_25_5habitats.png"/>
                    <pic:cNvPicPr/>
                  </pic:nvPicPr>
                  <pic:blipFill rotWithShape="1">
                    <a:blip r:embed="rId28">
                      <a:extLst>
                        <a:ext uri="{28A0092B-C50C-407E-A947-70E740481C1C}">
                          <a14:useLocalDpi xmlns:a14="http://schemas.microsoft.com/office/drawing/2010/main" val="0"/>
                        </a:ext>
                      </a:extLst>
                    </a:blip>
                    <a:srcRect l="3195" t="10835" r="7636" b="27978"/>
                    <a:stretch/>
                  </pic:blipFill>
                  <pic:spPr bwMode="auto">
                    <a:xfrm>
                      <a:off x="0" y="0"/>
                      <a:ext cx="5252219" cy="2550455"/>
                    </a:xfrm>
                    <a:prstGeom prst="rect">
                      <a:avLst/>
                    </a:prstGeom>
                    <a:ln>
                      <a:noFill/>
                    </a:ln>
                    <a:extLst>
                      <a:ext uri="{53640926-AAD7-44D8-BBD7-CCE9431645EC}">
                        <a14:shadowObscured xmlns:a14="http://schemas.microsoft.com/office/drawing/2010/main"/>
                      </a:ext>
                    </a:extLst>
                  </pic:spPr>
                </pic:pic>
              </a:graphicData>
            </a:graphic>
          </wp:inline>
        </w:drawing>
      </w:r>
    </w:p>
    <w:p w:rsidR="00B46350" w:rsidRPr="00861E0B" w:rsidRDefault="00B46350" w:rsidP="00861E0B">
      <w:pPr>
        <w:pStyle w:val="Caption"/>
      </w:pPr>
      <w:bookmarkStart w:id="236" w:name="_Ref469919961"/>
      <w:bookmarkStart w:id="237" w:name="_Toc469982766"/>
      <w:r w:rsidRPr="00861E0B">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rsidRPr="00861E0B">
        <w:t>.</w:t>
      </w:r>
      <w:r w:rsidR="00C44EF5">
        <w:fldChar w:fldCharType="begin"/>
      </w:r>
      <w:r w:rsidR="00C44EF5">
        <w:instrText xml:space="preserve"> SEQ Figure \* ARABIC \s 1 </w:instrText>
      </w:r>
      <w:r w:rsidR="00C44EF5">
        <w:fldChar w:fldCharType="separate"/>
      </w:r>
      <w:r w:rsidR="00E0714D">
        <w:rPr>
          <w:noProof/>
        </w:rPr>
        <w:t>1</w:t>
      </w:r>
      <w:r w:rsidR="00C44EF5">
        <w:rPr>
          <w:noProof/>
        </w:rPr>
        <w:fldChar w:fldCharType="end"/>
      </w:r>
      <w:bookmarkEnd w:id="236"/>
      <w:r w:rsidRPr="00861E0B">
        <w:t xml:space="preserve"> Location of study orchards, woodland and arable sites within Herefordshire, UK.  Twenty five sites were sampled for each of the five habitat types. All samples were collected June to August 2013.</w:t>
      </w:r>
      <w:bookmarkEnd w:id="237"/>
    </w:p>
    <w:p w:rsidR="00B46350" w:rsidRPr="007A1FCF" w:rsidRDefault="00B46350" w:rsidP="00B46350">
      <w:pPr>
        <w:pStyle w:val="Heading3"/>
      </w:pPr>
      <w:bookmarkStart w:id="238" w:name="_Toc464758682"/>
      <w:bookmarkStart w:id="239" w:name="_Toc469855040"/>
      <w:bookmarkStart w:id="240" w:name="_Toc469856040"/>
      <w:bookmarkStart w:id="241" w:name="_Ref469867747"/>
      <w:bookmarkStart w:id="242" w:name="_Toc469931949"/>
      <w:bookmarkStart w:id="243" w:name="_Toc469982270"/>
      <w:r w:rsidRPr="007A1FCF">
        <w:t>Study site environmental data collection</w:t>
      </w:r>
      <w:bookmarkEnd w:id="238"/>
      <w:bookmarkEnd w:id="239"/>
      <w:bookmarkEnd w:id="240"/>
      <w:bookmarkEnd w:id="241"/>
      <w:bookmarkEnd w:id="242"/>
      <w:bookmarkEnd w:id="243"/>
    </w:p>
    <w:p w:rsidR="00B46350" w:rsidRPr="007A1FCF" w:rsidRDefault="00B46350" w:rsidP="00B46350">
      <w:r w:rsidRPr="007A1FCF">
        <w:t xml:space="preserve">For each of the study orchards the following details </w:t>
      </w:r>
      <w:r>
        <w:t>we</w:t>
      </w:r>
      <w:r w:rsidRPr="007A1FCF">
        <w:t>re recorded (1) tree scion varieties, (2) tree rootstock varieties, (3) date of plant</w:t>
      </w:r>
      <w:r>
        <w:t>ing</w:t>
      </w:r>
      <w:r w:rsidRPr="007A1FCF">
        <w:t xml:space="preserve"> in orchard, (4) orchard size, (5) names and amounts of all chemicals (fertilisers, pesticides, herbicides or fungicides) treatments applied to orchards over the current and previous growing season, (6) estimate of yield per orchard, (7) whether the orchard is grazed or had been grazed within the past 2 years and if so the type of li</w:t>
      </w:r>
      <w:r w:rsidR="00861E0B">
        <w:t>vestock which had been present.</w:t>
      </w:r>
    </w:p>
    <w:p w:rsidR="00B46350" w:rsidRPr="007A1FCF" w:rsidRDefault="00B46350" w:rsidP="00B46350">
      <w:pPr>
        <w:pStyle w:val="Heading3"/>
      </w:pPr>
      <w:bookmarkStart w:id="244" w:name="_Toc464758683"/>
      <w:bookmarkStart w:id="245" w:name="_Toc469855041"/>
      <w:bookmarkStart w:id="246" w:name="_Toc469856041"/>
      <w:bookmarkStart w:id="247" w:name="_Ref469867818"/>
      <w:bookmarkStart w:id="248" w:name="_Toc469931950"/>
      <w:bookmarkStart w:id="249" w:name="_Toc469982271"/>
      <w:r w:rsidRPr="007A1FCF">
        <w:lastRenderedPageBreak/>
        <w:t>Soil sampling and growth of AMF bait plants</w:t>
      </w:r>
      <w:bookmarkEnd w:id="244"/>
      <w:bookmarkEnd w:id="245"/>
      <w:bookmarkEnd w:id="246"/>
      <w:bookmarkEnd w:id="247"/>
      <w:bookmarkEnd w:id="248"/>
      <w:bookmarkEnd w:id="249"/>
    </w:p>
    <w:p w:rsidR="00B46350" w:rsidRPr="007A1FCF" w:rsidRDefault="00B46350" w:rsidP="00861E0B">
      <w:r w:rsidRPr="007A1FCF">
        <w:t>Six soil cores to a depth of 30 c</w:t>
      </w:r>
      <w:r>
        <w:t xml:space="preserve">m and diameter of 6 cm were collected from each site.  </w:t>
      </w:r>
      <w:r w:rsidRPr="007A1FCF">
        <w:t>Within orchards</w:t>
      </w:r>
      <w:r>
        <w:t xml:space="preserve"> six trees were randomly selected for sampling; cores were collected 0.5m from the base of three trees and 2.5 m from the base of three trees.  </w:t>
      </w:r>
      <w:r w:rsidRPr="007A1FCF">
        <w:t>All cores were collected perpendicular to tree rows to ensure that in bush orchards three samples were collected from both within the herbicide strip and from the grass alley between tree rows. Within woodland or arable sites soil core locations were selected randomly.  To reduce the possibility of ‘edge effects’ no samples were collected within 20</w:t>
      </w:r>
      <w:r>
        <w:t xml:space="preserve"> </w:t>
      </w:r>
      <w:r w:rsidRPr="007A1FCF">
        <w:t>m from the boundary of any of the habitat types. Similarly no samples were collected within 10m from any footpaths crossing sites.  Soil cores were homogenised by passing through a 1 cm x 1 cm mesh sieve. Soil was then mixed with sterilised sharp sand at a ratio of 1:5 sand to soil, to improve drainage of the clay soil and potted in 50</w:t>
      </w:r>
      <w:r>
        <w:t xml:space="preserve"> </w:t>
      </w:r>
      <w:r w:rsidRPr="007A1FCF">
        <w:t xml:space="preserve">ml pots. </w:t>
      </w:r>
      <w:r>
        <w:t>Leek (</w:t>
      </w:r>
      <w:r w:rsidRPr="002D2966">
        <w:rPr>
          <w:i/>
        </w:rPr>
        <w:t xml:space="preserve">Allium </w:t>
      </w:r>
      <w:proofErr w:type="spellStart"/>
      <w:r w:rsidRPr="002D2966">
        <w:rPr>
          <w:i/>
        </w:rPr>
        <w:t>porrum</w:t>
      </w:r>
      <w:proofErr w:type="spellEnd"/>
      <w:r>
        <w:rPr>
          <w:i/>
        </w:rPr>
        <w:t xml:space="preserve"> </w:t>
      </w:r>
      <w:r w:rsidRPr="002D2966">
        <w:t xml:space="preserve">var. </w:t>
      </w:r>
      <w:r>
        <w:t>‘</w:t>
      </w:r>
      <w:r w:rsidRPr="002D2966">
        <w:t>Muss</w:t>
      </w:r>
      <w:r w:rsidR="004930C5">
        <w:t>elb</w:t>
      </w:r>
      <w:r w:rsidRPr="002D2966">
        <w:t>u</w:t>
      </w:r>
      <w:r w:rsidR="004930C5">
        <w:t>r</w:t>
      </w:r>
      <w:r w:rsidRPr="002D2966">
        <w:t>gh</w:t>
      </w:r>
      <w:r>
        <w:t xml:space="preserve">’) was selected as a bait plant due to its ability to host a diverse range of AMF species and common use in AMF trap cultures </w:t>
      </w:r>
      <w:r>
        <w:fldChar w:fldCharType="begin"/>
      </w:r>
      <w:r w:rsidR="00954B3D">
        <w:instrText xml:space="preserve"> ADDIN ZOTERO_ITEM CSL_CITATION {"citationID":"1eupcp2rvc","properties":{"formattedCitation":"{\\rtf (Hart &amp; Reader, 2002; Jansa {\\i{}et al.}, 2016)}","plainCitation":"(Hart &amp; Reader, 2002; Jansa et al., 2016)"},"citationItems":[{"id":388,"uris":["http://zotero.org/users/local/d1gJDEOw/items/FTCNN6QR"],"uri":["http://zotero.org/users/local/d1gJDEOw/items/FTCNN6QR"],"itemData":{"id":388,"type":"article-journal","title":"Host plant benefit from association with arbuscular mycorrhizal fungi: variation due to differences in size of mycelium","container-title":"Biology and Fertility of Soils","page":"357-366","volume":"36","issue":"5","source":"CrossRef","DOI":"10.1007/s00374-002-0539-4","ISSN":"0178-2762, 1432-0789","shortTitle":"Host plant benefit from association with arbuscular mycorrhizal fungi","author":[{"family":"Hart","given":"Miranda"},{"family":"Reader","given":"Richard"}],"issued":{"date-parts":[["2002",11,1]]}}},{"id":493,"uris":["http://zotero.org/users/local/d1gJDEOw/items/UPVGMQX5"],"uri":["http://zotero.org/users/local/d1gJDEOw/items/UPVGMQX5"],"itemData":{"id":493,"type":"article-journal","title":"Root colonization of bait plants by indigenous arbuscular mycorrhizal fungal communities is not a suitable indicator of agricultural land-use legacy","container-title":"Agriculture Ecosystems &amp; Environment","page":"310-319","volume":"231","source":"Web of Science","abstract":"Arbuscular mycorrhizal (AM) fungi are present in all soils and comprise an important component of soil biota with respect to plant nutrition and growth as well as soil quality. Previous research in a number of agroecosystems had documented large impacts from various management practices (e.g., tillage, fertilization, crop rotation) on the levels of host root colonization and/or composition of the AM fungal communities in the roots and soil. Here, we tested whether a standardized mycorrhizal bioassay could contribute to deciphering soil-use legacy through detection of consistent changes in the colonization pattern of a mycorrhizal bait plant (leek). To this end, we grew the leek in a large number (154) of soils under uniform environmental conditions. Most of the variation in the mycorrhizal colonization of bait plants grown in the different soils, could be attributed to soil properties and sampling site altitude, whereas the occurrence of specific structures (vesicles) was particularly correlated with abundance of certain AM fungal taxa such as Rhizophagus sp. Contributions of the root colonization of bait plants to explaining agricultural management practices and soil heavy metal concentrations (frequently used as indicators of soil quality) were comparatively small and partly counterintuitive. For example, higher incidence of arbuscules was detected in soils to which mineral fertilizers were applied as compared to organically farmed soils. Moreover, the explanatory power of the bioassay was much less than was that for soil respiration, a well established bioindicator of soil quality. Therefore, the mycorrhizal bioassay tested here appears not to be suitable as an interpreter of soil-use legacy, even though it does uncover very clear trends in colonization patterns of the bait plants by indigenous AM communities across large environmental gradients. (C) 2016 Elsevier B.V. All rights reserved.","DOI":"10.1016/j.agee.2016.07.013","ISSN":"0167-8809","note":"WOS:000382592700033","journalAbbreviation":"Agric. Ecosyst. Environ.","language":"English","author":[{"family":"Jansa","given":"Jan"},{"family":"Rezacova","given":"Veronika"},{"family":"Smilauer","given":"Petr"},{"family":"Oberholzer","given":"Hans-Rudolf"},{"family":"Egli","given":"Simon"}],"issued":{"date-parts":[["2016",9,1]]}}}],"schema":"https://github.com/citation-style-language/schema/raw/master/csl-citation.json"} </w:instrText>
      </w:r>
      <w:r>
        <w:fldChar w:fldCharType="separate"/>
      </w:r>
      <w:r w:rsidR="00954B3D" w:rsidRPr="00954B3D">
        <w:rPr>
          <w:rFonts w:cs="Times New Roman"/>
          <w:szCs w:val="24"/>
        </w:rPr>
        <w:t xml:space="preserve">(Hart &amp; Reader, 2002; </w:t>
      </w:r>
      <w:proofErr w:type="spellStart"/>
      <w:r w:rsidR="00954B3D" w:rsidRPr="00954B3D">
        <w:rPr>
          <w:rFonts w:cs="Times New Roman"/>
          <w:szCs w:val="24"/>
        </w:rPr>
        <w:t>Jansa</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2016)</w:t>
      </w:r>
      <w:r>
        <w:fldChar w:fldCharType="end"/>
      </w:r>
      <w:r>
        <w:t xml:space="preserve">. </w:t>
      </w:r>
      <w:r w:rsidRPr="007A1FCF">
        <w:t xml:space="preserve">Ten leek seeds </w:t>
      </w:r>
      <w:r>
        <w:t>were</w:t>
      </w:r>
      <w:r w:rsidRPr="007A1FCF">
        <w:t xml:space="preserve"> planted p</w:t>
      </w:r>
      <w:r>
        <w:t>er pot and grown for 16 weeks</w:t>
      </w:r>
      <w:r w:rsidRPr="007A1FCF">
        <w:t xml:space="preserve"> in a temperature controlled greenhouse (day period: 16 hours 20°C, night period: 8 hours 15°</w:t>
      </w:r>
      <w:r w:rsidR="004930C5">
        <w:t>C</w:t>
      </w:r>
      <w:r w:rsidRPr="007A1FCF">
        <w:t>).</w:t>
      </w:r>
      <w:r>
        <w:t xml:space="preserve"> This lengthy period of growth was selected to ensure that AMF species with slow rates of colonisation would be represented in the AMF community by allowing sufficient time for colonisation of bait plant roots </w:t>
      </w:r>
      <w:r>
        <w:fldChar w:fldCharType="begin"/>
      </w:r>
      <w:r w:rsidR="00954B3D">
        <w:instrText xml:space="preserve"> ADDIN ZOTERO_ITEM CSL_CITATION {"citationID":"siqoml4id","properties":{"formattedCitation":"(Hart &amp; Reader, 2002)","plainCitation":"(Hart &amp; Reader, 2002)"},"citationItems":[{"id":388,"uris":["http://zotero.org/users/local/d1gJDEOw/items/FTCNN6QR"],"uri":["http://zotero.org/users/local/d1gJDEOw/items/FTCNN6QR"],"itemData":{"id":388,"type":"article-journal","title":"Host plant benefit from association with arbuscular mycorrhizal fungi: variation due to differences in size of mycelium","container-title":"Biology and Fertility of Soils","page":"357-366","volume":"36","issue":"5","source":"CrossRef","DOI":"10.1007/s00374-002-0539-4","ISSN":"0178-2762, 1432-0789","shortTitle":"Host plant benefit from association with arbuscular mycorrhizal fungi","author":[{"family":"Hart","given":"Miranda"},{"family":"Reader","given":"Richard"}],"issued":{"date-parts":[["2002",11,1]]}}}],"schema":"https://github.com/citation-style-language/schema/raw/master/csl-citation.json"} </w:instrText>
      </w:r>
      <w:r>
        <w:fldChar w:fldCharType="separate"/>
      </w:r>
      <w:r w:rsidR="00954B3D" w:rsidRPr="00954B3D">
        <w:rPr>
          <w:rFonts w:cs="Times New Roman"/>
        </w:rPr>
        <w:t>(Hart &amp; Reader, 2002)</w:t>
      </w:r>
      <w:r>
        <w:fldChar w:fldCharType="end"/>
      </w:r>
      <w:r>
        <w:t>.</w:t>
      </w:r>
      <w:r w:rsidRPr="007A1FCF">
        <w:t xml:space="preserve"> </w:t>
      </w:r>
      <w:r>
        <w:t xml:space="preserve"> </w:t>
      </w:r>
      <w:r w:rsidRPr="007A1FCF">
        <w:t>Supplementary lighting was used where necessary to ensure the required day length (</w:t>
      </w:r>
      <w:proofErr w:type="spellStart"/>
      <w:r w:rsidRPr="007A1FCF">
        <w:t>Helle</w:t>
      </w:r>
      <w:proofErr w:type="spellEnd"/>
      <w:r w:rsidRPr="007A1FCF">
        <w:t xml:space="preserve"> Lamps, IR400 HPS, </w:t>
      </w:r>
      <w:proofErr w:type="gramStart"/>
      <w:r w:rsidRPr="007A1FCF">
        <w:t>400</w:t>
      </w:r>
      <w:proofErr w:type="gramEnd"/>
      <w:r>
        <w:t xml:space="preserve"> </w:t>
      </w:r>
      <w:r w:rsidRPr="007A1FCF">
        <w:t>W).</w:t>
      </w:r>
      <w:r>
        <w:t xml:space="preserve"> </w:t>
      </w:r>
      <w:r w:rsidRPr="007A1FCF">
        <w:t xml:space="preserve">After </w:t>
      </w:r>
      <w:r>
        <w:t>16 weeks</w:t>
      </w:r>
      <w:r w:rsidRPr="007A1FCF">
        <w:t xml:space="preserve"> of growth the leek plants were harvested and roots were thoroughly washed and air dried at room temperature. </w:t>
      </w:r>
    </w:p>
    <w:p w:rsidR="00B46350" w:rsidRPr="007A1FCF" w:rsidRDefault="00B46350" w:rsidP="00B46350">
      <w:pPr>
        <w:pStyle w:val="Heading3"/>
      </w:pPr>
      <w:bookmarkStart w:id="250" w:name="_Toc469855042"/>
      <w:bookmarkStart w:id="251" w:name="_Toc469856042"/>
      <w:bookmarkStart w:id="252" w:name="_Toc469931951"/>
      <w:bookmarkStart w:id="253" w:name="_Toc469982272"/>
      <w:bookmarkStart w:id="254" w:name="_Toc464758684"/>
      <w:r w:rsidRPr="007A1FCF">
        <w:t>DNA extraction</w:t>
      </w:r>
      <w:bookmarkEnd w:id="250"/>
      <w:bookmarkEnd w:id="251"/>
      <w:bookmarkEnd w:id="252"/>
      <w:bookmarkEnd w:id="253"/>
      <w:r w:rsidRPr="007A1FCF">
        <w:t xml:space="preserve"> </w:t>
      </w:r>
      <w:bookmarkEnd w:id="254"/>
    </w:p>
    <w:p w:rsidR="00B46350" w:rsidRDefault="00B46350" w:rsidP="00861E0B">
      <w:r w:rsidRPr="007A1FCF">
        <w:t>Root systems were then cut into 1cm sections, a random subsample</w:t>
      </w:r>
      <w:r>
        <w:t xml:space="preserve"> of roughly 10 pieces</w:t>
      </w:r>
      <w:r w:rsidRPr="007A1FCF">
        <w:t xml:space="preserve"> </w:t>
      </w:r>
      <w:r>
        <w:t>were</w:t>
      </w:r>
      <w:r w:rsidRPr="007A1FCF">
        <w:t xml:space="preserve"> selected and placed in 2ml </w:t>
      </w:r>
      <w:proofErr w:type="spellStart"/>
      <w:r w:rsidRPr="007A1FCF">
        <w:t>eppendorf</w:t>
      </w:r>
      <w:proofErr w:type="spellEnd"/>
      <w:r w:rsidRPr="007A1FCF">
        <w:t xml:space="preserve"> with approximately 20 x 1 mm sterile stainless steel beads and homogen</w:t>
      </w:r>
      <w:r>
        <w:t xml:space="preserve">ised to a fine powder using a </w:t>
      </w:r>
      <w:proofErr w:type="spellStart"/>
      <w:r>
        <w:t>Q</w:t>
      </w:r>
      <w:r w:rsidRPr="007A1FCF">
        <w:t>i</w:t>
      </w:r>
      <w:r>
        <w:t>agen</w:t>
      </w:r>
      <w:proofErr w:type="spellEnd"/>
      <w:r>
        <w:t xml:space="preserve"> Tissue </w:t>
      </w:r>
      <w:proofErr w:type="spellStart"/>
      <w:r>
        <w:t>Lyser</w:t>
      </w:r>
      <w:proofErr w:type="spellEnd"/>
      <w:r>
        <w:t xml:space="preserve"> (</w:t>
      </w:r>
      <w:proofErr w:type="spellStart"/>
      <w:r>
        <w:t>Retsch</w:t>
      </w:r>
      <w:proofErr w:type="spellEnd"/>
      <w:r w:rsidRPr="002900F0">
        <w:rPr>
          <w:vertAlign w:val="superscript"/>
        </w:rPr>
        <w:t>®</w:t>
      </w:r>
      <w:r>
        <w:rPr>
          <w:vertAlign w:val="superscript"/>
        </w:rPr>
        <w:t>,</w:t>
      </w:r>
      <w:r>
        <w:t xml:space="preserve"> Germany</w:t>
      </w:r>
      <w:r w:rsidRPr="007A1FCF">
        <w:t xml:space="preserve">) for four minutes at a frequency of 30 beats per second.  Genomic DNA was then extracted from a 0.1g ± 0.05g subsample using </w:t>
      </w:r>
      <w:proofErr w:type="spellStart"/>
      <w:r w:rsidRPr="007A1FCF">
        <w:t>Nucle</w:t>
      </w:r>
      <w:r>
        <w:t>oSpin</w:t>
      </w:r>
      <w:proofErr w:type="spellEnd"/>
      <w:r>
        <w:t xml:space="preserve"> 96 Plant II Kits (</w:t>
      </w:r>
      <w:proofErr w:type="spellStart"/>
      <w:r>
        <w:t>Machere</w:t>
      </w:r>
      <w:r w:rsidRPr="007A1FCF">
        <w:t>y</w:t>
      </w:r>
      <w:proofErr w:type="spellEnd"/>
      <w:r w:rsidRPr="007A1FCF">
        <w:t xml:space="preserve"> Nagel, Germany) following manufacturer instructions.</w:t>
      </w:r>
    </w:p>
    <w:p w:rsidR="00B46350" w:rsidRDefault="00B46350" w:rsidP="00B46350">
      <w:pPr>
        <w:pStyle w:val="Heading3"/>
      </w:pPr>
      <w:bookmarkStart w:id="255" w:name="_Toc464758685"/>
      <w:bookmarkStart w:id="256" w:name="_Toc469855043"/>
      <w:bookmarkStart w:id="257" w:name="_Toc469856043"/>
      <w:bookmarkStart w:id="258" w:name="_Ref469867833"/>
      <w:bookmarkStart w:id="259" w:name="_Toc469931952"/>
      <w:bookmarkStart w:id="260" w:name="_Toc469982273"/>
      <w:r w:rsidRPr="007A1FCF">
        <w:t>TRFLP analysis</w:t>
      </w:r>
      <w:bookmarkEnd w:id="255"/>
      <w:bookmarkEnd w:id="256"/>
      <w:bookmarkEnd w:id="257"/>
      <w:bookmarkEnd w:id="258"/>
      <w:bookmarkEnd w:id="259"/>
      <w:bookmarkEnd w:id="260"/>
    </w:p>
    <w:p w:rsidR="00B46350" w:rsidRPr="007A1FCF" w:rsidRDefault="00B46350" w:rsidP="00861E0B">
      <w:r w:rsidRPr="007A1FCF">
        <w:t>Amplification of partial small subunit (SSU) ribosomal DNA (850bp) was performed for each DNA extract in a 12 µl reaction using 2 µl of DNA extr</w:t>
      </w:r>
      <w:r>
        <w:t xml:space="preserve">act, 6 µl of </w:t>
      </w:r>
      <w:proofErr w:type="spellStart"/>
      <w:r>
        <w:t>Quaigen</w:t>
      </w:r>
      <w:proofErr w:type="spellEnd"/>
      <w:r>
        <w:t xml:space="preserve"> </w:t>
      </w:r>
      <w:proofErr w:type="spellStart"/>
      <w:r>
        <w:t>Mastermix</w:t>
      </w:r>
      <w:proofErr w:type="spellEnd"/>
      <w:r>
        <w:t xml:space="preserve"> and </w:t>
      </w:r>
      <w:r w:rsidRPr="007A1FCF">
        <w:t xml:space="preserve">4 µl of 0.4mM of each of the fungal specific primers AML1 </w:t>
      </w:r>
      <w:r>
        <w:t xml:space="preserve">(5’-ATC AAC TTT CGA TGG TAG GAT AGA-3’) </w:t>
      </w:r>
      <w:r w:rsidRPr="007A1FCF">
        <w:t>and AML2</w:t>
      </w:r>
      <w:r>
        <w:t xml:space="preserve"> (5’-GGA CCC AAA CAC TTT GGT TTC C-3’)</w:t>
      </w:r>
      <w:r w:rsidRPr="007A1FCF">
        <w:t xml:space="preserve"> </w:t>
      </w:r>
      <w:r w:rsidRPr="007A1FCF">
        <w:fldChar w:fldCharType="begin"/>
      </w:r>
      <w:r w:rsidR="00954B3D">
        <w:instrText xml:space="preserve"> ADDIN ZOTERO_ITEM CSL_CITATION {"citationID":"12f222o411","properties":{"formattedCitation":"{\\rtf (Lee {\\i{}et al.}, 2008)}","plainCitation":"(Lee et al., 2008)"},"citationItems":[{"id":245,"uris":["http://zotero.org/users/local/d1gJDEOw/items/C3UPIXMT"],"uri":["http://zotero.org/users/local/d1gJDEOw/items/C3UPIXMT"],"itemData":{"id":245,"type":"article-journal","title":"Improved PCR primers for the detection and identification of arbuscular mycorrhizal fungi","container-title":"FEMS Microbiology Ecology","page":"339-349","volume":"65","issue":"2","source":"Wiley Online Library","abstract":"A set of PCR primers that should amplify all subgroups of arbuscular mycorrhizal fungi (AMF, Glomeromycota), but exclude sequences from other organisms, was designed to facilitate rapid detection and identification directly from field-grown plant roots. The small subunit rRNA gene was targeted for the new primers (AML1 and AML2) because phylogenetic relationships among the Glomeromycota are well understood for this gene. Sequence comparisons indicate that the new primers should amplify all published AMF sequences except those from Archaeospora trappei. The specificity of the new primers was tested using 23 different AMF spore morphotypes from trap cultures and Miscanthus sinensis, Glycine max and Panax ginseng roots sampled from the field. Non-AMF DNA of 14 plants, 14 Basidiomycota and 18 Ascomycota was also tested as negative controls. Sequences amplified from roots using the new primers were compared with those obtained using the established NS31 and AM1 primer combination. The new primers have much better specificity and coverage of all known AMF groups.","DOI":"10.1111/j.1574-6941.2008.00531.x","ISSN":"1574-6941","language":"en","author":[{"family":"Lee","given":"Jaikoo"},{"family":"Lee","given":"Sangsun"},{"family":"Young","given":"J. Peter W."}],"issued":{"date-parts":[["2008",8,1]]}}}],"schema":"https://github.com/citation-style-language/schema/raw/master/csl-citation.json"} </w:instrText>
      </w:r>
      <w:r w:rsidRPr="007A1FCF">
        <w:fldChar w:fldCharType="separate"/>
      </w:r>
      <w:r w:rsidR="00954B3D" w:rsidRPr="00954B3D">
        <w:rPr>
          <w:rFonts w:cs="Times New Roman"/>
          <w:szCs w:val="24"/>
        </w:rPr>
        <w:t xml:space="preserve">(Lee </w:t>
      </w:r>
      <w:r w:rsidR="00954B3D" w:rsidRPr="00954B3D">
        <w:rPr>
          <w:rFonts w:cs="Times New Roman"/>
          <w:i/>
          <w:iCs/>
          <w:szCs w:val="24"/>
        </w:rPr>
        <w:t>et al.</w:t>
      </w:r>
      <w:r w:rsidR="00954B3D" w:rsidRPr="00954B3D">
        <w:rPr>
          <w:rFonts w:cs="Times New Roman"/>
          <w:szCs w:val="24"/>
        </w:rPr>
        <w:t>, 2008)</w:t>
      </w:r>
      <w:r w:rsidRPr="007A1FCF">
        <w:fldChar w:fldCharType="end"/>
      </w:r>
      <w:r w:rsidRPr="007A1FCF">
        <w:t xml:space="preserve">. The AML1 primer was labelled with FAM fluorescent marker at the 5’ end.  PCR conditions were as follows: 95°C for 15 minutes, 35 cycles at 94°C for 30 seconds, 58°C for 90 seconds, 72°C for 60 seconds; </w:t>
      </w:r>
      <w:r>
        <w:t xml:space="preserve">followed by a final elongation of </w:t>
      </w:r>
      <w:r w:rsidRPr="007A1FCF">
        <w:t>72°C for 10 m</w:t>
      </w:r>
      <w:r>
        <w:t>inutes on a Life-ECO thermal cycler (</w:t>
      </w:r>
      <w:proofErr w:type="spellStart"/>
      <w:r>
        <w:t>Bioer</w:t>
      </w:r>
      <w:proofErr w:type="spellEnd"/>
      <w:r>
        <w:t xml:space="preserve"> Technology Co., China</w:t>
      </w:r>
      <w:r w:rsidRPr="007A1FCF">
        <w:t>). Gel electrophoresis using 2% agarose and SYBR</w:t>
      </w:r>
      <w:r w:rsidRPr="007A1FCF">
        <w:rPr>
          <w:vertAlign w:val="superscript"/>
        </w:rPr>
        <w:t>®</w:t>
      </w:r>
      <w:r w:rsidRPr="007A1FCF">
        <w:t xml:space="preserve"> Safe DNA stain (Invitrogen) was used to </w:t>
      </w:r>
      <w:r>
        <w:t>verify the success of PCR amplification.</w:t>
      </w:r>
    </w:p>
    <w:p w:rsidR="00B46350" w:rsidRPr="007A1FCF" w:rsidRDefault="00B46350" w:rsidP="00861E0B">
      <w:r w:rsidRPr="007A1FCF">
        <w:lastRenderedPageBreak/>
        <w:t xml:space="preserve">PCR products were digested separately with the restriction enzymes </w:t>
      </w:r>
      <w:r w:rsidR="00DE1AD4">
        <w:rPr>
          <w:i/>
        </w:rPr>
        <w:t>HpyCH4-III</w:t>
      </w:r>
      <w:r w:rsidRPr="007A1FCF">
        <w:t xml:space="preserve"> and </w:t>
      </w:r>
      <w:r w:rsidRPr="007A1FCF">
        <w:rPr>
          <w:i/>
        </w:rPr>
        <w:t>Hinf-1</w:t>
      </w:r>
      <w:r w:rsidRPr="007A1FCF">
        <w:t xml:space="preserve"> (New England </w:t>
      </w:r>
      <w:proofErr w:type="spellStart"/>
      <w:r w:rsidRPr="007A1FCF">
        <w:t>Biolabs</w:t>
      </w:r>
      <w:proofErr w:type="spellEnd"/>
      <w:r w:rsidRPr="007A1FCF">
        <w:t xml:space="preserve">, </w:t>
      </w:r>
      <w:proofErr w:type="spellStart"/>
      <w:r w:rsidRPr="007A1FCF">
        <w:t>Inc</w:t>
      </w:r>
      <w:proofErr w:type="spellEnd"/>
      <w:r w:rsidRPr="007A1FCF">
        <w:t xml:space="preserve">) which were shown in preliminary tests to be more discriminatory than other commonly used restriction enzymes which had previously been used </w:t>
      </w:r>
      <w:r>
        <w:t xml:space="preserve">to separate out AMF genotypes. </w:t>
      </w:r>
      <w:r w:rsidRPr="007A1FCF">
        <w:t xml:space="preserve">Restriction digests were carried out separately for </w:t>
      </w:r>
      <w:proofErr w:type="spellStart"/>
      <w:r w:rsidR="00062FF5" w:rsidRPr="007A1FCF">
        <w:rPr>
          <w:i/>
        </w:rPr>
        <w:t>Hinf</w:t>
      </w:r>
      <w:proofErr w:type="spellEnd"/>
      <w:r w:rsidR="00062FF5" w:rsidRPr="007A1FCF">
        <w:t xml:space="preserve">-I </w:t>
      </w:r>
      <w:r w:rsidR="00062FF5">
        <w:t xml:space="preserve">and </w:t>
      </w:r>
      <w:r w:rsidR="00062FF5">
        <w:rPr>
          <w:i/>
        </w:rPr>
        <w:t>HpyCH4-III</w:t>
      </w:r>
      <w:r w:rsidR="00062FF5">
        <w:t xml:space="preserve"> </w:t>
      </w:r>
      <w:r w:rsidRPr="007A1FCF">
        <w:t>enzyme</w:t>
      </w:r>
      <w:r w:rsidR="00062FF5">
        <w:t>s</w:t>
      </w:r>
      <w:r w:rsidRPr="007A1FCF">
        <w:t xml:space="preserve"> in a 5</w:t>
      </w:r>
      <w:r>
        <w:rPr>
          <w:rFonts w:cs="Times New Roman"/>
        </w:rPr>
        <w:t>µ</w:t>
      </w:r>
      <w:r w:rsidR="00062FF5">
        <w:t xml:space="preserve">l reaction volume which </w:t>
      </w:r>
      <w:r w:rsidRPr="007A1FCF">
        <w:t xml:space="preserve">contained </w:t>
      </w:r>
      <w:r w:rsidR="00062FF5">
        <w:t>2.</w:t>
      </w:r>
      <w:r w:rsidRPr="007A1FCF">
        <w:t>5 units of enzyme, 3</w:t>
      </w:r>
      <w:r>
        <w:rPr>
          <w:rFonts w:cs="Times New Roman"/>
        </w:rPr>
        <w:t>µ</w:t>
      </w:r>
      <w:r w:rsidRPr="007A1FCF">
        <w:t>l of PCR product and manufacturer</w:t>
      </w:r>
      <w:r>
        <w:t>’</w:t>
      </w:r>
      <w:r w:rsidR="00062FF5">
        <w:t>s buffer</w:t>
      </w:r>
      <w:r w:rsidRPr="007A1FCF">
        <w:t>. Samples were digested at 37°C for two hours and then denatured for 10 minutes at 65°C. In preparation for capillary DNA analysis 1</w:t>
      </w:r>
      <w:r>
        <w:rPr>
          <w:rFonts w:cs="Times New Roman"/>
        </w:rPr>
        <w:t>µ</w:t>
      </w:r>
      <w:r w:rsidRPr="007A1FCF">
        <w:t>l of digest was added to 9</w:t>
      </w:r>
      <w:r>
        <w:rPr>
          <w:rFonts w:cs="Times New Roman"/>
        </w:rPr>
        <w:t>µ</w:t>
      </w:r>
      <w:r w:rsidRPr="007A1FCF">
        <w:t xml:space="preserve">l of </w:t>
      </w:r>
      <w:proofErr w:type="spellStart"/>
      <w:r w:rsidRPr="007A1FCF">
        <w:t>formamide</w:t>
      </w:r>
      <w:proofErr w:type="spellEnd"/>
      <w:r w:rsidRPr="007A1FCF">
        <w:t xml:space="preserve"> containing 1% </w:t>
      </w:r>
      <w:proofErr w:type="spellStart"/>
      <w:r w:rsidRPr="007A1FCF">
        <w:t>GeneScan</w:t>
      </w:r>
      <w:r w:rsidRPr="007A1FCF">
        <w:rPr>
          <w:vertAlign w:val="superscript"/>
        </w:rPr>
        <w:t>TM</w:t>
      </w:r>
      <w:proofErr w:type="spellEnd"/>
      <w:r w:rsidRPr="007A1FCF">
        <w:rPr>
          <w:vertAlign w:val="superscript"/>
        </w:rPr>
        <w:t xml:space="preserve"> </w:t>
      </w:r>
      <w:r w:rsidRPr="007A1FCF">
        <w:t>LIZ 1200 size standard (Applied Biosystems, UK) and heated at 94°C for 3 minutes before immediate cooling on ice. Samples were then run on an ABI 3730 PRISM</w:t>
      </w:r>
      <w:r w:rsidRPr="007A1FCF">
        <w:rPr>
          <w:vertAlign w:val="superscript"/>
        </w:rPr>
        <w:t>®</w:t>
      </w:r>
      <w:r w:rsidRPr="007A1FCF">
        <w:t xml:space="preserve"> capillary DNA analyser</w:t>
      </w:r>
      <w:r>
        <w:t xml:space="preserve"> (Applied Biosystems</w:t>
      </w:r>
      <w:r w:rsidRPr="007A1FCF">
        <w:t xml:space="preserve">, UK) to determine size and abundance of FAM labelled </w:t>
      </w:r>
      <w:r>
        <w:t>terminal restriction fragments (TRFs)</w:t>
      </w:r>
      <w:r w:rsidR="00861E0B">
        <w:t>.</w:t>
      </w:r>
    </w:p>
    <w:p w:rsidR="00B46350" w:rsidRPr="007A1FCF" w:rsidRDefault="00B46350" w:rsidP="00B46350">
      <w:r w:rsidRPr="007A1FCF">
        <w:t xml:space="preserve">TRFLP data was initially analysed using </w:t>
      </w:r>
      <w:proofErr w:type="spellStart"/>
      <w:r w:rsidRPr="007A1FCF">
        <w:t>GeneMapper</w:t>
      </w:r>
      <w:proofErr w:type="spellEnd"/>
      <w:r w:rsidRPr="007A1FCF">
        <w:rPr>
          <w:vertAlign w:val="superscript"/>
        </w:rPr>
        <w:t>®</w:t>
      </w:r>
      <w:r w:rsidRPr="007A1FCF">
        <w:t xml:space="preserve"> v3.7 (Applied Biosystems</w:t>
      </w:r>
      <w:r>
        <w:t>, UK</w:t>
      </w:r>
      <w:r w:rsidRPr="007A1FCF">
        <w:t xml:space="preserve">) using a local southern size calling method in comparison with the internal LIZ 1200 size standard </w:t>
      </w:r>
      <w:r w:rsidRPr="007A1FCF">
        <w:fldChar w:fldCharType="begin"/>
      </w:r>
      <w:r w:rsidR="00954B3D">
        <w:instrText xml:space="preserve"> ADDIN ZOTERO_ITEM CSL_CITATION {"citationID":"1kqfqc0d65","properties":{"formattedCitation":"{\\rtf (Osborn {\\i{}et al.}, 2000)}","plainCitation":"(Osborn et al., 2000)"},"citationItems":[{"id":297,"uris":["http://zotero.org/users/local/d1gJDEOw/items/3CN54NR6"],"uri":["http://zotero.org/users/local/d1gJDEOw/items/3CN54NR6"],"itemData":{"id":297,"type":"article-journal","title":"An evaluation of terminal-restriction fragment length polymorphism (T-RFLP) analysis for the study of microbial community structure and dynamics","container-title":"Environmental Microbiology","page":"39-50","volume":"2","issue":"1","source":"PubMed","abstract":"A systematic evaluation of the value and potential of terminal-restriction fragment length polymorphism (T-RFLP) analysis for the study of microbial community structure has been undertaken. The reproducibility and robustness of the method has been assessed using environmental DNA samples isolated directly from PCB-polluted or pristine soil, and subsequent polymerase chain reaction (PCR) amplification of total community 16S rDNA. An initial investigation to assess the variability both within and between different polyacrylamide gel electrophoresis (PAGE) runs showed that almost identical community profiles were consistently produced from the same sample. Similarly, very little variability was observed as a result of variation between replicate restriction digestions, PCR amplifications or between replicate DNA isolations. Decreasing concentrations of template DNA produced a decline in both the complexity and the intensity of fragments present in the community profile, with no additional fragments detected in the higher dilutions that were not already present when more original template DNA was used. Reducing the number of cycles of PCR produced similar results. The greatest variation between profiles generated from the same DNA sample was produced using different Taq DNA polymerases, while lower levels of variability were found between PCR products that had been produced using different annealing temperatures. Incomplete digestion by the restriction enzyme may, as a result of the generation of partially digested fragments, lead to an overestimation of the overall diversity within a community. The results obtained indicate that, once standardized, T-RFLP analysis is a highly reproducible and robust technique that yields high-quality fingerprints consisting of fragments of precise sizes, which, in principle, could be phylogenetically assigned, once an appropriate database is constructed.","ISSN":"1462-2912","note":"PMID: 11243261","journalAbbreviation":"Environ. Microbiol.","language":"eng","author":[{"family":"Osborn","given":"A. M."},{"family":"Moore","given":"E. R."},{"family":"Timmis","given":"K. N."}],"issued":{"date-parts":[["2000",2]]}}}],"schema":"https://github.com/citation-style-language/schema/raw/master/csl-citation.json"} </w:instrText>
      </w:r>
      <w:r w:rsidRPr="007A1FCF">
        <w:fldChar w:fldCharType="separate"/>
      </w:r>
      <w:r w:rsidR="00954B3D" w:rsidRPr="00954B3D">
        <w:rPr>
          <w:rFonts w:cs="Times New Roman"/>
          <w:szCs w:val="24"/>
        </w:rPr>
        <w:t xml:space="preserve">(Osborn </w:t>
      </w:r>
      <w:r w:rsidR="00954B3D" w:rsidRPr="00954B3D">
        <w:rPr>
          <w:rFonts w:cs="Times New Roman"/>
          <w:i/>
          <w:iCs/>
          <w:szCs w:val="24"/>
        </w:rPr>
        <w:t>et al.</w:t>
      </w:r>
      <w:r w:rsidR="00954B3D" w:rsidRPr="00954B3D">
        <w:rPr>
          <w:rFonts w:cs="Times New Roman"/>
          <w:szCs w:val="24"/>
        </w:rPr>
        <w:t>, 2000)</w:t>
      </w:r>
      <w:r w:rsidRPr="007A1FCF">
        <w:fldChar w:fldCharType="end"/>
      </w:r>
      <w:r w:rsidRPr="007A1FCF">
        <w:t xml:space="preserve">. Each </w:t>
      </w:r>
      <w:proofErr w:type="spellStart"/>
      <w:r w:rsidRPr="007A1FCF">
        <w:t>electropherogram</w:t>
      </w:r>
      <w:proofErr w:type="spellEnd"/>
      <w:r w:rsidRPr="007A1FCF">
        <w:t xml:space="preserve"> was visually inspected and where peak fluorescence within a sample was not in the range of 3,000 to 30,000 fluorescent units which was the range for the majority of sample profiles, samples were repeated using digest product that was concentrated/diluted accordingly. Samples were also repeated where size standard amounts were too low to be accurately used.</w:t>
      </w:r>
    </w:p>
    <w:p w:rsidR="00B46350" w:rsidRPr="007A1FCF" w:rsidRDefault="00B46350" w:rsidP="00B46350">
      <w:r w:rsidRPr="007A1FCF">
        <w:t>To exclude noise resulting from the ca</w:t>
      </w:r>
      <w:r>
        <w:t>pillary electrophoresis all TRF</w:t>
      </w:r>
      <w:r w:rsidRPr="007A1FCF">
        <w:t xml:space="preserve">s smaller than 100bp and those with heights fewer than 100 fluorescent units were excluded from analysis as in </w:t>
      </w:r>
      <w:r w:rsidRPr="007A1FCF">
        <w:fldChar w:fldCharType="begin"/>
      </w:r>
      <w:r w:rsidR="00954B3D">
        <w:instrText xml:space="preserve"> ADDIN ZOTERO_ITEM CSL_CITATION {"citationID":"n839adfe5","properties":{"formattedCitation":"{\\rtf (Cotton {\\i{}et al.}, 2015)}","plainCitation":"(Cotton et al., 2015)"},"citationItems":[{"id":301,"uris":["http://zotero.org/users/local/d1gJDEOw/items/U8JC5F8Q"],"uri":["http://zotero.org/users/local/d1gJDEOw/items/U8JC5F8Q"],"itemData":{"id":301,"type":"article-journal","title":"Fungi in the future: interannual variation and effects of atmospheric change on arbuscular mycorrhizal fungal communities","container-title":"New Phytologist","page":"1598-1607","volume":"205","issue":"4","source":"Web of Science","abstract":"Understanding the natural dynamics of arbuscular mycorrhizal (AM) fungi and their response to global environmental change is essential for the prediction of future plant growth and ecosystem functions. We investigated the long-term temporal dynamics and effect of elevated atmospheric carbon dioxide (CO2) and ozone (O-3) concentrations on AM fungal communities. Molecular methods were used to characterize the AM fungal communities of soybean (Glycine max) grown under elevated and ambient atmospheric concentrations of both CO2 and O-3 within a free air concentration enrichment experiment in three growing seasons over 5yr. Elevated CO2 altered the community composition of AM fungi, increasing the ratio of Glomeraceae to Gigasporaceae. By contrast, no effect of elevated O-3 on AM fungal communities was detected. However, the greatest compositional differences detected were between years, suggesting that, at least in the short term, large-scale interannual temporal dynamics are stronger mediators than atmospheric CO2 concentrations of AM fungal communities. We conclude that, although atmospheric change may significantly alter AM fungal communities, this effect may be masked by the influences of natural changes and successional patterns through time. We suggest that changes in carbon availability are important determinants of the community dynamics of AM fungi.","DOI":"10.1111/nph.13224","ISSN":"0028-646X","note":"WOS:000349386300029","shortTitle":"Fungi in the future","journalAbbreviation":"New Phytol.","language":"English","author":[{"family":"Cotton","given":"T. E. Anne"},{"family":"Fitter","given":"Alastair H."},{"family":"Miller","given":"R. Michael"},{"family":"Dumbrell","given":"Alex J."},{"family":"Helgason","given":"Thorunn"}],"issued":{"date-parts":[["2015",3]]}}}],"schema":"https://github.com/citation-style-language/schema/raw/master/csl-citation.json"} </w:instrText>
      </w:r>
      <w:r w:rsidRPr="007A1FCF">
        <w:fldChar w:fldCharType="separate"/>
      </w:r>
      <w:r w:rsidR="00954B3D" w:rsidRPr="00954B3D">
        <w:rPr>
          <w:rFonts w:cs="Times New Roman"/>
          <w:szCs w:val="24"/>
        </w:rPr>
        <w:t xml:space="preserve">(Cotton </w:t>
      </w:r>
      <w:r w:rsidR="00954B3D" w:rsidRPr="00954B3D">
        <w:rPr>
          <w:rFonts w:cs="Times New Roman"/>
          <w:i/>
          <w:iCs/>
          <w:szCs w:val="24"/>
        </w:rPr>
        <w:t>et al.</w:t>
      </w:r>
      <w:r w:rsidR="00954B3D" w:rsidRPr="00954B3D">
        <w:rPr>
          <w:rFonts w:cs="Times New Roman"/>
          <w:szCs w:val="24"/>
        </w:rPr>
        <w:t>, 2015)</w:t>
      </w:r>
      <w:r w:rsidRPr="007A1FCF">
        <w:fldChar w:fldCharType="end"/>
      </w:r>
      <w:r w:rsidRPr="007A1FCF">
        <w:t>.  Bin sizes of 5bp were used for TRF size. A data table was produced includ</w:t>
      </w:r>
      <w:r>
        <w:t>ing</w:t>
      </w:r>
      <w:r w:rsidRPr="007A1FCF">
        <w:t xml:space="preserve"> the TRF size and peak area. To measure peak frequency, peak areas were used rather than peak heights as abundance measured from peak area is k</w:t>
      </w:r>
      <w:r>
        <w:t>nown to more accurate</w:t>
      </w:r>
      <w:r w:rsidR="00FA0D2A">
        <w:t xml:space="preserve"> due to down weighting  of peak height in longer fragment sizes </w:t>
      </w:r>
      <w:r w:rsidR="00FA0D2A">
        <w:fldChar w:fldCharType="begin"/>
      </w:r>
      <w:r w:rsidR="00954B3D">
        <w:instrText xml:space="preserve"> ADDIN ZOTERO_ITEM CSL_CITATION {"citationID":"hhvgkgt69","properties":{"formattedCitation":"{\\rtf (Sipos {\\i{}et al.}, 2007; Dickie &amp; FitzJohn, 2007)}","plainCitation":"(Sipos et al., 2007; Dickie &amp; FitzJohn, 2007)"},"citationItems":[{"id":289,"uris":["http://zotero.org/users/local/d1gJDEOw/items/HZKIJJPD"],"uri":["http://zotero.org/users/local/d1gJDEOw/items/HZKIJJPD"],"itemData":{"id":289,"type":"article-journal","title":"Effect of primer mismatch, annealing temperature and PCR cycle number on 16S rRNA gene-targetting bacterial community analysis","container-title":"FEMS Microbiology Ecology","page":"341-350","volume":"60","issue":"2","source":"femsec.oxfordjournals.org","abstract":"In the attempt to explore complex bacterial communities of environmental samples, primers hybridizing to phylogenetically highly conserved regions of 16S rRNA genes are widely used, but differential amplification is a recognized problem. The biases associated with preferential amplification of multitemplate PCR were investigated using ‘universal’ bacteria-specific primers, focusing on the effect of primer mismatch, annealing temperature and PCR cycle number. The distortion of the template-to-product ratio was measured using predefined template mixtures and environmental samples by terminal restriction fragment length polymorphism analysis. When a 1 : 1 genomic DNA template mixture of two strains was used, primer mismatches inherent in the 63F primer presented a serious bias, showing preferential amplification of the template containing the perfectly matching sequence. The extent of the preferential amplification showed an almost exponential relation with increasing annealing temperature from 47 to 61°C. No negative effect of the various annealing temperatures was observed with the 27F primer, with no mismatches with the target sequences. The number of PCR cycles had little influence on the template-to-product ratios. As a result of additional tests on environmental samples, the use of a low annealing temperature is recommended in order to significantly reduce preferential amplification while maintaining the specificity of PCR.","DOI":"10.1111/j.1574-6941.2007.00283.x","ISSN":"1574-6941","note":"PMID: 17343679","language":"en","author":[{"family":"Sipos","given":"Rita"},{"family":"Székely","given":"Anna J."},{"family":"Palatinszky","given":"Márton"},{"family":"Révész","given":"Sára"},{"family":"Márialigeti","given":"Károly"},{"family":"Nikolausz","given":"Marcell"}],"issued":{"date-parts":[["2007",5,1]]}}},{"id":255,"uris":["http://zotero.org/users/local/d1gJDEOw/items/WPZUMSQA"],"uri":["http://zotero.org/users/local/d1gJDEOw/items/WPZUMSQA"],"itemData":{"id":255,"type":"article-journal","title":"Using terminal restriction fragment length polymorphism (T-RFLP) to identify mycorrhizal fungi: a methods review","container-title":"Mycorrhiza","page":"259-270","volume":"17","issue":"4","source":"PubMed","abstract":"Terminal restriction fragment length polymorphism (T-RFLP) is an increasingly widely used technique in mycorrhizal ecology. In this paper, we review the technique as it is used to identify species of mycorrhizal fungi and distinguish two different versions of the technique: peak-profile T-RFLP (the original version) and database T-RFLP. We define database T-RFLP as the use of T-RFLP to identify individual species within samples by comparison of unknown data with a database of known T-RFLP patterns. This application of T-RFLP avoids some of the pitfalls of peak-profile T-RFLP and allows T-RFLP to be applied to polyphyletic functional groups such as ectomycorrhizal fungi. The identification of species using database T-RFLP is subject to several sources of potential error, including (1) random erroneous matches of peaks to species, (2) shared T-RFLP profiles across species, and (3) multiple T-RFLP profiles within a species. A mathematical approximation of the risk of the first type of error as a function of experimental parameters is discussed. Although potentially less accurate than some other methods such as clone libraries, the high throughput of database T-RFLP permits much greater replication and may, therefore, be preferable for many ecological questions, particularly when combined with other techniques such as cloning.","DOI":"10.1007/s00572-007-0129-2","ISSN":"0940-6360","note":"PMID: 17429700","shortTitle":"Using terminal restriction fragment length polymorphism (T-RFLP) to identify mycorrhizal fungi","journalAbbreviation":"Mycorrhiza","language":"eng","author":[{"family":"Dickie","given":"I. A."},{"family":"FitzJohn","given":"R. G."}],"issued":{"date-parts":[["2007",6]]}}}],"schema":"https://github.com/citation-style-language/schema/raw/master/csl-citation.json"} </w:instrText>
      </w:r>
      <w:r w:rsidR="00FA0D2A">
        <w:fldChar w:fldCharType="separate"/>
      </w:r>
      <w:r w:rsidR="00954B3D" w:rsidRPr="00954B3D">
        <w:rPr>
          <w:rFonts w:cs="Times New Roman"/>
          <w:szCs w:val="24"/>
        </w:rPr>
        <w:t xml:space="preserve">(Sipos </w:t>
      </w:r>
      <w:r w:rsidR="00954B3D" w:rsidRPr="00954B3D">
        <w:rPr>
          <w:rFonts w:cs="Times New Roman"/>
          <w:i/>
          <w:iCs/>
          <w:szCs w:val="24"/>
        </w:rPr>
        <w:t>et al.</w:t>
      </w:r>
      <w:r w:rsidR="00954B3D" w:rsidRPr="00954B3D">
        <w:rPr>
          <w:rFonts w:cs="Times New Roman"/>
          <w:szCs w:val="24"/>
        </w:rPr>
        <w:t xml:space="preserve">, 2007; Dickie &amp; </w:t>
      </w:r>
      <w:proofErr w:type="spellStart"/>
      <w:r w:rsidR="00954B3D" w:rsidRPr="00954B3D">
        <w:rPr>
          <w:rFonts w:cs="Times New Roman"/>
          <w:szCs w:val="24"/>
        </w:rPr>
        <w:t>FitzJohn</w:t>
      </w:r>
      <w:proofErr w:type="spellEnd"/>
      <w:r w:rsidR="00954B3D" w:rsidRPr="00954B3D">
        <w:rPr>
          <w:rFonts w:cs="Times New Roman"/>
          <w:szCs w:val="24"/>
        </w:rPr>
        <w:t>, 2007)</w:t>
      </w:r>
      <w:r w:rsidR="00FA0D2A">
        <w:fldChar w:fldCharType="end"/>
      </w:r>
      <w:r w:rsidRPr="007A1FCF">
        <w:t xml:space="preserve">. Raw peak areas were relativized to account for differences in DNA quantities between samples. This was calculated by dividing the area of each peak within a sample by the total sum of peak areas for that sample therefore converting peak area to a percentage of the total area of peaks within the sample </w:t>
      </w:r>
      <w:r w:rsidRPr="007A1FCF">
        <w:fldChar w:fldCharType="begin"/>
      </w:r>
      <w:r w:rsidR="00954B3D">
        <w:instrText xml:space="preserve"> ADDIN ZOTERO_ITEM CSL_CITATION {"citationID":"e6kgbiupv","properties":{"formattedCitation":"{\\rtf (Culman {\\i{}et al.}, 2008)}","plainCitation":"(Culman et al., 2008)"},"citationItems":[{"id":285,"uris":["http://zotero.org/users/local/d1gJDEOw/items/FIM8HHKN"],"uri":["http://zotero.org/users/local/d1gJDEOw/items/FIM8HHKN"],"itemData":{"id":285,"type":"article-journal","title":"Analysis of T-RFLP data using analysis of variance and ordination methods: a comparative study","container-title":"Journal of Microbiological Methods","page":"55-63","volume":"75","issue":"1","source":"PubMed","abstract":"The analysis of T-RFLP data has developed considerably over the last decade, but there remains a lack of consensus about which statistical analyses offer the best means for finding trends in these data. In this study, we empirically tested and theoretically compared ten diverse T-RFLP datasets derived from soil microbial communities using the more common ordination methods in the literature: principal component analysis (PCA), nonmetric multidimensional scaling (NMS) with Sørensen, Jaccard and Euclidean distance measures, correspondence analysis (CA), detrended correspondence analysis (DCA) and a technique new to T-RFLP data analysis, the Additive Main Effects and Multiplicative Interaction (AMMI) model. Our objectives were i) to determine the distribution of variation in T-RFLP datasets using analysis of variance (ANOVA), ii) to determine the more robust and informative multivariate ordination methods for analyzing T-RFLP data, and iii) to compare the methods based on theoretical considerations. For the 10 datasets examined in this study, ANOVA revealed that the variation from Environment main effects was always small, variation from T-RFs main effects was large, and variation from T-RFxEnvironment (TxE) interactions was intermediate. Larger variation due to TxE indicated larger differences in microbial communities between environments/treatments and thus demonstrated the utility of ANOVA to provide an objective assessment of community dissimilarity. The comparison of statistical methods typically yielded similar empirical results. AMMI, T-RF-centered PCA, and DCA were the most robust methods in terms of producing ordinations that consistently reached a consensus with other methods. In datasets with high sample heterogeneity, NMS analyses with Sørensen and Jaccard distance were the most sensitive for recovery of complex gradients. The theoretical comparison showed that some methods hold distinct advantages for T-RFLP analysis, such as estimations of variation captured, realistic or minimal assumptions about the data, reduced weight placed on rare T-RFs, and uniqueness of solutions. Our results lead us to recommend that method selection be guided by T-RFLP dataset complexity and the outlined theoretical criteria. Finally, we recommend using binary or relativized peak height data with soil-based T-RFLP data for ordination-based exploratory microbial analyses.","DOI":"10.1016/j.mimet.2008.04.011","ISSN":"0167-7012","note":"PMID: 18584903","shortTitle":"Analysis of T-RFLP data using analysis of variance and ordination methods","journalAbbreviation":"J. Microbiol. Methods","language":"eng","author":[{"family":"Culman","given":"S. W."},{"family":"Gauch","given":"H. G."},{"family":"Blackwood","given":"C. B."},{"family":"Thies","given":"J. E."}],"issued":{"date-parts":[["2008",9]]}}}],"schema":"https://github.com/citation-style-language/schema/raw/master/csl-citation.json"} </w:instrText>
      </w:r>
      <w:r w:rsidRPr="007A1FCF">
        <w:fldChar w:fldCharType="separate"/>
      </w:r>
      <w:r w:rsidR="00954B3D" w:rsidRPr="00954B3D">
        <w:rPr>
          <w:rFonts w:cs="Times New Roman"/>
          <w:szCs w:val="24"/>
        </w:rPr>
        <w:t>(</w:t>
      </w:r>
      <w:proofErr w:type="spellStart"/>
      <w:r w:rsidR="00954B3D" w:rsidRPr="00954B3D">
        <w:rPr>
          <w:rFonts w:cs="Times New Roman"/>
          <w:szCs w:val="24"/>
        </w:rPr>
        <w:t>Culman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2008)</w:t>
      </w:r>
      <w:r w:rsidRPr="007A1FCF">
        <w:fldChar w:fldCharType="end"/>
      </w:r>
      <w:r w:rsidRPr="007A1FCF">
        <w:t xml:space="preserve">.  Peaks which accounted for less than 5% of the peak area per sample were classed as noise and excluded from analysis </w:t>
      </w:r>
      <w:r>
        <w:t xml:space="preserve">as per </w:t>
      </w:r>
      <w:r>
        <w:fldChar w:fldCharType="begin"/>
      </w:r>
      <w:r w:rsidR="00954B3D">
        <w:instrText xml:space="preserve"> ADDIN ZOTERO_ITEM CSL_CITATION {"citationID":"2mp8r8otpe","properties":{"formattedCitation":"{\\rtf (Culman {\\i{}et al.}, 2008)}","plainCitation":"(Culman et al., 2008)"},"citationItems":[{"id":285,"uris":["http://zotero.org/users/local/d1gJDEOw/items/FIM8HHKN"],"uri":["http://zotero.org/users/local/d1gJDEOw/items/FIM8HHKN"],"itemData":{"id":285,"type":"article-journal","title":"Analysis of T-RFLP data using analysis of variance and ordination methods: a comparative study","container-title":"Journal of Microbiological Methods","page":"55-63","volume":"75","issue":"1","source":"PubMed","abstract":"The analysis of T-RFLP data has developed considerably over the last decade, but there remains a lack of consensus about which statistical analyses offer the best means for finding trends in these data. In this study, we empirically tested and theoretically compared ten diverse T-RFLP datasets derived from soil microbial communities using the more common ordination methods in the literature: principal component analysis (PCA), nonmetric multidimensional scaling (NMS) with Sørensen, Jaccard and Euclidean distance measures, correspondence analysis (CA), detrended correspondence analysis (DCA) and a technique new to T-RFLP data analysis, the Additive Main Effects and Multiplicative Interaction (AMMI) model. Our objectives were i) to determine the distribution of variation in T-RFLP datasets using analysis of variance (ANOVA), ii) to determine the more robust and informative multivariate ordination methods for analyzing T-RFLP data, and iii) to compare the methods based on theoretical considerations. For the 10 datasets examined in this study, ANOVA revealed that the variation from Environment main effects was always small, variation from T-RFs main effects was large, and variation from T-RFxEnvironment (TxE) interactions was intermediate. Larger variation due to TxE indicated larger differences in microbial communities between environments/treatments and thus demonstrated the utility of ANOVA to provide an objective assessment of community dissimilarity. The comparison of statistical methods typically yielded similar empirical results. AMMI, T-RF-centered PCA, and DCA were the most robust methods in terms of producing ordinations that consistently reached a consensus with other methods. In datasets with high sample heterogeneity, NMS analyses with Sørensen and Jaccard distance were the most sensitive for recovery of complex gradients. The theoretical comparison showed that some methods hold distinct advantages for T-RFLP analysis, such as estimations of variation captured, realistic or minimal assumptions about the data, reduced weight placed on rare T-RFs, and uniqueness of solutions. Our results lead us to recommend that method selection be guided by T-RFLP dataset complexity and the outlined theoretical criteria. Finally, we recommend using binary or relativized peak height data with soil-based T-RFLP data for ordination-based exploratory microbial analyses.","DOI":"10.1016/j.mimet.2008.04.011","ISSN":"0167-7012","note":"PMID: 18584903","shortTitle":"Analysis of T-RFLP data using analysis of variance and ordination methods","journalAbbreviation":"J. Microbiol. Methods","language":"eng","author":[{"family":"Culman","given":"S. W."},{"family":"Gauch","given":"H. G."},{"family":"Blackwood","given":"C. B."},{"family":"Thies","given":"J. E."}],"issued":{"date-parts":[["2008",9]]}}}],"schema":"https://github.com/citation-style-language/schema/raw/master/csl-citation.json"} </w:instrText>
      </w:r>
      <w:r>
        <w:fldChar w:fldCharType="separate"/>
      </w:r>
      <w:proofErr w:type="spellStart"/>
      <w:r w:rsidR="00954B3D" w:rsidRPr="00954B3D">
        <w:rPr>
          <w:rFonts w:cs="Times New Roman"/>
          <w:szCs w:val="24"/>
        </w:rPr>
        <w:t>Culman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w:t>
      </w:r>
      <w:r w:rsidR="003B55DF">
        <w:rPr>
          <w:rFonts w:cs="Times New Roman"/>
          <w:szCs w:val="24"/>
        </w:rPr>
        <w:t>(</w:t>
      </w:r>
      <w:r w:rsidR="00954B3D" w:rsidRPr="00954B3D">
        <w:rPr>
          <w:rFonts w:cs="Times New Roman"/>
          <w:szCs w:val="24"/>
        </w:rPr>
        <w:t>2008</w:t>
      </w:r>
      <w:r w:rsidR="003B55DF">
        <w:rPr>
          <w:rFonts w:cs="Times New Roman"/>
          <w:szCs w:val="24"/>
        </w:rPr>
        <w:t>)</w:t>
      </w:r>
      <w:r>
        <w:fldChar w:fldCharType="end"/>
      </w:r>
      <w:r>
        <w:t xml:space="preserve"> and </w:t>
      </w:r>
      <w:r>
        <w:fldChar w:fldCharType="begin"/>
      </w:r>
      <w:r w:rsidR="00954B3D">
        <w:instrText xml:space="preserve"> ADDIN ZOTERO_ITEM CSL_CITATION {"citationID":"2jsgeev032","properties":{"formattedCitation":"{\\rtf (Dumbrell {\\i{}et al.}, 2010)}","plainCitation":"(Dumbrell et al., 2010)"},"citationItems":[{"id":295,"uris":["http://zotero.org/users/local/d1gJDEOw/items/FUKH8UZ7"],"uri":["http://zotero.org/users/local/d1gJDEOw/items/FUKH8UZ7"],"itemData":{"id":295,"type":"article-journal","title":"Relative roles of niche and neutral processes in structuring a soil microbial community","container-title":"The ISME journal","page":"337-345","volume":"4","issue":"3","source":"PubMed","abstract":"Most attempts to identify the processes that structure natural communities have focused on conspicuous macroorganisms whereas the processes responsible for structuring microbial communities remain relatively unknown. Two main theories explaining these processes have emerged; niche theory, which highlights the importance of deterministic processes, and neutral theory, which focuses on stochastic processes. We examined whether neutral or niche-based mechanisms best explain the composition and structure of communities of a functionally important soil microbe, the arbuscular mycorrhizal (AM) fungi. Using molecular techniques, we surveyed AM fungi from 425 individual plants of 28 plant species along a soil pH gradient. There was evidence that both niche and neutral processes structured this community. Species abundances fitted the zero-sum multinomial distribution and there was evidence of dispersal limitation, both indicators of neutral processes. However, we found stronger support that niche differentiation based on abiotic soil factors, primarily pH, was structuring the AM fungal community. Host plant species affected AM fungal community composition negligibly compared to soil pH. We conclude that although niche partitioning was the primary mechanism regulating the composition and diversity of natural AM fungal communities, these communities are also influenced by stochastic-neutral processes. This study represents one of the most comprehensive investigations of community-level processes acting on soil microbes; revealing a community that although influenced by stochastic processes, still responded in a predictable manner to a major abiotic niche axis, soil pH. The strong response to environmental factors of this community highlights the susceptibility of soil microbes to environmental change.","DOI":"10.1038/ismej.2009.122","ISSN":"1751-7370","note":"PMID: 19924158","journalAbbreviation":"ISME J","language":"eng","author":[{"family":"Dumbrell","given":"Alex J."},{"family":"Nelson","given":"Michaela"},{"family":"Helgason","given":"Thorunn"},{"family":"Dytham","given":"Calvin"},{"family":"Fitter","given":"Alastair H."}],"issued":{"date-parts":[["2010",3]]}}}],"schema":"https://github.com/citation-style-language/schema/raw/master/csl-citation.json"}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Dumbrell</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w:t>
      </w:r>
      <w:r w:rsidR="003B55DF">
        <w:rPr>
          <w:rFonts w:cs="Times New Roman"/>
          <w:szCs w:val="24"/>
        </w:rPr>
        <w:t>(</w:t>
      </w:r>
      <w:r w:rsidR="00954B3D" w:rsidRPr="00954B3D">
        <w:rPr>
          <w:rFonts w:cs="Times New Roman"/>
          <w:szCs w:val="24"/>
        </w:rPr>
        <w:t>2010)</w:t>
      </w:r>
      <w:r>
        <w:fldChar w:fldCharType="end"/>
      </w:r>
      <w:r w:rsidRPr="007A1FCF">
        <w:t>.  Proportional peak area wa</w:t>
      </w:r>
      <w:r>
        <w:t>s then re normalized per sample</w:t>
      </w:r>
      <w:r w:rsidRPr="007A1FCF">
        <w:t xml:space="preserve"> </w:t>
      </w:r>
      <w:r w:rsidRPr="007A1FCF">
        <w:fldChar w:fldCharType="begin"/>
      </w:r>
      <w:r w:rsidR="00954B3D">
        <w:instrText xml:space="preserve"> ADDIN ZOTERO_ITEM CSL_CITATION {"citationID":"1qrnk27n49","properties":{"formattedCitation":"{\\rtf (Culman {\\i{}et al.}, 2008)}","plainCitation":"(Culman et al., 2008)"},"citationItems":[{"id":285,"uris":["http://zotero.org/users/local/d1gJDEOw/items/FIM8HHKN"],"uri":["http://zotero.org/users/local/d1gJDEOw/items/FIM8HHKN"],"itemData":{"id":285,"type":"article-journal","title":"Analysis of T-RFLP data using analysis of variance and ordination methods: a comparative study","container-title":"Journal of Microbiological Methods","page":"55-63","volume":"75","issue":"1","source":"PubMed","abstract":"The analysis of T-RFLP data has developed considerably over the last decade, but there remains a lack of consensus about which statistical analyses offer the best means for finding trends in these data. In this study, we empirically tested and theoretically compared ten diverse T-RFLP datasets derived from soil microbial communities using the more common ordination methods in the literature: principal component analysis (PCA), nonmetric multidimensional scaling (NMS) with Sørensen, Jaccard and Euclidean distance measures, correspondence analysis (CA), detrended correspondence analysis (DCA) and a technique new to T-RFLP data analysis, the Additive Main Effects and Multiplicative Interaction (AMMI) model. Our objectives were i) to determine the distribution of variation in T-RFLP datasets using analysis of variance (ANOVA), ii) to determine the more robust and informative multivariate ordination methods for analyzing T-RFLP data, and iii) to compare the methods based on theoretical considerations. For the 10 datasets examined in this study, ANOVA revealed that the variation from Environment main effects was always small, variation from T-RFs main effects was large, and variation from T-RFxEnvironment (TxE) interactions was intermediate. Larger variation due to TxE indicated larger differences in microbial communities between environments/treatments and thus demonstrated the utility of ANOVA to provide an objective assessment of community dissimilarity. The comparison of statistical methods typically yielded similar empirical results. AMMI, T-RF-centered PCA, and DCA were the most robust methods in terms of producing ordinations that consistently reached a consensus with other methods. In datasets with high sample heterogeneity, NMS analyses with Sørensen and Jaccard distance were the most sensitive for recovery of complex gradients. The theoretical comparison showed that some methods hold distinct advantages for T-RFLP analysis, such as estimations of variation captured, realistic or minimal assumptions about the data, reduced weight placed on rare T-RFs, and uniqueness of solutions. Our results lead us to recommend that method selection be guided by T-RFLP dataset complexity and the outlined theoretical criteria. Finally, we recommend using binary or relativized peak height data with soil-based T-RFLP data for ordination-based exploratory microbial analyses.","DOI":"10.1016/j.mimet.2008.04.011","ISSN":"0167-7012","note":"PMID: 18584903","shortTitle":"Analysis of T-RFLP data using analysis of variance and ordination methods","journalAbbreviation":"J. Microbiol. Methods","language":"eng","author":[{"family":"Culman","given":"S. W."},{"family":"Gauch","given":"H. G."},{"family":"Blackwood","given":"C. B."},{"family":"Thies","given":"J. E."}],"issued":{"date-parts":[["2008",9]]}}}],"schema":"https://github.com/citation-style-language/schema/raw/master/csl-citation.json"} </w:instrText>
      </w:r>
      <w:r w:rsidRPr="007A1FCF">
        <w:fldChar w:fldCharType="separate"/>
      </w:r>
      <w:r w:rsidR="00954B3D" w:rsidRPr="00954B3D">
        <w:rPr>
          <w:rFonts w:cs="Times New Roman"/>
          <w:szCs w:val="24"/>
        </w:rPr>
        <w:t>(</w:t>
      </w:r>
      <w:proofErr w:type="spellStart"/>
      <w:r w:rsidR="00954B3D" w:rsidRPr="00954B3D">
        <w:rPr>
          <w:rFonts w:cs="Times New Roman"/>
          <w:szCs w:val="24"/>
        </w:rPr>
        <w:t>Culman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2008)</w:t>
      </w:r>
      <w:r w:rsidRPr="007A1FCF">
        <w:fldChar w:fldCharType="end"/>
      </w:r>
      <w:r w:rsidRPr="007A1FCF">
        <w:t xml:space="preserve">.  Following alignment two matrices of data were produced: </w:t>
      </w:r>
      <w:proofErr w:type="spellStart"/>
      <w:r w:rsidRPr="007A1FCF">
        <w:t>i</w:t>
      </w:r>
      <w:proofErr w:type="spellEnd"/>
      <w:r w:rsidRPr="007A1FCF">
        <w:t>) relative abundance of all peaks expressed as a percentage of total peak area ii) a binary data mat</w:t>
      </w:r>
      <w:r>
        <w:t>r</w:t>
      </w:r>
      <w:r w:rsidRPr="007A1FCF">
        <w:t>ix of TRF presence or absence.</w:t>
      </w:r>
    </w:p>
    <w:p w:rsidR="00B46350" w:rsidRPr="007A1FCF" w:rsidRDefault="00B46350" w:rsidP="00B46350">
      <w:pPr>
        <w:pStyle w:val="Heading3"/>
      </w:pPr>
      <w:bookmarkStart w:id="261" w:name="_Toc464758686"/>
      <w:bookmarkStart w:id="262" w:name="_Toc469855044"/>
      <w:bookmarkStart w:id="263" w:name="_Toc469856044"/>
      <w:bookmarkStart w:id="264" w:name="_Ref469867858"/>
      <w:bookmarkStart w:id="265" w:name="_Ref469867874"/>
      <w:bookmarkStart w:id="266" w:name="_Toc469931953"/>
      <w:bookmarkStart w:id="267" w:name="_Ref469934163"/>
      <w:bookmarkStart w:id="268" w:name="_Toc469982274"/>
      <w:r>
        <w:t xml:space="preserve">TRFLP </w:t>
      </w:r>
      <w:r w:rsidR="0009776A">
        <w:t>d</w:t>
      </w:r>
      <w:r w:rsidRPr="007A1FCF">
        <w:t>ata analysis</w:t>
      </w:r>
      <w:bookmarkEnd w:id="261"/>
      <w:bookmarkEnd w:id="262"/>
      <w:bookmarkEnd w:id="263"/>
      <w:bookmarkEnd w:id="264"/>
      <w:bookmarkEnd w:id="265"/>
      <w:bookmarkEnd w:id="266"/>
      <w:bookmarkEnd w:id="267"/>
      <w:bookmarkEnd w:id="268"/>
    </w:p>
    <w:p w:rsidR="00B46350" w:rsidRPr="007A1FCF" w:rsidRDefault="00B46350" w:rsidP="00B46350">
      <w:pPr>
        <w:pStyle w:val="Heading4"/>
        <w:numPr>
          <w:ilvl w:val="3"/>
          <w:numId w:val="1"/>
        </w:numPr>
      </w:pPr>
      <w:bookmarkStart w:id="269" w:name="_Ref465244873"/>
      <w:r>
        <w:t>TRFLP data;</w:t>
      </w:r>
      <w:r w:rsidRPr="007A1FCF">
        <w:t xml:space="preserve"> </w:t>
      </w:r>
      <w:r>
        <w:t>R</w:t>
      </w:r>
      <w:r w:rsidRPr="007A1FCF">
        <w:t>ichness and diversity analysis</w:t>
      </w:r>
      <w:bookmarkEnd w:id="269"/>
    </w:p>
    <w:p w:rsidR="00B46350" w:rsidRDefault="00B46350" w:rsidP="00B46350">
      <w:r>
        <w:t>TRF</w:t>
      </w:r>
      <w:r w:rsidR="00FA0D2A">
        <w:rPr>
          <w:rStyle w:val="CommentReference"/>
        </w:rPr>
        <w:t xml:space="preserve"> </w:t>
      </w:r>
      <w:r w:rsidR="00FA0D2A">
        <w:t>ri</w:t>
      </w:r>
      <w:r>
        <w:t xml:space="preserve">chness was calculated as the total TRFs found within the six replicate samples collected per site for each habitat. </w:t>
      </w:r>
      <w:r w:rsidRPr="007A1FCF">
        <w:t>Simpson’s diversity index was used as a measure of r</w:t>
      </w:r>
      <w:r>
        <w:t>ichness and evenness of the TRF</w:t>
      </w:r>
      <w:r w:rsidRPr="007A1FCF">
        <w:t>s</w:t>
      </w:r>
      <w:r>
        <w:t xml:space="preserve"> within each habitat and was calculated using (E</w:t>
      </w:r>
      <w:r w:rsidRPr="007A1FCF">
        <w:t xml:space="preserve">quation 1) </w:t>
      </w:r>
      <w:r w:rsidRPr="007A1FCF">
        <w:fldChar w:fldCharType="begin"/>
      </w:r>
      <w:r w:rsidR="00954B3D">
        <w:instrText xml:space="preserve"> ADDIN ZOTERO_ITEM CSL_CITATION {"citationID":"2imrabllqb","properties":{"formattedCitation":"(Magurran, 2004)","plainCitation":"(Magurran, 2004)"},"citationItems":[{"id":344,"uris":["http://zotero.org/users/local/d1gJDEOw/items/W3AZV7FB"],"uri":["http://zotero.org/users/local/d1gJDEOw/items/W3AZV7FB"],"itemData":{"id":344,"type":"book","title":"Measuring biological diversity","publisher":"Oxford, UK: Blackwell Publishing","source":"Wiley Online Library","URL":"http://onlinelibrary.wiley.com/doi/10.1111/j.1461-0248.2007.01024.x/abstract","language":"en","author":[{"family":"Magurran","given":"Anne E."}],"issued":{"date-parts":[["2004"]]},"accessed":{"date-parts":[["2016",9,18]]}}}],"schema":"https://github.com/citation-style-language/schema/raw/master/csl-citation.json"} </w:instrText>
      </w:r>
      <w:r w:rsidRPr="007A1FCF">
        <w:fldChar w:fldCharType="separate"/>
      </w:r>
      <w:r w:rsidR="00954B3D" w:rsidRPr="00954B3D">
        <w:rPr>
          <w:rFonts w:cs="Times New Roman"/>
        </w:rPr>
        <w:t>(</w:t>
      </w:r>
      <w:proofErr w:type="spellStart"/>
      <w:r w:rsidR="00954B3D" w:rsidRPr="00954B3D">
        <w:rPr>
          <w:rFonts w:cs="Times New Roman"/>
        </w:rPr>
        <w:t>Magurran</w:t>
      </w:r>
      <w:proofErr w:type="spellEnd"/>
      <w:r w:rsidR="00954B3D" w:rsidRPr="00954B3D">
        <w:rPr>
          <w:rFonts w:cs="Times New Roman"/>
        </w:rPr>
        <w:t>, 2004)</w:t>
      </w:r>
      <w:r w:rsidRPr="007A1FCF">
        <w:fldChar w:fldCharType="end"/>
      </w:r>
      <w:r>
        <w:t xml:space="preserve"> </w:t>
      </w:r>
      <w:r>
        <w:lastRenderedPageBreak/>
        <w:t xml:space="preserve">from the summed average relative abundance of TRFs within each habitat for each site.  </w:t>
      </w:r>
      <w:r w:rsidRPr="007A1FCF">
        <w:t>The reciprocal of the diversity index (1/D) was used</w:t>
      </w:r>
      <w:r>
        <w:t xml:space="preserve"> throughout analysis </w:t>
      </w:r>
      <w:r w:rsidRPr="007A1FCF">
        <w:t>as</w:t>
      </w:r>
      <w:r>
        <w:t xml:space="preserve"> this is more intuitive as communities with greater diversity have higher reciprocal Simpson’s diversity indices values in comparison to communities which have lower species richness and evenness.</w:t>
      </w:r>
      <w:r w:rsidRPr="007A1FCF">
        <w:t xml:space="preserve"> </w:t>
      </w:r>
    </w:p>
    <w:p w:rsidR="00B46350" w:rsidRPr="007A1FCF" w:rsidRDefault="00B46350" w:rsidP="00B46350">
      <m:oMathPara>
        <m:oMath>
          <m:r>
            <w:rPr>
              <w:rFonts w:ascii="Cambria Math" w:hAnsi="Cambria Math"/>
            </w:rPr>
            <m:t>D=</m:t>
          </m:r>
          <m:nary>
            <m:naryPr>
              <m:chr m:val="∑"/>
              <m:limLoc m:val="undOvr"/>
              <m:ctrlPr>
                <w:rPr>
                  <w:rFonts w:ascii="Cambria Math" w:hAnsi="Cambria Math"/>
                  <w:i/>
                </w:rPr>
              </m:ctrlPr>
            </m:naryPr>
            <m:sub>
              <m:r>
                <w:rPr>
                  <w:rFonts w:ascii="Cambria Math" w:hAnsi="Cambria Math"/>
                </w:rPr>
                <m:t>i=1</m:t>
              </m:r>
            </m:sub>
            <m:sup>
              <m:r>
                <w:rPr>
                  <w:rFonts w:ascii="Cambria Math" w:hAnsi="Cambria Math"/>
                </w:rPr>
                <m:t>s</m:t>
              </m:r>
            </m:sup>
            <m:e/>
          </m:nary>
          <m:f>
            <m:fPr>
              <m:ctrlPr>
                <w:rPr>
                  <w:rFonts w:ascii="Cambria Math" w:hAnsi="Cambria Math"/>
                  <w:i/>
                </w:rPr>
              </m:ctrlPr>
            </m:fPr>
            <m:num>
              <m:sSub>
                <m:sSubPr>
                  <m:ctrlPr>
                    <w:rPr>
                      <w:rFonts w:ascii="Cambria Math" w:hAnsi="Cambria Math"/>
                      <w:i/>
                      <w:vertAlign w:val="subscript"/>
                    </w:rPr>
                  </m:ctrlPr>
                </m:sSubPr>
                <m:e>
                  <m:r>
                    <w:rPr>
                      <w:rFonts w:ascii="Cambria Math" w:hAnsi="Cambria Math"/>
                      <w:vertAlign w:val="subscript"/>
                    </w:rPr>
                    <m:t>n</m:t>
                  </m:r>
                </m:e>
                <m:sub>
                  <m:r>
                    <w:rPr>
                      <w:rFonts w:ascii="Cambria Math" w:hAnsi="Cambria Math"/>
                      <w:vertAlign w:val="subscript"/>
                    </w:rPr>
                    <m:t>i</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-1)</m:t>
              </m:r>
            </m:num>
            <m:den>
              <m:r>
                <w:rPr>
                  <w:rFonts w:ascii="Cambria Math" w:hAnsi="Cambria Math"/>
                </w:rPr>
                <m:t>N(N-1)</m:t>
              </m:r>
            </m:den>
          </m:f>
        </m:oMath>
      </m:oMathPara>
    </w:p>
    <w:p w:rsidR="00B46350" w:rsidRPr="002900F0" w:rsidRDefault="00861E0B" w:rsidP="00861E0B">
      <w:pPr>
        <w:pStyle w:val="Caption"/>
      </w:pPr>
      <w:r>
        <w:t xml:space="preserve">Equation </w:t>
      </w:r>
      <w:r w:rsidR="00C44EF5">
        <w:fldChar w:fldCharType="begin"/>
      </w:r>
      <w:r w:rsidR="00C44EF5">
        <w:instrText xml:space="preserve"> SEQ Equation \* ARABIC </w:instrText>
      </w:r>
      <w:r w:rsidR="00C44EF5">
        <w:fldChar w:fldCharType="separate"/>
      </w:r>
      <w:r w:rsidR="00E0714D">
        <w:rPr>
          <w:noProof/>
        </w:rPr>
        <w:t>1</w:t>
      </w:r>
      <w:r w:rsidR="00C44EF5">
        <w:rPr>
          <w:noProof/>
        </w:rPr>
        <w:fldChar w:fldCharType="end"/>
      </w:r>
    </w:p>
    <w:p w:rsidR="00B46350" w:rsidRDefault="00B46350" w:rsidP="00B46350">
      <w:r w:rsidRPr="007A1FCF">
        <w:t xml:space="preserve">Equation for Simpson’s diversity index where N </w:t>
      </w:r>
      <w:r>
        <w:t>is the total number of TRFs</w:t>
      </w:r>
      <w:r w:rsidRPr="007A1FCF">
        <w:t xml:space="preserve"> and </w:t>
      </w:r>
      <w:proofErr w:type="spellStart"/>
      <w:proofErr w:type="gramStart"/>
      <w:r w:rsidRPr="007A1FCF">
        <w:t>n</w:t>
      </w:r>
      <w:r w:rsidRPr="007A1FCF">
        <w:rPr>
          <w:vertAlign w:val="subscript"/>
        </w:rPr>
        <w:t>i</w:t>
      </w:r>
      <w:proofErr w:type="spellEnd"/>
      <w:proofErr w:type="gramEnd"/>
      <w:r w:rsidRPr="007A1FCF">
        <w:t xml:space="preserve"> is the number</w:t>
      </w:r>
      <w:r>
        <w:t xml:space="preserve"> of occurrences of </w:t>
      </w:r>
      <w:proofErr w:type="spellStart"/>
      <w:r>
        <w:t>TRF</w:t>
      </w:r>
      <w:r w:rsidRPr="00503743">
        <w:rPr>
          <w:vertAlign w:val="subscript"/>
        </w:rPr>
        <w:t>i</w:t>
      </w:r>
      <w:proofErr w:type="spellEnd"/>
    </w:p>
    <w:p w:rsidR="00B46350" w:rsidRPr="007A1FCF" w:rsidRDefault="00B46350" w:rsidP="00B46350">
      <w:r>
        <w:t xml:space="preserve">The </w:t>
      </w:r>
      <w:r w:rsidRPr="007A1FCF">
        <w:t>effect of habitat type (arable, conventional bush orchard, conventional standard orchard, organic standard orchard and woodland) upon AMF richness</w:t>
      </w:r>
      <w:r>
        <w:t xml:space="preserve"> and evenness</w:t>
      </w:r>
      <w:r w:rsidRPr="007A1FCF">
        <w:t xml:space="preserve"> within l</w:t>
      </w:r>
      <w:r>
        <w:t>eek bait plant roots</w:t>
      </w:r>
      <w:r w:rsidRPr="007A1FCF">
        <w:t xml:space="preserve"> </w:t>
      </w:r>
      <w:r>
        <w:t xml:space="preserve">was tested using one-way ANOVA models </w:t>
      </w:r>
      <w:r w:rsidRPr="007A1FCF">
        <w:t>w</w:t>
      </w:r>
      <w:r>
        <w:t>ith habitat type as the predictor,</w:t>
      </w:r>
      <w:r w:rsidRPr="007A1FCF">
        <w:t xml:space="preserve"> TRF number</w:t>
      </w:r>
      <w:r>
        <w:t xml:space="preserve"> or Simpson’s reciprocal diversity index for each of the 25 sites per habitat type as the response variable and site group number as a random effect. Data which did not meet requirements of the ANOVA model was Log</w:t>
      </w:r>
      <w:r w:rsidRPr="00FA78BF">
        <w:rPr>
          <w:vertAlign w:val="subscript"/>
        </w:rPr>
        <w:t xml:space="preserve">10 </w:t>
      </w:r>
      <w:r>
        <w:t>transformed</w:t>
      </w:r>
      <w:r w:rsidR="00FA0D2A">
        <w:t xml:space="preserve"> so that data was normally distributed</w:t>
      </w:r>
      <w:r>
        <w:t xml:space="preserve">. Analysis was performed in R Studio V 3.3.1 (R Development Core Team, 2016). Richness and Simpson’s diversity was analysed both separately for TRF data from each restriction enzyme and on the combined TRF data from both restriction enzymes to allow comparison between the two enzymes. </w:t>
      </w:r>
    </w:p>
    <w:p w:rsidR="00B46350" w:rsidRDefault="00B46350" w:rsidP="00B46350">
      <w:pPr>
        <w:pStyle w:val="Heading4"/>
        <w:numPr>
          <w:ilvl w:val="3"/>
          <w:numId w:val="1"/>
        </w:numPr>
      </w:pPr>
      <w:bookmarkStart w:id="270" w:name="_Ref465244883"/>
      <w:r>
        <w:t>TRFLP data; Relative abundance and presence/absence using Principal Component Analysis</w:t>
      </w:r>
      <w:bookmarkEnd w:id="270"/>
      <w:r>
        <w:t xml:space="preserve"> </w:t>
      </w:r>
    </w:p>
    <w:p w:rsidR="00B46350" w:rsidRPr="00FB4391" w:rsidRDefault="00B46350" w:rsidP="00B46350">
      <w:r>
        <w:t xml:space="preserve">To examine differences TRF presence/absence and relative abundance between habitat types Principal Component Analysis was performed on the TRF relative abundance data matrix and binary TRF presence/absence data matrix using a sum of squares model in </w:t>
      </w:r>
      <w:proofErr w:type="spellStart"/>
      <w:r>
        <w:t>Genstat</w:t>
      </w:r>
      <w:proofErr w:type="spellEnd"/>
      <w:r>
        <w:t xml:space="preserve"> V18.1.0.12005 (</w:t>
      </w:r>
      <w:proofErr w:type="spellStart"/>
      <w:r>
        <w:t>VSNi</w:t>
      </w:r>
      <w:proofErr w:type="spellEnd"/>
      <w:r>
        <w:t xml:space="preserve"> International Ltd). The effect of habitat type upon principal component score was tested using one-way ANOVA models with habitat types as a fixed effect, site group number as a random effect and principal component scores as the response variable. Percentage values of data variation explained by each principal component were visually inspected and ANOVA tests were performed on all principal component scores which accounted for the over 5% of the variation in the data.</w:t>
      </w:r>
    </w:p>
    <w:p w:rsidR="00B46350" w:rsidRPr="007A1FCF" w:rsidRDefault="00B46350" w:rsidP="00B46350">
      <w:pPr>
        <w:pStyle w:val="Heading4"/>
        <w:numPr>
          <w:ilvl w:val="3"/>
          <w:numId w:val="1"/>
        </w:numPr>
      </w:pPr>
      <w:bookmarkStart w:id="271" w:name="_Ref465244888"/>
      <w:r>
        <w:t xml:space="preserve">TRFLP data; </w:t>
      </w:r>
      <w:r w:rsidRPr="007A1FCF">
        <w:t>OPLS-DA approach fo</w:t>
      </w:r>
      <w:r>
        <w:t>r TRF relative abundance effects</w:t>
      </w:r>
      <w:bookmarkEnd w:id="271"/>
    </w:p>
    <w:p w:rsidR="00B46350" w:rsidRDefault="00B46350" w:rsidP="00B46350">
      <w:r w:rsidRPr="007A1FCF">
        <w:t xml:space="preserve">Orthogonal partial least square discrimination analysis (OPLS-DA) was used to initially examine the differences in the relative </w:t>
      </w:r>
      <w:r>
        <w:t>abundance of each of the 20 TRF</w:t>
      </w:r>
      <w:r w:rsidRPr="007A1FCF">
        <w:t>s between the five contrasting habitat types a</w:t>
      </w:r>
      <w:r>
        <w:t>nd to identify TRF</w:t>
      </w:r>
      <w:r w:rsidRPr="007A1FCF">
        <w:t>s which showed significant differences in abundance between habi</w:t>
      </w:r>
      <w:r>
        <w:t>tat types (SIMCA 14.0</w:t>
      </w:r>
      <w:r w:rsidRPr="007A1FCF">
        <w:t xml:space="preserve">, Sweden). OPLS-DA is a multivariate supervised analysis which identifies relationships in the data by using a linear regression model to correlate the X data matrix </w:t>
      </w:r>
      <w:r w:rsidRPr="007A1FCF">
        <w:lastRenderedPageBreak/>
        <w:t xml:space="preserve">with a Y data matrix </w:t>
      </w:r>
      <w:r w:rsidRPr="007A1FCF">
        <w:fldChar w:fldCharType="begin"/>
      </w:r>
      <w:r w:rsidR="00954B3D">
        <w:instrText xml:space="preserve"> ADDIN ZOTERO_ITEM CSL_CITATION {"citationID":"7IzknwkY","properties":{"formattedCitation":"{\\rtf (Bylesj\\uc0\\u246{} {\\i{}et al.}, 2006; Jandri\\uc0\\u263{} {\\i{}et al.}, 2015)}","plainCitation":"(Bylesjö et al., 2006; Jandrić et al., 2015)"},"citationItems":[{"id":234,"uris":["http://zotero.org/users/local/d1gJDEOw/items/Q7VVFQUS"],"uri":["http://zotero.org/users/local/d1gJDEOw/items/Q7VVFQUS"],"itemData":{"id":234,"type":"article-journal","title":"OPLS discriminant analysis: combining the strengths of PLS-DA and SIMCA classification","container-title":"Journal of Chemometrics","page":"341-351","volume":"20","issue":"8-10","source":"Wiley Online Library","abstract":"The characteristics of the OPLS method have been investigated for the purpose of discriminant analysis (OPLS-DA). We demonstrate how class-orthogonal variation can be exploited to augment classification performance in cases where the individual classes exhibit divergence in within-class variation, in analogy with soft independent modelling of class analogy (SIMCA) classification. The prediction results will be largely equivalent to traditional supervised classification using PLS-DA if no such variation is present in the classes. A discriminatory strategy is thus outlined, combining the strengths of PLS-DA and SIMCA classification within the framework of the OPLS-DA method. Furthermore, resampling methods have been employed to generate distributions of predicted classification results and subsequently assess classification belief. This enables utilisation of the class-orthogonal variation in a proper statistical context. The proposed decision rule is compared to common decision rules and is shown to produce comparable or less class-biased classification results. Copyright © 2007 John Wiley &amp; Sons, Ltd.","DOI":"10.1002/cem.1006","ISSN":"1099-128X","shortTitle":"OPLS discriminant analysis","journalAbbreviation":"J. Chemometrics","language":"en","author":[{"family":"Bylesjö","given":"Max"},{"family":"Rantalainen","given":"Mattias"},{"family":"Cloarec","given":"Olivier"},{"family":"Nicholson","given":"Jeremy K."},{"family":"Holmes","given":"Elaine"},{"family":"Trygg","given":"Johan"}],"issued":{"date-parts":[["2006",8,1]]}}},{"id":279,"uris":["http://zotero.org/users/local/d1gJDEOw/items/BS6PAC2G"],"uri":["http://zotero.org/users/local/d1gJDEOw/items/BS6PAC2G"],"itemData":{"id":279,"type":"article-journal","title":"Discrimination of honey of different floral origins by a combination of various chemical parameters","container-title":"Food Chemistry","collection-title":"ASSET 2014 – Food Integrity and Traceability Conference","page":"52-59","volume":"189","source":"ScienceDirect","abstract":"Honey is a high value food commodity with recognized nutraceutical properties. A primary driver of the value of honey is its floral origin. The feasibility of applying multivariate data analysis to various chemical parameters for the discrimination of honeys was explored. This approach was applied to four authentic honeys with different floral origins (rata, kamahi, clover and manuka) obtained from producers in New Zealand. Results from elemental profiling, stable isotope analysis, metabolomics (UPLC-QToF MS), and NIR, FT-IR, and Raman spectroscopic fingerprinting were analyzed. Orthogonal partial least square discriminant analysis (OPLS-DA) was used to determine which technique or combination of techniques provided the best classification and prediction abilities. Good prediction values were achieved using metabolite data (for all four honeys, Q2 = 0.52; for manuka and clover, Q2 = 0.76) and the trace element/isotopic data (for manuka and clover, Q2 = 0.65), while the other chemical parameters showed promise when combined (for manuka and clover, Q2 = 0.43).","DOI":"10.1016/j.foodchem.2014.11.165","ISSN":"0308-8146","journalAbbreviation":"Food Chemistry","author":[{"family":"Jandrić","given":"Z."},{"family":"Haughey","given":"S. A."},{"family":"Frew","given":"R. D."},{"family":"McComb","given":"K."},{"family":"Galvin-King","given":"P."},{"family":"Elliott","given":"C. T."},{"family":"Cannavan","given":"A."}],"issued":{"date-parts":[["2015",12,15]]}}}],"schema":"https://github.com/citation-style-language/schema/raw/master/csl-citation.json"} </w:instrText>
      </w:r>
      <w:r w:rsidRPr="007A1FCF">
        <w:fldChar w:fldCharType="separate"/>
      </w:r>
      <w:r w:rsidR="00954B3D" w:rsidRPr="00954B3D">
        <w:rPr>
          <w:rFonts w:cs="Times New Roman"/>
          <w:szCs w:val="24"/>
        </w:rPr>
        <w:t>(</w:t>
      </w:r>
      <w:proofErr w:type="spellStart"/>
      <w:r w:rsidR="00954B3D" w:rsidRPr="00954B3D">
        <w:rPr>
          <w:rFonts w:cs="Times New Roman"/>
          <w:szCs w:val="24"/>
        </w:rPr>
        <w:t>Bylesjö</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2006; </w:t>
      </w:r>
      <w:proofErr w:type="spellStart"/>
      <w:r w:rsidR="00954B3D" w:rsidRPr="00954B3D">
        <w:rPr>
          <w:rFonts w:cs="Times New Roman"/>
          <w:szCs w:val="24"/>
        </w:rPr>
        <w:t>Jandrić</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2015)</w:t>
      </w:r>
      <w:r w:rsidRPr="007A1FCF">
        <w:fldChar w:fldCharType="end"/>
      </w:r>
      <w:r w:rsidRPr="007A1FCF">
        <w:t xml:space="preserve">.  The OPLS-DA method is conducive to identification of relationships between variables as it reduces noise in the data </w:t>
      </w:r>
      <w:r>
        <w:t>that is</w:t>
      </w:r>
      <w:r w:rsidRPr="007A1FCF">
        <w:t xml:space="preserve"> shown by alternative multivariate analysis methods such as PCA. Use of OPLS-DA on large data sets may cause random associations ther</w:t>
      </w:r>
      <w:r>
        <w:t>efore for this analysis any TRF</w:t>
      </w:r>
      <w:r w:rsidRPr="007A1FCF">
        <w:t xml:space="preserve">s identified by OPLS-DA analysis to differ significantly in abundance between habitats were subsequently tested using one-way ANOVA tests followed by Tukey HSD tests where significant effects </w:t>
      </w:r>
      <w:r>
        <w:t>were shown (R studio version 3.3.1 R Core Team 2016</w:t>
      </w:r>
      <w:r w:rsidRPr="007A1FCF">
        <w:t>). TRF relative abundance data which did not meet the assumptio</w:t>
      </w:r>
      <w:r>
        <w:t>ns of the ANOVA test was L</w:t>
      </w:r>
      <w:r w:rsidRPr="007A1FCF">
        <w:t>og</w:t>
      </w:r>
      <w:r w:rsidRPr="007A1FCF">
        <w:rPr>
          <w:vertAlign w:val="subscript"/>
        </w:rPr>
        <w:t xml:space="preserve">10 </w:t>
      </w:r>
      <w:proofErr w:type="spellStart"/>
      <w:r w:rsidRPr="007A1FCF">
        <w:t>transformed.</w:t>
      </w:r>
      <w:r w:rsidR="002C34A6">
        <w:t>OPLS</w:t>
      </w:r>
      <w:proofErr w:type="spellEnd"/>
      <w:r w:rsidR="002C34A6">
        <w:t>-DA loading plots for TRFLP data analysis are presented in Appendix B.1</w:t>
      </w:r>
      <w:r w:rsidR="007233B5">
        <w:t>.</w:t>
      </w:r>
    </w:p>
    <w:p w:rsidR="00B46350" w:rsidRDefault="00B46350" w:rsidP="00B46350">
      <w:pPr>
        <w:pStyle w:val="Heading3"/>
      </w:pPr>
      <w:bookmarkStart w:id="272" w:name="_Toc464758687"/>
      <w:bookmarkStart w:id="273" w:name="_Toc469855045"/>
      <w:bookmarkStart w:id="274" w:name="_Toc469856045"/>
      <w:bookmarkStart w:id="275" w:name="_Toc469931954"/>
      <w:bookmarkStart w:id="276" w:name="_Toc469982275"/>
      <w:r>
        <w:t>Illumina Sequencing</w:t>
      </w:r>
      <w:bookmarkEnd w:id="272"/>
      <w:bookmarkEnd w:id="273"/>
      <w:bookmarkEnd w:id="274"/>
      <w:bookmarkEnd w:id="275"/>
      <w:bookmarkEnd w:id="276"/>
    </w:p>
    <w:p w:rsidR="00B46350" w:rsidRDefault="00B46350" w:rsidP="00B46350">
      <w:pPr>
        <w:pStyle w:val="Heading4"/>
        <w:numPr>
          <w:ilvl w:val="3"/>
          <w:numId w:val="1"/>
        </w:numPr>
      </w:pPr>
      <w:r>
        <w:t>Subsample selection for Illumina Sequencing and pooling</w:t>
      </w:r>
    </w:p>
    <w:p w:rsidR="00B46350" w:rsidRPr="007B3970" w:rsidRDefault="00B46350" w:rsidP="00B46350">
      <w:pPr>
        <w:rPr>
          <w:rFonts w:cs="Times New Roman"/>
        </w:rPr>
      </w:pPr>
      <w:r>
        <w:rPr>
          <w:rFonts w:cs="Times New Roman"/>
        </w:rPr>
        <w:t>A subsample of 19 groups was randomly selected from the 25 study site groups for Illumina sequencing. This gave a total of 95 samples for sequencing with 19 from each of the following five habitats: conventional bush orchard, conventional standard orchard, organic standard orchard, arable and woodland. DNA extracts from leek bait plant roots from each of the six replicate samples collected per habitat per site were</w:t>
      </w:r>
      <w:r w:rsidR="00861E0B">
        <w:rPr>
          <w:rFonts w:cs="Times New Roman"/>
        </w:rPr>
        <w:t xml:space="preserve"> pooled to produce DNA sample.</w:t>
      </w:r>
    </w:p>
    <w:p w:rsidR="00B46350" w:rsidRDefault="00B46350" w:rsidP="00B46350">
      <w:pPr>
        <w:pStyle w:val="Heading4"/>
        <w:numPr>
          <w:ilvl w:val="3"/>
          <w:numId w:val="1"/>
        </w:numPr>
      </w:pPr>
      <w:r>
        <w:t>Marker selection</w:t>
      </w:r>
    </w:p>
    <w:p w:rsidR="00B46350" w:rsidRDefault="00B46350" w:rsidP="00B46350">
      <w:pPr>
        <w:rPr>
          <w:rFonts w:cs="Times New Roman"/>
        </w:rPr>
      </w:pPr>
      <w:r>
        <w:rPr>
          <w:rFonts w:cs="Times New Roman"/>
        </w:rPr>
        <w:t xml:space="preserve">The nuclear ribosomal operon has several sections which are commonly used as molecular markers for AMF fungal identification; the SSU </w:t>
      </w:r>
      <w:proofErr w:type="spellStart"/>
      <w:r>
        <w:rPr>
          <w:rFonts w:cs="Times New Roman"/>
        </w:rPr>
        <w:t>rRNA</w:t>
      </w:r>
      <w:proofErr w:type="spellEnd"/>
      <w:r>
        <w:rPr>
          <w:rFonts w:cs="Times New Roman"/>
        </w:rPr>
        <w:t xml:space="preserve"> </w:t>
      </w:r>
      <w:r w:rsidRPr="004434CC">
        <w:rPr>
          <w:rFonts w:cs="Times New Roman"/>
          <w:color w:val="000000" w:themeColor="text1"/>
        </w:rPr>
        <w:t xml:space="preserve">gene </w:t>
      </w:r>
      <w:r w:rsidRPr="004434CC">
        <w:rPr>
          <w:rFonts w:cs="Times New Roman"/>
          <w:color w:val="000000" w:themeColor="text1"/>
        </w:rPr>
        <w:fldChar w:fldCharType="begin"/>
      </w:r>
      <w:r w:rsidR="00954B3D">
        <w:rPr>
          <w:rFonts w:cs="Times New Roman"/>
          <w:color w:val="000000" w:themeColor="text1"/>
        </w:rPr>
        <w:instrText xml:space="preserve"> ADDIN ZOTERO_ITEM CSL_CITATION {"citationID":"1j9s9nomio","properties":{"formattedCitation":"{\\rtf (Simon {\\i{}et al.}, 1992)}","plainCitation":"(Simon et al., 1992)"},"citationItems":[{"id":270,"uris":["http://zotero.org/users/local/d1gJDEOw/items/QWTXMZG5"],"uri":["http://zotero.org/users/local/d1gJDEOw/items/QWTXMZG5"],"itemData":{"id":270,"type":"article-journal","title":"Specific amplification of 18S fungal ribosomal genes from vesicular-arbuscular endomycorrhizal fungi colonizing roots.","container-title":"Applied and Environmental Microbiology","page":"291-295","volume":"58","issue":"1","source":"aem.asm.org","abstract":"The first DNA sequences obtained from arbuscular endomycorrhizal fungi are reported. They were obtained by directly sequencing overlapping amplified fragments of the nuclear genes coding for the small subunit rRNA. These sequences were used to develop a polymerase chain reaction primer (VANS1) that enables the specific amplification of a portion of the vesicular-arbuscular endomycorrhizal fungus small subunit rRNA directly from a mixture of plant and fungal tissues. The specificity of this primer for arbuscular endomycorrhizal fungi was demonstrated by testing it on a number of organisms and by sequencing the fragment amplified from colonized leek (Allium porum) roots. This approach, coupled with other molecular techniques, will facilitate rapid detection, identification, and possibly quantitation of arbuscular endomycorrhizal fungi.","ISSN":"0099-2240, 1098-5336","note":"PMID: 1339260","journalAbbreviation":"Appl. Environ. Microbiol.","language":"en","author":[{"family":"Simon","given":"L."},{"family":"Lalonde","given":"M."},{"family":"Bruns","given":"T. D."}],"issued":{"date-parts":[["1992",1,1]]}}}],"schema":"https://github.com/citation-style-language/schema/raw/master/csl-citation.json"} </w:instrText>
      </w:r>
      <w:r w:rsidRPr="004434CC">
        <w:rPr>
          <w:rFonts w:cs="Times New Roman"/>
          <w:color w:val="000000" w:themeColor="text1"/>
        </w:rPr>
        <w:fldChar w:fldCharType="separate"/>
      </w:r>
      <w:r w:rsidR="00954B3D" w:rsidRPr="00954B3D">
        <w:rPr>
          <w:rFonts w:cs="Times New Roman"/>
          <w:szCs w:val="24"/>
        </w:rPr>
        <w:t xml:space="preserve">(Simon </w:t>
      </w:r>
      <w:r w:rsidR="00954B3D" w:rsidRPr="00954B3D">
        <w:rPr>
          <w:rFonts w:cs="Times New Roman"/>
          <w:i/>
          <w:iCs/>
          <w:szCs w:val="24"/>
        </w:rPr>
        <w:t>et al.</w:t>
      </w:r>
      <w:r w:rsidR="00954B3D" w:rsidRPr="00954B3D">
        <w:rPr>
          <w:rFonts w:cs="Times New Roman"/>
          <w:szCs w:val="24"/>
        </w:rPr>
        <w:t>, 1992)</w:t>
      </w:r>
      <w:r w:rsidRPr="004434CC">
        <w:rPr>
          <w:rFonts w:cs="Times New Roman"/>
          <w:color w:val="000000" w:themeColor="text1"/>
        </w:rPr>
        <w:fldChar w:fldCharType="end"/>
      </w:r>
      <w:r w:rsidRPr="004434CC">
        <w:rPr>
          <w:rFonts w:cs="Times New Roman"/>
          <w:color w:val="000000" w:themeColor="text1"/>
        </w:rPr>
        <w:t xml:space="preserve">, ITS </w:t>
      </w:r>
      <w:r>
        <w:rPr>
          <w:rFonts w:cs="Times New Roman"/>
        </w:rPr>
        <w:t xml:space="preserve">and LSU </w:t>
      </w:r>
      <w:proofErr w:type="spellStart"/>
      <w:r>
        <w:rPr>
          <w:rFonts w:cs="Times New Roman"/>
        </w:rPr>
        <w:t>rRNA</w:t>
      </w:r>
      <w:proofErr w:type="spellEnd"/>
      <w:r>
        <w:rPr>
          <w:rFonts w:cs="Times New Roman"/>
        </w:rPr>
        <w:t xml:space="preserve"> gene </w:t>
      </w:r>
      <w:r>
        <w:rPr>
          <w:rFonts w:cs="Times New Roman"/>
        </w:rPr>
        <w:fldChar w:fldCharType="begin"/>
      </w:r>
      <w:r w:rsidR="00954B3D">
        <w:rPr>
          <w:rFonts w:cs="Times New Roman"/>
        </w:rPr>
        <w:instrText xml:space="preserve"> ADDIN ZOTERO_ITEM CSL_CITATION {"citationID":"1p57mre3pc","properties":{"formattedCitation":"{\\rtf (\\uc0\\u214{}pik {\\i{}et al.}, 2013a)}","plainCitation":"(Öpik et al., 2013a)"},"citationItems":[{"id":315,"uris":["http://zotero.org/users/local/d1gJDEOw/items/B2VXHGRR"],"uri":["http://zotero.org/users/local/d1gJDEOw/items/B2VXHGRR"],"itemData":{"id":315,"type":"article-journal","title":"DNA-based detection and identification of Glomeromycota: the virtual taxonomy of environmental sequences","container-title":"Botany","page":"135-147","volume":"92","issue":"2","source":"NRC Research Press","abstract":"An increasing number of case studies are reporting Glomeromycota molecular diversity from ecosystems worldwide. Typically, phylogroups that can be related to morphospecies and those that remain unidentified (“environmental”) are recorded. To compare such data and generalise observed patterns, the principles underlying sequence identification should be unified. Data from case studies are collected and systematized in a public database MaarjAM (http://www.maarjam.botany.ut.ee), which applies a unique molecular operational taxonomic unit (MOTU) nomenclature: virtual taxa (VT) are phylogenetically defined sequence groups roughly corresponding to species-level taxa. VT are based on type sequences, making them consistent in time, but they also evolve: they can be split or merged, when necessary. This system allows standardisation of original MOTU designations and, much like binomial taxonomic nomenclature, comparison and consistency between studies. Refinement of VT delimitation principles and comparability wit..., On observe un nombre croissant d’études de cas faisant état de la diversité moléculaire des Gloméromycota provenant d’écosystèmes du monde entier. Typiquement, on rapporte des phylogroupes que l’on peut relier aux espèces morphologiques et d’autres qui demeurent non identifiés (« environnementaux »). Pour comparer de telles données et généraliser les tendances observées, il faudrait unifier les principes sous-jacents à l’identification des séquences. Les données provenant d’études de cas sont collectées et systématisées dans une banque publique de données MaarjAM (http://www.maarjam.botany.ut.ee), appliquant une nomenclature unique d’unité de taxonomie moléculaire opérationnelle (UTMO); les taxons virtuels (TV) sont des groupes de séquences phylogénétiquement définies correspondant en gros aux taxons au rang d’espèce. Les TV sont basés sur des séquences types, les rendant cohérents dans le temps, mais ils peuvent également évoluer, pouvant être divisés ou regroupés au besoin. Ce système permet la standard...","DOI":"10.1139/cjb-2013-0110","ISSN":"1916-2790","shortTitle":"DNA-based detection and identification of Glomeromycota","journalAbbreviation":"Botany","author":[{"family":"Öpik","given":"Maarja"},{"family":"Davison","given":"John"},{"family":"Moora","given":"Mari"},{"family":"Zobel","given":"Martin"}],"issued":{"date-parts":[["2013",9,16]]}}}],"schema":"https://github.com/citation-style-language/schema/raw/master/csl-citation.json"} </w:instrText>
      </w:r>
      <w:r>
        <w:rPr>
          <w:rFonts w:cs="Times New Roman"/>
        </w:rPr>
        <w:fldChar w:fldCharType="separate"/>
      </w:r>
      <w:r w:rsidR="00954B3D" w:rsidRPr="00954B3D">
        <w:rPr>
          <w:rFonts w:cs="Times New Roman"/>
          <w:szCs w:val="24"/>
        </w:rPr>
        <w:t>(</w:t>
      </w:r>
      <w:proofErr w:type="spellStart"/>
      <w:r w:rsidR="00954B3D" w:rsidRPr="00954B3D">
        <w:rPr>
          <w:rFonts w:cs="Times New Roman"/>
          <w:szCs w:val="24"/>
        </w:rPr>
        <w:t>Öpik</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2013a)</w:t>
      </w:r>
      <w:r>
        <w:rPr>
          <w:rFonts w:cs="Times New Roman"/>
        </w:rPr>
        <w:fldChar w:fldCharType="end"/>
      </w:r>
      <w:r>
        <w:rPr>
          <w:rFonts w:cs="Times New Roman"/>
        </w:rPr>
        <w:t xml:space="preserve">.  For this study the SSU </w:t>
      </w:r>
      <w:proofErr w:type="spellStart"/>
      <w:r>
        <w:rPr>
          <w:rFonts w:cs="Times New Roman"/>
        </w:rPr>
        <w:t>rRNA</w:t>
      </w:r>
      <w:proofErr w:type="spellEnd"/>
      <w:r>
        <w:rPr>
          <w:rFonts w:cs="Times New Roman"/>
        </w:rPr>
        <w:t xml:space="preserve"> gene was selected as a molecular marker due to its prevalence of use in sequence based studies of AMF ecology </w:t>
      </w:r>
      <w:r>
        <w:rPr>
          <w:rFonts w:cs="Times New Roman"/>
        </w:rPr>
        <w:fldChar w:fldCharType="begin"/>
      </w:r>
      <w:r w:rsidR="00954B3D">
        <w:rPr>
          <w:rFonts w:cs="Times New Roman"/>
        </w:rPr>
        <w:instrText xml:space="preserve"> ADDIN ZOTERO_ITEM CSL_CITATION {"citationID":"0MuH3UAI","properties":{"formattedCitation":"{\\rtf (\\uc0\\u214{}pik &amp; Davison, 2016; Thiery {\\i{}et al.}, 2016)}","plainCitation":"(Öpik &amp; Davison, 2016; Thiery et al., 2016)"},"citationItems":[{"id":337,"uris":["http://zotero.org/users/local/d1gJDEOw/items/F2WRPX7J"],"uri":["http://zotero.org/users/local/d1gJDEOw/items/F2WRPX7J"],"itemData":{"id":337,"type":"article-journal","title":"Uniting species- and community-oriented approaches to understand arbuscular mycorrhizal fungal diversity","container-title":"Fungal Ecology","URL":"http://www.sciencedirect.com/science/article/pii/S1754504816300770","DOI":"10.1016/j.funeco.2016.07.005","ISSN":"1754-5048","journalAbbreviation":"Fungal Ecology","author":[{"family":"Öpik","given":"Maarja"},{"family":"Davison","given":"John"}],"issued":{"date-parts":[["2016"]]}}},{"id":312,"uris":["http://zotero.org/users/local/d1gJDEOw/items/P9AMIJGH"],"uri":["http://zotero.org/users/local/d1gJDEOw/items/P9AMIJGH"],"itemData":{"id":312,"type":"article-journal","title":"Sequence variation in nuclear ribosomal small subunit, internal transcribed spacer and large subunit regions of Rhizophagus irregularis and Gigaspora margarita is high and isolate-dependent","container-title":"Molecular Ecology","page":"2816-2832","volume":"25","issue":"12","source":"Web of Science","abstract":"Arbuscular mycorrhizal (AM) fungi are known to exhibit high intra-organism genetic variation. However, information about intra-vs. interspecific variation among the genes commonly used in diversity surveys is limited. Here, the nuclear small subunit (SSU) rRNA gene, internal transcribed spacer (ITS) region and large subunit (LSU) rRNA gene portions were sequenced from 3 to 5 individual spores from each of two isolates of Rhizophagus irregularis and Gigaspora margarita. A total of 1482 Sanger sequences (0.5 Mb) from 239 clones were obtained, spanning similar to 4370 bp of the ribosomal operon when concatenated. Intrasporal and intra-isolate sequence variation was high for all three regions even though variant numbers were not exhausted by sequencing 12-40 clones per isolate. Intra-isolate nucleotide variation levels followed the expected order of ITS &gt; LSU &gt; SSU, but the values were strongly dependent on isolate identity. Single nucleotide polymorphism (SNP) densities over 4 SNP/kb in the ribosomal operon were detected in all four isolates. Automated operational taxonomic unit picking within the sequence set of known identity overestimated species richness with almost all cut-off levels, markers and isolates. Average intraspecific sequence similarity values were 99%, 96% and 94% for amplicons in SSU, LSU and ITS, respectively. The suitability of the central part of the SSU as a marker for AM fungal community surveys was further supported by its level of nucleotide variation, which is similar to that of the ITS region; its alignability across the entire phylum; its appropriate length for next-generation sequencing; and its ease of amplification in single-step PCR.","DOI":"10.1111/mec.13655","ISSN":"0962-1083","note":"WOS:000378941800013","journalAbbreviation":"Mol. Ecol.","language":"English","author":[{"family":"Thiery","given":"Odile"},{"family":"Vasar","given":"Martti"},{"family":"Jairus","given":"Teele"},{"family":"Davison","given":"John"},{"family":"Roux","given":"Christophe"},{"family":"Kivistik","given":"Paula-Ann"},{"family":"Metspalu","given":"Andres"},{"family":"Milani","given":"Lili"},{"family":"Saks","given":"Ulle"},{"family":"Moora","given":"Mari"},{"family":"Zobel","given":"Martin"},{"family":"Opik","given":"Maarja"}],"issued":{"date-parts":[["2016",6]]}}}],"schema":"https://github.com/citation-style-language/schema/raw/master/csl-citation.json"} </w:instrText>
      </w:r>
      <w:r>
        <w:rPr>
          <w:rFonts w:cs="Times New Roman"/>
        </w:rPr>
        <w:fldChar w:fldCharType="separate"/>
      </w:r>
      <w:r w:rsidR="00954B3D" w:rsidRPr="00954B3D">
        <w:rPr>
          <w:rFonts w:cs="Times New Roman"/>
          <w:szCs w:val="24"/>
        </w:rPr>
        <w:t>(</w:t>
      </w:r>
      <w:proofErr w:type="spellStart"/>
      <w:r w:rsidR="00954B3D" w:rsidRPr="00954B3D">
        <w:rPr>
          <w:rFonts w:cs="Times New Roman"/>
          <w:szCs w:val="24"/>
        </w:rPr>
        <w:t>Öpik</w:t>
      </w:r>
      <w:proofErr w:type="spellEnd"/>
      <w:r w:rsidR="00954B3D" w:rsidRPr="00954B3D">
        <w:rPr>
          <w:rFonts w:cs="Times New Roman"/>
          <w:szCs w:val="24"/>
        </w:rPr>
        <w:t xml:space="preserve"> &amp; Davison, 2016; </w:t>
      </w:r>
      <w:proofErr w:type="spellStart"/>
      <w:r w:rsidR="00954B3D" w:rsidRPr="00954B3D">
        <w:rPr>
          <w:rFonts w:cs="Times New Roman"/>
          <w:szCs w:val="24"/>
        </w:rPr>
        <w:t>Thiery</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2016)</w:t>
      </w:r>
      <w:r>
        <w:rPr>
          <w:rFonts w:cs="Times New Roman"/>
        </w:rPr>
        <w:fldChar w:fldCharType="end"/>
      </w:r>
      <w:r>
        <w:rPr>
          <w:rFonts w:cs="Times New Roman"/>
        </w:rPr>
        <w:t xml:space="preserve"> in comparison to other markers such as the ITS and LSU </w:t>
      </w:r>
      <w:proofErr w:type="spellStart"/>
      <w:r>
        <w:rPr>
          <w:rFonts w:cs="Times New Roman"/>
        </w:rPr>
        <w:t>rRNA</w:t>
      </w:r>
      <w:proofErr w:type="spellEnd"/>
      <w:r>
        <w:rPr>
          <w:rFonts w:cs="Times New Roman"/>
        </w:rPr>
        <w:t xml:space="preserve"> gene which have been more wid</w:t>
      </w:r>
      <w:r w:rsidR="00861E0B">
        <w:rPr>
          <w:rFonts w:cs="Times New Roman"/>
        </w:rPr>
        <w:t>ely used for taxonomic studies.</w:t>
      </w:r>
    </w:p>
    <w:p w:rsidR="00B46350" w:rsidRPr="00962EDC" w:rsidRDefault="00B46350" w:rsidP="00B46350">
      <w:pPr>
        <w:rPr>
          <w:rFonts w:cs="Times New Roman"/>
        </w:rPr>
      </w:pPr>
      <w:r>
        <w:rPr>
          <w:rFonts w:cs="Times New Roman"/>
        </w:rPr>
        <w:t>For this study primers NS31</w:t>
      </w:r>
      <w:r w:rsidR="004930C5">
        <w:rPr>
          <w:rFonts w:cs="Times New Roman"/>
        </w:rPr>
        <w:t xml:space="preserve"> and AML2</w:t>
      </w:r>
      <w:r>
        <w:rPr>
          <w:rFonts w:cs="Times New Roman"/>
        </w:rPr>
        <w:t xml:space="preserve"> were chosen as both have been widely used for studies of diversity within the Glomeromycota using the SSU </w:t>
      </w:r>
      <w:proofErr w:type="spellStart"/>
      <w:r>
        <w:rPr>
          <w:rFonts w:cs="Times New Roman"/>
        </w:rPr>
        <w:t>rRNA</w:t>
      </w:r>
      <w:proofErr w:type="spellEnd"/>
      <w:r>
        <w:rPr>
          <w:rFonts w:cs="Times New Roman"/>
        </w:rPr>
        <w:t xml:space="preserve"> gene </w:t>
      </w:r>
      <w:r>
        <w:rPr>
          <w:rFonts w:cs="Times New Roman"/>
        </w:rPr>
        <w:fldChar w:fldCharType="begin"/>
      </w:r>
      <w:r w:rsidR="00954B3D">
        <w:rPr>
          <w:rFonts w:cs="Times New Roman"/>
        </w:rPr>
        <w:instrText xml:space="preserve"> ADDIN ZOTERO_ITEM CSL_CITATION {"citationID":"ZNRjsxgE","properties":{"formattedCitation":"{\\rtf (Lee {\\i{}et al.}, 2008; Varela-Cervero {\\i{}et al.}, 2015; de Leon {\\i{}et al.}, 2016)}","plainCitation":"(Lee et al., 2008; Varela-Cervero et al., 2015; de Leon et al., 2016)"},"citationItems":[{"id":245,"uris":["http://zotero.org/users/local/d1gJDEOw/items/C3UPIXMT"],"uri":["http://zotero.org/users/local/d1gJDEOw/items/C3UPIXMT"],"itemData":{"id":245,"type":"article-journal","title":"Improved PCR primers for the detection and identification of arbuscular mycorrhizal fungi","container-title":"FEMS Microbiology Ecology","page":"339-349","volume":"65","issue":"2","source":"Wiley Online Library","abstract":"A set of PCR primers that should amplify all subgroups of arbuscular mycorrhizal fungi (AMF, Glomeromycota), but exclude sequences from other organisms, was designed to facilitate rapid detection and identification directly from field-grown plant roots. The small subunit rRNA gene was targeted for the new primers (AML1 and AML2) because phylogenetic relationships among the Glomeromycota are well understood for this gene. Sequence comparisons indicate that the new primers should amplify all published AMF sequences except those from Archaeospora trappei. The specificity of the new primers was tested using 23 different AMF spore morphotypes from trap cultures and Miscanthus sinensis, Glycine max and Panax ginseng roots sampled from the field. Non-AMF DNA of 14 plants, 14 Basidiomycota and 18 Ascomycota was also tested as negative controls. Sequences amplified from roots using the new primers were compared with those obtained using the established NS31 and AM1 primer combination. The new primers have much better specificity and coverage of all known AMF groups.","DOI":"10.1111/j.1574-6941.2008.00531.x","ISSN":"1574-6941","language":"en","author":[{"family":"Lee","given":"Jaikoo"},{"family":"Lee","given":"Sangsun"},{"family":"Young","given":"J. Peter W."}],"issued":{"date-parts":[["2008",8,1]]}}},{"id":329,"uris":["http://zotero.org/users/local/d1gJDEOw/items/SPRX2EQR"],"uri":["http://zotero.org/users/local/d1gJDEOw/items/SPRX2EQR"],"itemData":{"id":329,"type":"article-journal","title":"The composition of arbuscular mycorrhizal fungal communities differs among the roots, spores and extraradical mycelia associated with five Mediterranean plant species","container-title":"Environmental Microbiology","page":"2882-2895","volume":"17","issue":"8","source":"Wiley Online Library","abstract":"Arbuscular mycorrhizal fungi (AMF) are essential constituents of most terrestrial ecosystems. AMF species differ in terms of propagation strategies and the major propagules they form. This study compared the AMF community composition of different propagule fractions – colonized roots, spores and extraradical mycelium (ERM) – associated with five Mediterranean plant species in Sierra de Baza Natural Park (Granada, Spain). AMF were identified using 454 pyrosequencing of the SSU rRNA gene. A total of 96 AMF phylogroups [virtual taxa (VT)] were detected in the study site, including 31 novel VT. After per-sample sequencing depth standardization, 71 VT were recorded from plant roots, and 47 from each of the spore and ERM fractions. AMF communities differed significantly among the propagule fractions, and the root-colonizing fraction differed among host plant species. Indicator VT were detected for the root (13 Glomus VT), spore (Paraglomus VT281, VT336, Pacispora VT284) and ERM (Diversispora VT62) fractions. This study provides detailed evidence from a natural system that AMF taxa are differentially allocated among soil mycelium, soil spores and colonized root propagules. This has important implications for interpreting AMF diversity surveys and designing applications of AMF in vegetation restoration.","DOI":"10.1111/1462-2920.12810","ISSN":"1462-2920","journalAbbreviation":"Environ Microbiol","language":"en","author":[{"family":"Varela-Cervero","given":"Sara"},{"family":"Vasar","given":"Martti"},{"family":"Davison","given":"John"},{"family":"Barea","given":"José Miguel"},{"family":"Öpik","given":"Maarja"},{"family":"Azcón-Aguilar","given":"Concepción"}],"issued":{"date-parts":[["2015",8,1]]}}},{"id":308,"uris":["http://zotero.org/users/local/d1gJDEOw/items/2UTQ3EZ3"],"uri":["http://zotero.org/users/local/d1gJDEOw/items/2UTQ3EZ3"],"itemData":{"id":308,"type":"article-journal","title":"Symbiont dynamics during ecosystem succession: co-occurring plant and arbuscular mycorrhizal fungal communities","container-title":"Fems Microbiology Ecology","page":"UNSP fiw097","volume":"92","issue":"7","source":"Web of Science","abstract":"Although mycorrhizas are expected to play a key role in community assembly during ecological succession, little is known about the dynamics of the symbiotic partners in natural systems. For instance, it is unclear how efficiently plants and arbuscular mycorrhizal (AM) fungi disperse into early successional ecosystems, and which, if either, symbiotic partner drives successional dynamics. This study describes the dynamics of plant and AM fungal communities, assesses correlation in the composition of plant and AM fungal communities and compares dispersal limitation of plants and AM fungi during succession. We studied gravel pits 20 and 50 years post abandonment and undisturbed grasslands in Western Estonia. The composition of plant and AM fungal communities was strongly correlated, and the strength of the correlation remained unchanged as succession progressed, indicating a stable dependence among mycorrhizal plants and AM fungi. A relatively high proportion of the AM fungal taxon pool was present in early successional sites, in comparison with the respective fraction of plants. These results suggest that AM fungi arrived faster than plants and may thus drive vegetation dynamics along secondary vegetation succession.","DOI":"10.1093/femsec/fiw097","ISSN":"0168-6496","note":"WOS:000379693700008","shortTitle":"Symbiont dynamics during ecosystem succession","journalAbbreviation":"FEMS Microbiol. Ecol.","language":"English","author":[{"family":"Leon","given":"David Garcia","non-dropping-particle":"de"},{"family":"Moora","given":"Mari"},{"family":"Opik","given":"Maarja"},{"family":"Neuenkamp","given":"Lena"},{"family":"Gerz","given":"Maret"},{"family":"Jairus","given":"Teele"},{"family":"Vasar","given":"Martti"},{"family":"Bueno","given":"C. Guillermo"},{"family":"Davison","given":"John"},{"family":"Zobel","given":"Martin"}],"issued":{"date-parts":[["2016",7]]}}}],"schema":"https://github.com/citation-style-language/schema/raw/master/csl-citation.json"} </w:instrText>
      </w:r>
      <w:r>
        <w:rPr>
          <w:rFonts w:cs="Times New Roman"/>
        </w:rPr>
        <w:fldChar w:fldCharType="separate"/>
      </w:r>
      <w:r w:rsidR="00954B3D" w:rsidRPr="00954B3D">
        <w:rPr>
          <w:rFonts w:cs="Times New Roman"/>
          <w:szCs w:val="24"/>
        </w:rPr>
        <w:t xml:space="preserve">(Lee </w:t>
      </w:r>
      <w:r w:rsidR="00954B3D" w:rsidRPr="00954B3D">
        <w:rPr>
          <w:rFonts w:cs="Times New Roman"/>
          <w:i/>
          <w:iCs/>
          <w:szCs w:val="24"/>
        </w:rPr>
        <w:t>et al.</w:t>
      </w:r>
      <w:r w:rsidR="00954B3D" w:rsidRPr="00954B3D">
        <w:rPr>
          <w:rFonts w:cs="Times New Roman"/>
          <w:szCs w:val="24"/>
        </w:rPr>
        <w:t>, 2008; Varela-</w:t>
      </w:r>
      <w:proofErr w:type="spellStart"/>
      <w:r w:rsidR="00954B3D" w:rsidRPr="00954B3D">
        <w:rPr>
          <w:rFonts w:cs="Times New Roman"/>
          <w:szCs w:val="24"/>
        </w:rPr>
        <w:t>Cervero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2015; de Leon </w:t>
      </w:r>
      <w:r w:rsidR="00954B3D" w:rsidRPr="00954B3D">
        <w:rPr>
          <w:rFonts w:cs="Times New Roman"/>
          <w:i/>
          <w:iCs/>
          <w:szCs w:val="24"/>
        </w:rPr>
        <w:t>et al.</w:t>
      </w:r>
      <w:r w:rsidR="00954B3D" w:rsidRPr="00954B3D">
        <w:rPr>
          <w:rFonts w:cs="Times New Roman"/>
          <w:szCs w:val="24"/>
        </w:rPr>
        <w:t>, 2016)</w:t>
      </w:r>
      <w:r>
        <w:rPr>
          <w:rFonts w:cs="Times New Roman"/>
        </w:rPr>
        <w:fldChar w:fldCharType="end"/>
      </w:r>
      <w:r>
        <w:rPr>
          <w:rFonts w:cs="Times New Roman"/>
        </w:rPr>
        <w:t xml:space="preserve">. Primers were modified to include the Illumina forward and reverse overhang adaptor nucleotide sequences respectively as follows (locus specific primer sequences are shown in bold letter font): </w:t>
      </w:r>
      <w:r w:rsidRPr="00922C07">
        <w:rPr>
          <w:rFonts w:cs="Times New Roman"/>
        </w:rPr>
        <w:t>NS31</w:t>
      </w:r>
      <w:r>
        <w:rPr>
          <w:rFonts w:cs="Times New Roman"/>
          <w:b/>
        </w:rPr>
        <w:t xml:space="preserve">; </w:t>
      </w:r>
      <w:r w:rsidRPr="002C0F62">
        <w:rPr>
          <w:rFonts w:cs="Times New Roman"/>
        </w:rPr>
        <w:t>G</w:t>
      </w:r>
      <w:r>
        <w:rPr>
          <w:rFonts w:cs="Times New Roman"/>
        </w:rPr>
        <w:t xml:space="preserve"> </w:t>
      </w:r>
      <w:r w:rsidRPr="002C0F62">
        <w:rPr>
          <w:rFonts w:cs="Times New Roman"/>
        </w:rPr>
        <w:t>TCT</w:t>
      </w:r>
      <w:r>
        <w:rPr>
          <w:rFonts w:cs="Times New Roman"/>
        </w:rPr>
        <w:t xml:space="preserve"> </w:t>
      </w:r>
      <w:r w:rsidRPr="002C0F62">
        <w:rPr>
          <w:rFonts w:cs="Times New Roman"/>
        </w:rPr>
        <w:t>CGT</w:t>
      </w:r>
      <w:r>
        <w:rPr>
          <w:rFonts w:cs="Times New Roman"/>
        </w:rPr>
        <w:t xml:space="preserve"> </w:t>
      </w:r>
      <w:r w:rsidRPr="002C0F62">
        <w:rPr>
          <w:rFonts w:cs="Times New Roman"/>
        </w:rPr>
        <w:t>GGG</w:t>
      </w:r>
      <w:r>
        <w:rPr>
          <w:rFonts w:cs="Times New Roman"/>
        </w:rPr>
        <w:t xml:space="preserve"> </w:t>
      </w:r>
      <w:r w:rsidRPr="002C0F62">
        <w:rPr>
          <w:rFonts w:cs="Times New Roman"/>
        </w:rPr>
        <w:t>CTC</w:t>
      </w:r>
      <w:r>
        <w:rPr>
          <w:rFonts w:cs="Times New Roman"/>
        </w:rPr>
        <w:t xml:space="preserve"> </w:t>
      </w:r>
      <w:r w:rsidRPr="002C0F62">
        <w:rPr>
          <w:rFonts w:cs="Times New Roman"/>
        </w:rPr>
        <w:t>GG</w:t>
      </w:r>
      <w:r>
        <w:rPr>
          <w:rFonts w:cs="Times New Roman"/>
        </w:rPr>
        <w:t xml:space="preserve"> </w:t>
      </w:r>
      <w:r w:rsidRPr="002C0F62">
        <w:rPr>
          <w:rFonts w:cs="Times New Roman"/>
        </w:rPr>
        <w:t>A</w:t>
      </w:r>
      <w:r>
        <w:rPr>
          <w:rFonts w:cs="Times New Roman"/>
        </w:rPr>
        <w:t xml:space="preserve"> </w:t>
      </w:r>
      <w:r w:rsidRPr="002C0F62">
        <w:rPr>
          <w:rFonts w:cs="Times New Roman"/>
        </w:rPr>
        <w:t>GAT</w:t>
      </w:r>
      <w:r>
        <w:rPr>
          <w:rFonts w:cs="Times New Roman"/>
        </w:rPr>
        <w:t xml:space="preserve"> </w:t>
      </w:r>
      <w:r w:rsidRPr="002C0F62">
        <w:rPr>
          <w:rFonts w:cs="Times New Roman"/>
        </w:rPr>
        <w:t>GTG</w:t>
      </w:r>
      <w:r>
        <w:rPr>
          <w:rFonts w:cs="Times New Roman"/>
        </w:rPr>
        <w:t xml:space="preserve"> </w:t>
      </w:r>
      <w:r w:rsidRPr="002C0F62">
        <w:rPr>
          <w:rFonts w:cs="Times New Roman"/>
        </w:rPr>
        <w:t>TAT</w:t>
      </w:r>
      <w:r>
        <w:rPr>
          <w:rFonts w:cs="Times New Roman"/>
        </w:rPr>
        <w:t xml:space="preserve"> </w:t>
      </w:r>
      <w:r w:rsidRPr="002C0F62">
        <w:rPr>
          <w:rFonts w:cs="Times New Roman"/>
        </w:rPr>
        <w:t>AAG</w:t>
      </w:r>
      <w:r>
        <w:rPr>
          <w:rFonts w:cs="Times New Roman"/>
        </w:rPr>
        <w:t xml:space="preserve"> </w:t>
      </w:r>
      <w:r w:rsidRPr="002C0F62">
        <w:rPr>
          <w:rFonts w:cs="Times New Roman"/>
        </w:rPr>
        <w:t>AGA</w:t>
      </w:r>
      <w:r>
        <w:rPr>
          <w:rFonts w:cs="Times New Roman"/>
        </w:rPr>
        <w:t xml:space="preserve"> </w:t>
      </w:r>
      <w:r w:rsidRPr="002C0F62">
        <w:rPr>
          <w:rFonts w:cs="Times New Roman"/>
        </w:rPr>
        <w:t>CAG</w:t>
      </w:r>
      <w:r>
        <w:rPr>
          <w:rFonts w:cs="Times New Roman"/>
        </w:rPr>
        <w:t xml:space="preserve"> </w:t>
      </w:r>
      <w:r w:rsidRPr="002C0F62">
        <w:rPr>
          <w:rFonts w:cs="Times New Roman"/>
          <w:b/>
        </w:rPr>
        <w:t>TTG</w:t>
      </w:r>
      <w:r>
        <w:rPr>
          <w:rFonts w:cs="Times New Roman"/>
          <w:b/>
        </w:rPr>
        <w:t xml:space="preserve"> </w:t>
      </w:r>
      <w:r w:rsidRPr="002C0F62">
        <w:rPr>
          <w:rFonts w:cs="Times New Roman"/>
          <w:b/>
        </w:rPr>
        <w:t>GAG</w:t>
      </w:r>
      <w:r>
        <w:rPr>
          <w:rFonts w:cs="Times New Roman"/>
          <w:b/>
        </w:rPr>
        <w:t xml:space="preserve"> </w:t>
      </w:r>
      <w:r w:rsidRPr="002C0F62">
        <w:rPr>
          <w:rFonts w:cs="Times New Roman"/>
          <w:b/>
        </w:rPr>
        <w:t>GGC</w:t>
      </w:r>
      <w:r>
        <w:rPr>
          <w:rFonts w:cs="Times New Roman"/>
          <w:b/>
        </w:rPr>
        <w:t xml:space="preserve"> </w:t>
      </w:r>
      <w:r w:rsidRPr="002C0F62">
        <w:rPr>
          <w:rFonts w:cs="Times New Roman"/>
          <w:b/>
        </w:rPr>
        <w:t>AAG</w:t>
      </w:r>
      <w:r>
        <w:rPr>
          <w:rFonts w:cs="Times New Roman"/>
          <w:b/>
        </w:rPr>
        <w:t xml:space="preserve"> </w:t>
      </w:r>
      <w:r w:rsidRPr="002C0F62">
        <w:rPr>
          <w:rFonts w:cs="Times New Roman"/>
          <w:b/>
        </w:rPr>
        <w:t>TCT</w:t>
      </w:r>
      <w:r>
        <w:rPr>
          <w:rFonts w:cs="Times New Roman"/>
          <w:b/>
        </w:rPr>
        <w:t xml:space="preserve"> </w:t>
      </w:r>
      <w:r w:rsidRPr="002C0F62">
        <w:rPr>
          <w:rFonts w:cs="Times New Roman"/>
          <w:b/>
        </w:rPr>
        <w:t>GGT</w:t>
      </w:r>
      <w:r>
        <w:rPr>
          <w:rFonts w:cs="Times New Roman"/>
          <w:b/>
        </w:rPr>
        <w:t xml:space="preserve"> </w:t>
      </w:r>
      <w:r w:rsidRPr="002C0F62">
        <w:rPr>
          <w:rFonts w:cs="Times New Roman"/>
          <w:b/>
        </w:rPr>
        <w:t>GCC</w:t>
      </w:r>
      <w:r w:rsidR="004930C5">
        <w:rPr>
          <w:rFonts w:cs="Times New Roman"/>
        </w:rPr>
        <w:t xml:space="preserve">, AML2; </w:t>
      </w:r>
      <w:r w:rsidR="004930C5" w:rsidRPr="002C0F62">
        <w:rPr>
          <w:rFonts w:cs="Times New Roman"/>
        </w:rPr>
        <w:t>TCG</w:t>
      </w:r>
      <w:r w:rsidR="004930C5">
        <w:rPr>
          <w:rFonts w:cs="Times New Roman"/>
        </w:rPr>
        <w:t xml:space="preserve"> </w:t>
      </w:r>
      <w:proofErr w:type="spellStart"/>
      <w:r w:rsidR="004930C5" w:rsidRPr="002C0F62">
        <w:rPr>
          <w:rFonts w:cs="Times New Roman"/>
        </w:rPr>
        <w:t>TCG</w:t>
      </w:r>
      <w:proofErr w:type="spellEnd"/>
      <w:r w:rsidR="004930C5">
        <w:rPr>
          <w:rFonts w:cs="Times New Roman"/>
        </w:rPr>
        <w:t xml:space="preserve"> </w:t>
      </w:r>
      <w:r w:rsidR="004930C5" w:rsidRPr="002C0F62">
        <w:rPr>
          <w:rFonts w:cs="Times New Roman"/>
        </w:rPr>
        <w:t>GCA</w:t>
      </w:r>
      <w:r w:rsidR="004930C5">
        <w:rPr>
          <w:rFonts w:cs="Times New Roman"/>
        </w:rPr>
        <w:t xml:space="preserve"> </w:t>
      </w:r>
      <w:r w:rsidR="004930C5" w:rsidRPr="002C0F62">
        <w:rPr>
          <w:rFonts w:cs="Times New Roman"/>
        </w:rPr>
        <w:t>GCG</w:t>
      </w:r>
      <w:r w:rsidR="004930C5">
        <w:rPr>
          <w:rFonts w:cs="Times New Roman"/>
        </w:rPr>
        <w:t xml:space="preserve"> </w:t>
      </w:r>
      <w:r w:rsidR="004930C5" w:rsidRPr="002C0F62">
        <w:rPr>
          <w:rFonts w:cs="Times New Roman"/>
        </w:rPr>
        <w:t>TCA</w:t>
      </w:r>
      <w:r w:rsidR="004930C5">
        <w:rPr>
          <w:rFonts w:cs="Times New Roman"/>
        </w:rPr>
        <w:t xml:space="preserve"> </w:t>
      </w:r>
      <w:r w:rsidR="004930C5" w:rsidRPr="002C0F62">
        <w:rPr>
          <w:rFonts w:cs="Times New Roman"/>
        </w:rPr>
        <w:t>GAT</w:t>
      </w:r>
      <w:r w:rsidR="004930C5">
        <w:rPr>
          <w:rFonts w:cs="Times New Roman"/>
        </w:rPr>
        <w:t xml:space="preserve"> </w:t>
      </w:r>
      <w:r w:rsidR="004930C5" w:rsidRPr="002C0F62">
        <w:rPr>
          <w:rFonts w:cs="Times New Roman"/>
        </w:rPr>
        <w:t>GTG</w:t>
      </w:r>
      <w:r w:rsidR="004930C5">
        <w:rPr>
          <w:rFonts w:cs="Times New Roman"/>
        </w:rPr>
        <w:t xml:space="preserve"> </w:t>
      </w:r>
      <w:r w:rsidR="004930C5" w:rsidRPr="002C0F62">
        <w:rPr>
          <w:rFonts w:cs="Times New Roman"/>
        </w:rPr>
        <w:t>TAT</w:t>
      </w:r>
      <w:r w:rsidR="004930C5">
        <w:rPr>
          <w:rFonts w:cs="Times New Roman"/>
        </w:rPr>
        <w:t xml:space="preserve"> </w:t>
      </w:r>
      <w:r w:rsidR="004930C5" w:rsidRPr="002C0F62">
        <w:rPr>
          <w:rFonts w:cs="Times New Roman"/>
        </w:rPr>
        <w:t>AAG</w:t>
      </w:r>
      <w:r w:rsidR="004930C5">
        <w:rPr>
          <w:rFonts w:cs="Times New Roman"/>
        </w:rPr>
        <w:t xml:space="preserve"> </w:t>
      </w:r>
      <w:r w:rsidR="004930C5" w:rsidRPr="002C0F62">
        <w:rPr>
          <w:rFonts w:cs="Times New Roman"/>
        </w:rPr>
        <w:t>AGA</w:t>
      </w:r>
      <w:r w:rsidR="004930C5">
        <w:rPr>
          <w:rFonts w:cs="Times New Roman"/>
        </w:rPr>
        <w:t xml:space="preserve"> </w:t>
      </w:r>
      <w:r w:rsidR="004930C5" w:rsidRPr="002C0F62">
        <w:rPr>
          <w:rFonts w:cs="Times New Roman"/>
        </w:rPr>
        <w:t>CAG</w:t>
      </w:r>
      <w:r w:rsidR="004930C5">
        <w:rPr>
          <w:rFonts w:cs="Times New Roman"/>
        </w:rPr>
        <w:t xml:space="preserve"> </w:t>
      </w:r>
      <w:r w:rsidR="004930C5" w:rsidRPr="002C0F62">
        <w:rPr>
          <w:rFonts w:cs="Times New Roman"/>
          <w:b/>
        </w:rPr>
        <w:t>GAA</w:t>
      </w:r>
      <w:r w:rsidR="004930C5">
        <w:rPr>
          <w:rFonts w:cs="Times New Roman"/>
          <w:b/>
        </w:rPr>
        <w:t xml:space="preserve"> </w:t>
      </w:r>
      <w:r w:rsidR="004930C5" w:rsidRPr="002C0F62">
        <w:rPr>
          <w:rFonts w:cs="Times New Roman"/>
          <w:b/>
        </w:rPr>
        <w:t>CCC</w:t>
      </w:r>
      <w:r w:rsidR="004930C5">
        <w:rPr>
          <w:rFonts w:cs="Times New Roman"/>
          <w:b/>
        </w:rPr>
        <w:t xml:space="preserve"> </w:t>
      </w:r>
      <w:r w:rsidR="004930C5" w:rsidRPr="002C0F62">
        <w:rPr>
          <w:rFonts w:cs="Times New Roman"/>
          <w:b/>
        </w:rPr>
        <w:t>AAA</w:t>
      </w:r>
      <w:r w:rsidR="004930C5">
        <w:rPr>
          <w:rFonts w:cs="Times New Roman"/>
          <w:b/>
        </w:rPr>
        <w:t xml:space="preserve"> </w:t>
      </w:r>
      <w:r w:rsidR="004930C5" w:rsidRPr="002C0F62">
        <w:rPr>
          <w:rFonts w:cs="Times New Roman"/>
          <w:b/>
        </w:rPr>
        <w:t>CAC</w:t>
      </w:r>
      <w:r w:rsidR="004930C5">
        <w:rPr>
          <w:rFonts w:cs="Times New Roman"/>
          <w:b/>
        </w:rPr>
        <w:t xml:space="preserve"> </w:t>
      </w:r>
      <w:r w:rsidR="004930C5" w:rsidRPr="002C0F62">
        <w:rPr>
          <w:rFonts w:cs="Times New Roman"/>
          <w:b/>
        </w:rPr>
        <w:t>TTT</w:t>
      </w:r>
      <w:r w:rsidR="004930C5">
        <w:rPr>
          <w:rFonts w:cs="Times New Roman"/>
          <w:b/>
        </w:rPr>
        <w:t xml:space="preserve"> </w:t>
      </w:r>
      <w:r w:rsidR="004930C5" w:rsidRPr="002C0F62">
        <w:rPr>
          <w:rFonts w:cs="Times New Roman"/>
          <w:b/>
        </w:rPr>
        <w:t>GGT</w:t>
      </w:r>
      <w:r w:rsidR="004930C5">
        <w:rPr>
          <w:rFonts w:cs="Times New Roman"/>
          <w:b/>
        </w:rPr>
        <w:t xml:space="preserve"> </w:t>
      </w:r>
      <w:r w:rsidR="004930C5" w:rsidRPr="002C0F62">
        <w:rPr>
          <w:rFonts w:cs="Times New Roman"/>
          <w:b/>
        </w:rPr>
        <w:t>TTC</w:t>
      </w:r>
      <w:r w:rsidR="004930C5">
        <w:rPr>
          <w:rFonts w:cs="Times New Roman"/>
          <w:b/>
        </w:rPr>
        <w:t xml:space="preserve"> </w:t>
      </w:r>
      <w:r w:rsidR="004930C5" w:rsidRPr="002C0F62">
        <w:rPr>
          <w:rFonts w:cs="Times New Roman"/>
          <w:b/>
        </w:rPr>
        <w:t>C</w:t>
      </w:r>
      <w:r w:rsidR="004930C5">
        <w:rPr>
          <w:rFonts w:cs="Times New Roman"/>
          <w:b/>
        </w:rPr>
        <w:t xml:space="preserve"> </w:t>
      </w:r>
      <w:r>
        <w:rPr>
          <w:rFonts w:cs="Times New Roman"/>
        </w:rPr>
        <w:t xml:space="preserve">A further consideration was that sequence identification data was readily available in the </w:t>
      </w:r>
      <w:proofErr w:type="spellStart"/>
      <w:r>
        <w:rPr>
          <w:rFonts w:cs="Times New Roman"/>
        </w:rPr>
        <w:t>MaarjAM</w:t>
      </w:r>
      <w:proofErr w:type="spellEnd"/>
      <w:r>
        <w:rPr>
          <w:rFonts w:cs="Times New Roman"/>
        </w:rPr>
        <w:t xml:space="preserve"> database </w:t>
      </w:r>
      <w:r>
        <w:rPr>
          <w:rFonts w:cs="Times New Roman"/>
        </w:rPr>
        <w:fldChar w:fldCharType="begin"/>
      </w:r>
      <w:r w:rsidR="00954B3D">
        <w:rPr>
          <w:rFonts w:cs="Times New Roman"/>
        </w:rPr>
        <w:instrText xml:space="preserve"> ADDIN ZOTERO_ITEM CSL_CITATION {"citationID":"1amd046qtb","properties":{"formattedCitation":"{\\rtf (Opik {\\i{}et al.}, 2010)}","plainCitation":"(Opik et al., 2010)"},"citationItems":[{"id":276,"uris":["http://zotero.org/users/local/d1gJDEOw/items/5UKCWER4"],"uri":["http://zotero.org/users/local/d1gJDEOw/items/5UKCWER4"],"itemData":{"id":276,"type":"article-journal","title":"The online database MaarjAM reveals global and ecosystemic distribution patterns in arbuscular mycorrhizal fungi (Glomeromycota)","container-title":"The New Phytologist","page":"223-241","volume":"188","issue":"1","source":"PubMed","abstract":"• Here, we describe a new database, MaarjAM, that summarizes publicly available Glomeromycota DNA sequence data and associated metadata. The goal of the database is to facilitate the description of distribution and richness patterns in this group of fungi. • Small subunit (SSU) rRNA gene sequences and available metadata were collated from all suitable taxonomic and ecological publications. These data have been made accessible in an open-access database (http://maarjam.botany.ut.ee). • Two hundred and eighty-two SSU rRNA gene virtual taxa (VT) were described based on a comprehensive phylogenetic analysis of all collated Glomeromycota sequences. Two-thirds of VT showed limited distribution ranges, occurring in single current or historic continents or climatic zones. Those VT that associated with a taxonomically wide range of host plants also tended to have a wide geographical distribution, and vice versa. No relationships were detected between VT richness and latitude, elevation or vascular plant richness. • The collated Glomeromycota molecular diversity data suggest limited distribution ranges in most Glomeromycota taxa and a positive relationship between the width of a taxon's geographical range and its host taxonomic range. Inconsistencies between molecular and traditional taxonomy of Glomeromycota, and shortage of data from major continents and ecosystems, are highlighted.","DOI":"10.1111/j.1469-8137.2010.03334.x","ISSN":"1469-8137","note":"PMID: 20561207","journalAbbreviation":"New Phytol.","language":"eng","author":[{"family":"Opik","given":"M."},{"family":"Vanatoa","given":"A."},{"family":"Vanatoa","given":"E."},{"family":"Moora","given":"M."},{"family":"Davison","given":"J."},{"family":"Kalwij","given":"J. M."},{"family":"Reier","given":"U."},{"family":"Zobel","given":"M."}],"issued":{"date-parts":[["2010",10]]}}}],"schema":"https://github.com/citation-style-language/schema/raw/master/csl-citation.json"} </w:instrText>
      </w:r>
      <w:r>
        <w:rPr>
          <w:rFonts w:cs="Times New Roman"/>
        </w:rPr>
        <w:fldChar w:fldCharType="separate"/>
      </w:r>
      <w:r w:rsidR="00954B3D" w:rsidRPr="00954B3D">
        <w:rPr>
          <w:rFonts w:cs="Times New Roman"/>
          <w:szCs w:val="24"/>
        </w:rPr>
        <w:t>(</w:t>
      </w:r>
      <w:proofErr w:type="spellStart"/>
      <w:r w:rsidR="00954B3D" w:rsidRPr="00954B3D">
        <w:rPr>
          <w:rFonts w:cs="Times New Roman"/>
          <w:szCs w:val="24"/>
        </w:rPr>
        <w:t>Opik</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2010)</w:t>
      </w:r>
      <w:r>
        <w:rPr>
          <w:rFonts w:cs="Times New Roman"/>
        </w:rPr>
        <w:fldChar w:fldCharType="end"/>
      </w:r>
      <w:r>
        <w:rPr>
          <w:rFonts w:cs="Times New Roman"/>
        </w:rPr>
        <w:t xml:space="preserve">. The </w:t>
      </w:r>
      <w:proofErr w:type="spellStart"/>
      <w:r>
        <w:rPr>
          <w:rFonts w:cs="Times New Roman"/>
        </w:rPr>
        <w:t>MaarjAM</w:t>
      </w:r>
      <w:proofErr w:type="spellEnd"/>
      <w:r>
        <w:rPr>
          <w:rFonts w:cs="Times New Roman"/>
        </w:rPr>
        <w:t xml:space="preserve"> database is an extensive open access curated database of identified reference AMF sequences which includes sequence data for the Glomeromycota from both taxonomic and ecological studies which have been published in a scientific journal and submitted to a public sequence database (</w:t>
      </w:r>
      <w:proofErr w:type="spellStart"/>
      <w:r>
        <w:rPr>
          <w:rFonts w:cs="Times New Roman"/>
        </w:rPr>
        <w:t>GenBank</w:t>
      </w:r>
      <w:proofErr w:type="spellEnd"/>
      <w:r>
        <w:rPr>
          <w:rFonts w:cs="Times New Roman"/>
        </w:rPr>
        <w:t>, DDBJ/EMBL).</w:t>
      </w:r>
    </w:p>
    <w:p w:rsidR="00B46350" w:rsidRDefault="00B46350" w:rsidP="00B46350">
      <w:pPr>
        <w:pStyle w:val="Heading4"/>
        <w:numPr>
          <w:ilvl w:val="3"/>
          <w:numId w:val="1"/>
        </w:numPr>
      </w:pPr>
      <w:r>
        <w:lastRenderedPageBreak/>
        <w:t>Amplicon sequencing</w:t>
      </w:r>
    </w:p>
    <w:p w:rsidR="00B46350" w:rsidRDefault="00B46350" w:rsidP="00B46350">
      <w:pPr>
        <w:rPr>
          <w:rFonts w:cs="Times New Roman"/>
        </w:rPr>
      </w:pPr>
      <w:r>
        <w:rPr>
          <w:rFonts w:cs="Times New Roman"/>
        </w:rPr>
        <w:t xml:space="preserve">Amplification of AMF SSU </w:t>
      </w:r>
      <w:proofErr w:type="spellStart"/>
      <w:r>
        <w:rPr>
          <w:rFonts w:cs="Times New Roman"/>
        </w:rPr>
        <w:t>rRNA</w:t>
      </w:r>
      <w:proofErr w:type="spellEnd"/>
      <w:r>
        <w:rPr>
          <w:rFonts w:cs="Times New Roman"/>
        </w:rPr>
        <w:t xml:space="preserve"> gene sequences was performed using a 20µl PCR reaction </w:t>
      </w:r>
      <w:r w:rsidRPr="00EA292E">
        <w:rPr>
          <w:rFonts w:cs="Times New Roman"/>
        </w:rPr>
        <w:t xml:space="preserve">containing </w:t>
      </w:r>
      <w:r>
        <w:rPr>
          <w:rFonts w:cs="Times New Roman"/>
        </w:rPr>
        <w:t>0.4</w:t>
      </w:r>
      <w:r w:rsidRPr="005B45D0">
        <w:rPr>
          <w:rFonts w:cs="Times New Roman"/>
        </w:rPr>
        <w:t xml:space="preserve"> </w:t>
      </w:r>
      <w:r>
        <w:rPr>
          <w:rFonts w:cs="Times New Roman"/>
        </w:rPr>
        <w:t>(1U/</w:t>
      </w:r>
      <w:proofErr w:type="spellStart"/>
      <w:r>
        <w:rPr>
          <w:rFonts w:cs="Times New Roman"/>
        </w:rPr>
        <w:t>ul</w:t>
      </w:r>
      <w:proofErr w:type="spellEnd"/>
      <w:r>
        <w:rPr>
          <w:rFonts w:cs="Times New Roman"/>
        </w:rPr>
        <w:t xml:space="preserve">) KAPA </w:t>
      </w:r>
      <w:proofErr w:type="spellStart"/>
      <w:r>
        <w:rPr>
          <w:rFonts w:cs="Times New Roman"/>
        </w:rPr>
        <w:t>HiFi</w:t>
      </w:r>
      <w:proofErr w:type="spellEnd"/>
      <w:r>
        <w:rPr>
          <w:rFonts w:cs="Times New Roman"/>
        </w:rPr>
        <w:t xml:space="preserve"> </w:t>
      </w:r>
      <w:proofErr w:type="spellStart"/>
      <w:r>
        <w:rPr>
          <w:rFonts w:cs="Times New Roman"/>
        </w:rPr>
        <w:t>HotStart</w:t>
      </w:r>
      <w:proofErr w:type="spellEnd"/>
      <w:r>
        <w:rPr>
          <w:rFonts w:cs="Times New Roman"/>
        </w:rPr>
        <w:t xml:space="preserve"> DNA Polymerase (Illumina Inc., USA), </w:t>
      </w:r>
      <w:r w:rsidRPr="00EA292E">
        <w:rPr>
          <w:rFonts w:cs="Times New Roman"/>
        </w:rPr>
        <w:t xml:space="preserve">4µl of 5xKAPA </w:t>
      </w:r>
      <w:proofErr w:type="spellStart"/>
      <w:r w:rsidRPr="00EA292E">
        <w:rPr>
          <w:rFonts w:cs="Times New Roman"/>
        </w:rPr>
        <w:t>HiFi</w:t>
      </w:r>
      <w:proofErr w:type="spellEnd"/>
      <w:r w:rsidRPr="00EA292E">
        <w:rPr>
          <w:rFonts w:cs="Times New Roman"/>
        </w:rPr>
        <w:t xml:space="preserve"> Fidelity Buffer, 0.4 µl 25mM MgCl</w:t>
      </w:r>
      <w:r w:rsidRPr="00EA292E">
        <w:rPr>
          <w:rFonts w:cs="Times New Roman"/>
          <w:vertAlign w:val="subscript"/>
        </w:rPr>
        <w:t>2</w:t>
      </w:r>
      <w:r w:rsidRPr="00EA292E">
        <w:rPr>
          <w:rFonts w:cs="Times New Roman"/>
        </w:rPr>
        <w:t>, 0.6 µl</w:t>
      </w:r>
      <w:r>
        <w:rPr>
          <w:rFonts w:cs="Times New Roman"/>
        </w:rPr>
        <w:t xml:space="preserve"> 10mM KAPA dNTP Mix (</w:t>
      </w:r>
      <w:proofErr w:type="spellStart"/>
      <w:r>
        <w:rPr>
          <w:rFonts w:cs="Times New Roman"/>
        </w:rPr>
        <w:t>dATP</w:t>
      </w:r>
      <w:proofErr w:type="spellEnd"/>
      <w:r>
        <w:rPr>
          <w:rFonts w:cs="Times New Roman"/>
        </w:rPr>
        <w:t xml:space="preserve">, </w:t>
      </w:r>
      <w:proofErr w:type="spellStart"/>
      <w:r>
        <w:rPr>
          <w:rFonts w:cs="Times New Roman"/>
        </w:rPr>
        <w:t>dCTP</w:t>
      </w:r>
      <w:proofErr w:type="spellEnd"/>
      <w:r>
        <w:rPr>
          <w:rFonts w:cs="Times New Roman"/>
        </w:rPr>
        <w:t xml:space="preserve">, </w:t>
      </w:r>
      <w:proofErr w:type="spellStart"/>
      <w:r>
        <w:rPr>
          <w:rFonts w:cs="Times New Roman"/>
        </w:rPr>
        <w:t>dGTP</w:t>
      </w:r>
      <w:proofErr w:type="spellEnd"/>
      <w:r>
        <w:rPr>
          <w:rFonts w:cs="Times New Roman"/>
        </w:rPr>
        <w:t xml:space="preserve"> and </w:t>
      </w:r>
      <w:proofErr w:type="spellStart"/>
      <w:r>
        <w:rPr>
          <w:rFonts w:cs="Times New Roman"/>
        </w:rPr>
        <w:t>dTTP</w:t>
      </w:r>
      <w:proofErr w:type="spellEnd"/>
      <w:r>
        <w:rPr>
          <w:rFonts w:cs="Times New Roman"/>
        </w:rPr>
        <w:t>), 0.4</w:t>
      </w:r>
      <w:r w:rsidRPr="005B45D0">
        <w:rPr>
          <w:rFonts w:cs="Times New Roman"/>
        </w:rPr>
        <w:t xml:space="preserve"> </w:t>
      </w:r>
      <w:r>
        <w:rPr>
          <w:rFonts w:cs="Times New Roman"/>
        </w:rPr>
        <w:t>µl of 10mM NS31 primer, 0.4</w:t>
      </w:r>
      <w:r w:rsidRPr="005B45D0">
        <w:rPr>
          <w:rFonts w:cs="Times New Roman"/>
        </w:rPr>
        <w:t xml:space="preserve"> </w:t>
      </w:r>
      <w:r>
        <w:rPr>
          <w:rFonts w:cs="Times New Roman"/>
        </w:rPr>
        <w:t>µl 10mM AML2 primer, 2.0</w:t>
      </w:r>
      <w:r w:rsidRPr="005B45D0">
        <w:rPr>
          <w:rFonts w:cs="Times New Roman"/>
        </w:rPr>
        <w:t xml:space="preserve"> </w:t>
      </w:r>
      <w:r>
        <w:rPr>
          <w:rFonts w:cs="Times New Roman"/>
        </w:rPr>
        <w:t>µl 5 ng/</w:t>
      </w:r>
      <w:r w:rsidRPr="005B45D0">
        <w:rPr>
          <w:rFonts w:cs="Times New Roman"/>
        </w:rPr>
        <w:t xml:space="preserve"> </w:t>
      </w:r>
      <w:r>
        <w:rPr>
          <w:rFonts w:cs="Times New Roman"/>
        </w:rPr>
        <w:t>µl of DNA extract and 11.8</w:t>
      </w:r>
      <w:r w:rsidRPr="005B45D0">
        <w:rPr>
          <w:rFonts w:cs="Times New Roman"/>
        </w:rPr>
        <w:t xml:space="preserve"> </w:t>
      </w:r>
      <w:r>
        <w:rPr>
          <w:rFonts w:cs="Times New Roman"/>
        </w:rPr>
        <w:t>µl H</w:t>
      </w:r>
      <w:r w:rsidRPr="005B45D0">
        <w:rPr>
          <w:rFonts w:cs="Times New Roman"/>
          <w:vertAlign w:val="subscript"/>
        </w:rPr>
        <w:t>2</w:t>
      </w:r>
      <w:r>
        <w:rPr>
          <w:rFonts w:cs="Times New Roman"/>
        </w:rPr>
        <w:t xml:space="preserve">0.  The following PCR program was run on a </w:t>
      </w:r>
      <w:r>
        <w:t>on a Life-ECO thermal cycler (</w:t>
      </w:r>
      <w:proofErr w:type="spellStart"/>
      <w:r>
        <w:t>Bioer</w:t>
      </w:r>
      <w:proofErr w:type="spellEnd"/>
      <w:r>
        <w:t xml:space="preserve"> Technology Co., China)</w:t>
      </w:r>
      <w:r>
        <w:rPr>
          <w:rFonts w:cs="Times New Roman"/>
        </w:rPr>
        <w:t>: 95°C for 3 min, 25 cycles of: 95°C for 30 s, 58°C for 30 s and 72°C for 30 s followed by  72°C for 5 mins. Three separate PCRs were performed for each sample to reduce the effects of stochastic amplification bias in the final product and a negative control sample containing nuclease-free water instead of DNA was run alongside each set of samples during PCR. Success of amplification was then verified using gel electrophoresis with 4µl of PCR product and 1.5% agarose</w:t>
      </w:r>
      <w:r w:rsidRPr="0029702E">
        <w:rPr>
          <w:rFonts w:cs="Times New Roman"/>
        </w:rPr>
        <w:t>.</w:t>
      </w:r>
      <w:r>
        <w:rPr>
          <w:rFonts w:cs="Times New Roman"/>
        </w:rPr>
        <w:t xml:space="preserve"> </w:t>
      </w:r>
    </w:p>
    <w:p w:rsidR="00B46350" w:rsidRDefault="00B46350" w:rsidP="00B46350">
      <w:pPr>
        <w:pStyle w:val="Heading4"/>
        <w:numPr>
          <w:ilvl w:val="3"/>
          <w:numId w:val="1"/>
        </w:numPr>
      </w:pPr>
      <w:bookmarkStart w:id="277" w:name="_Ref465154177"/>
      <w:r>
        <w:t>PCR purification</w:t>
      </w:r>
      <w:bookmarkEnd w:id="277"/>
      <w:r>
        <w:t xml:space="preserve"> </w:t>
      </w:r>
    </w:p>
    <w:p w:rsidR="00B46350" w:rsidRPr="00A851CC" w:rsidRDefault="00B46350" w:rsidP="00B46350">
      <w:pPr>
        <w:rPr>
          <w:rFonts w:cs="Times New Roman"/>
          <w:u w:val="single"/>
        </w:rPr>
      </w:pPr>
      <w:r>
        <w:rPr>
          <w:rFonts w:cs="Times New Roman"/>
        </w:rPr>
        <w:t xml:space="preserve">Amplicon PCR products were then cleaned using </w:t>
      </w:r>
      <w:proofErr w:type="spellStart"/>
      <w:r>
        <w:rPr>
          <w:rFonts w:cs="Times New Roman"/>
        </w:rPr>
        <w:t>AMPure</w:t>
      </w:r>
      <w:proofErr w:type="spellEnd"/>
      <w:r>
        <w:rPr>
          <w:rFonts w:cs="Times New Roman"/>
        </w:rPr>
        <w:t xml:space="preserve"> XP bead purification (Beckman Coulter Inc., USA). For purification, the three replicate amplicon PCR products per sample were pooled to produce one 25 µl sample which was transferred to a 96-well reaction plate. 20 µl of mixed </w:t>
      </w:r>
      <w:proofErr w:type="spellStart"/>
      <w:r>
        <w:rPr>
          <w:rFonts w:cs="Times New Roman"/>
        </w:rPr>
        <w:t>AMPure</w:t>
      </w:r>
      <w:proofErr w:type="spellEnd"/>
      <w:r>
        <w:rPr>
          <w:rFonts w:cs="Times New Roman"/>
        </w:rPr>
        <w:t xml:space="preserve"> XP beads were added per reaction before 5 minutes of incubation at room temperature before the reaction plate was placed on a </w:t>
      </w:r>
      <w:proofErr w:type="spellStart"/>
      <w:r>
        <w:rPr>
          <w:rFonts w:cs="Times New Roman"/>
        </w:rPr>
        <w:t>Agencourt</w:t>
      </w:r>
      <w:proofErr w:type="spellEnd"/>
      <w:r>
        <w:rPr>
          <w:rFonts w:cs="Times New Roman"/>
        </w:rPr>
        <w:t xml:space="preserve"> SPRI Super Magnet Plate (Beckman Coulter Inc., USA) and incubated for a further 2 minutes. The supernatant was then carefully pipetted off each sample and the beads were washed twice by two cycles of addition of 200 µl of freshly prepared 80% (v/v) ethanol solution per sample and incubation for 20 seconds before removing excess ethanol. Beads were then air dried for 10 minutes at room temperature before being removed from the magnetic stand and re-suspended in 27.5 µl 10mM </w:t>
      </w:r>
      <w:proofErr w:type="spellStart"/>
      <w:r>
        <w:rPr>
          <w:rFonts w:cs="Times New Roman"/>
        </w:rPr>
        <w:t>Tris</w:t>
      </w:r>
      <w:proofErr w:type="spellEnd"/>
      <w:r>
        <w:rPr>
          <w:rFonts w:cs="Times New Roman"/>
        </w:rPr>
        <w:t xml:space="preserve"> pH 8.5 buffer and incubated at room temperature for 2 minutes. The plate was then placed back on the magnetic stand for a further 2 minutes. 25 µl of the clear supernatant was then pipetted off each sample and into a fresh 96-well reaction plate and stored at -20°C.</w:t>
      </w:r>
    </w:p>
    <w:p w:rsidR="00B46350" w:rsidRDefault="00B46350" w:rsidP="00B46350">
      <w:pPr>
        <w:pStyle w:val="Heading4"/>
        <w:numPr>
          <w:ilvl w:val="3"/>
          <w:numId w:val="1"/>
        </w:numPr>
      </w:pPr>
      <w:r>
        <w:t>Index PCR</w:t>
      </w:r>
    </w:p>
    <w:p w:rsidR="00B46350" w:rsidRDefault="00B46350" w:rsidP="00B46350">
      <w:pPr>
        <w:rPr>
          <w:rFonts w:cs="Times New Roman"/>
        </w:rPr>
      </w:pPr>
      <w:r>
        <w:rPr>
          <w:rFonts w:cs="Times New Roman"/>
        </w:rPr>
        <w:t xml:space="preserve">Amplicons were then indexed/barcoded using an index PCR using </w:t>
      </w:r>
      <w:proofErr w:type="spellStart"/>
      <w:r>
        <w:rPr>
          <w:rFonts w:cs="Times New Roman"/>
        </w:rPr>
        <w:t>Nextera</w:t>
      </w:r>
      <w:proofErr w:type="spellEnd"/>
      <w:r>
        <w:rPr>
          <w:rFonts w:cs="Times New Roman"/>
        </w:rPr>
        <w:t xml:space="preserve"> XT primers (Illumina Inc., USA) which added unique 8-base pair barcodes to the ends of the PCR products. 12 index primer 1 types and 8 index primer 2 types were used in combination such that all samples had a unique combination of indexes thus enabling all of the sequences from the 95 individual samples used in this research to be identified following pooling. </w:t>
      </w:r>
    </w:p>
    <w:p w:rsidR="00B46350" w:rsidRDefault="00B46350" w:rsidP="00B46350">
      <w:pPr>
        <w:rPr>
          <w:rFonts w:cs="Times New Roman"/>
        </w:rPr>
      </w:pPr>
      <w:r>
        <w:rPr>
          <w:rFonts w:cs="Times New Roman"/>
        </w:rPr>
        <w:t xml:space="preserve">The index PCR was carried out in a 50 µl reaction volume using the following reagents: 10 µl 5x KAPA </w:t>
      </w:r>
      <w:proofErr w:type="spellStart"/>
      <w:r>
        <w:rPr>
          <w:rFonts w:cs="Times New Roman"/>
        </w:rPr>
        <w:t>HiFi</w:t>
      </w:r>
      <w:proofErr w:type="spellEnd"/>
      <w:r>
        <w:rPr>
          <w:rFonts w:cs="Times New Roman"/>
        </w:rPr>
        <w:t xml:space="preserve"> Buffer, 1.0</w:t>
      </w:r>
      <w:r w:rsidRPr="007370D0">
        <w:rPr>
          <w:rFonts w:cs="Times New Roman"/>
        </w:rPr>
        <w:t xml:space="preserve"> </w:t>
      </w:r>
      <w:r>
        <w:rPr>
          <w:rFonts w:cs="Times New Roman"/>
        </w:rPr>
        <w:t>µl 25mM MgCl</w:t>
      </w:r>
      <w:r w:rsidRPr="007370D0">
        <w:rPr>
          <w:rFonts w:cs="Times New Roman"/>
          <w:vertAlign w:val="subscript"/>
        </w:rPr>
        <w:t>2</w:t>
      </w:r>
      <w:r>
        <w:rPr>
          <w:rFonts w:cs="Times New Roman"/>
          <w:vertAlign w:val="subscript"/>
        </w:rPr>
        <w:t xml:space="preserve">, </w:t>
      </w:r>
      <w:r>
        <w:rPr>
          <w:rFonts w:cs="Times New Roman"/>
        </w:rPr>
        <w:t>10mM of each dNTP (</w:t>
      </w:r>
      <w:proofErr w:type="spellStart"/>
      <w:r>
        <w:rPr>
          <w:rFonts w:cs="Times New Roman"/>
        </w:rPr>
        <w:t>dTTP</w:t>
      </w:r>
      <w:proofErr w:type="spellEnd"/>
      <w:r>
        <w:rPr>
          <w:rFonts w:cs="Times New Roman"/>
        </w:rPr>
        <w:t xml:space="preserve">, </w:t>
      </w:r>
      <w:proofErr w:type="spellStart"/>
      <w:r>
        <w:rPr>
          <w:rFonts w:cs="Times New Roman"/>
        </w:rPr>
        <w:t>dGTP</w:t>
      </w:r>
      <w:proofErr w:type="spellEnd"/>
      <w:r>
        <w:rPr>
          <w:rFonts w:cs="Times New Roman"/>
        </w:rPr>
        <w:t xml:space="preserve">, </w:t>
      </w:r>
      <w:proofErr w:type="spellStart"/>
      <w:r>
        <w:rPr>
          <w:rFonts w:cs="Times New Roman"/>
        </w:rPr>
        <w:t>dCTP</w:t>
      </w:r>
      <w:proofErr w:type="spellEnd"/>
      <w:r>
        <w:rPr>
          <w:rFonts w:cs="Times New Roman"/>
        </w:rPr>
        <w:t xml:space="preserve"> and </w:t>
      </w:r>
      <w:proofErr w:type="spellStart"/>
      <w:r>
        <w:rPr>
          <w:rFonts w:cs="Times New Roman"/>
        </w:rPr>
        <w:t>dATP</w:t>
      </w:r>
      <w:proofErr w:type="spellEnd"/>
      <w:r>
        <w:rPr>
          <w:rFonts w:cs="Times New Roman"/>
        </w:rPr>
        <w:t xml:space="preserve">) supplied within a KAPA dNTP mix, 5 µl </w:t>
      </w:r>
      <w:proofErr w:type="spellStart"/>
      <w:r>
        <w:rPr>
          <w:rFonts w:cs="Times New Roman"/>
        </w:rPr>
        <w:t>Nextera</w:t>
      </w:r>
      <w:proofErr w:type="spellEnd"/>
      <w:r>
        <w:rPr>
          <w:rFonts w:cs="Times New Roman"/>
        </w:rPr>
        <w:t xml:space="preserve"> XT Index primer 1 5</w:t>
      </w:r>
      <w:r w:rsidRPr="007370D0">
        <w:rPr>
          <w:rFonts w:cs="Times New Roman"/>
        </w:rPr>
        <w:t xml:space="preserve"> </w:t>
      </w:r>
      <w:r>
        <w:rPr>
          <w:rFonts w:cs="Times New Roman"/>
        </w:rPr>
        <w:t xml:space="preserve">µl </w:t>
      </w:r>
      <w:proofErr w:type="spellStart"/>
      <w:r>
        <w:rPr>
          <w:rFonts w:cs="Times New Roman"/>
        </w:rPr>
        <w:t>Nextera</w:t>
      </w:r>
      <w:proofErr w:type="spellEnd"/>
      <w:r>
        <w:rPr>
          <w:rFonts w:cs="Times New Roman"/>
        </w:rPr>
        <w:t xml:space="preserve"> XT Index Primer 2 1</w:t>
      </w:r>
      <w:r w:rsidRPr="006A2A06">
        <w:rPr>
          <w:rFonts w:cs="Times New Roman"/>
        </w:rPr>
        <w:t xml:space="preserve"> </w:t>
      </w:r>
      <w:r>
        <w:rPr>
          <w:rFonts w:cs="Times New Roman"/>
        </w:rPr>
        <w:t xml:space="preserve">µl KAPA </w:t>
      </w:r>
      <w:proofErr w:type="spellStart"/>
      <w:r>
        <w:rPr>
          <w:rFonts w:cs="Times New Roman"/>
        </w:rPr>
        <w:t>HiFi</w:t>
      </w:r>
      <w:proofErr w:type="spellEnd"/>
      <w:r>
        <w:rPr>
          <w:rFonts w:cs="Times New Roman"/>
        </w:rPr>
        <w:t xml:space="preserve"> </w:t>
      </w:r>
      <w:proofErr w:type="spellStart"/>
      <w:r>
        <w:rPr>
          <w:rFonts w:cs="Times New Roman"/>
        </w:rPr>
        <w:t>Hotstart</w:t>
      </w:r>
      <w:proofErr w:type="spellEnd"/>
      <w:r>
        <w:rPr>
          <w:rFonts w:cs="Times New Roman"/>
        </w:rPr>
        <w:t xml:space="preserve"> DNA polymerase (1U/</w:t>
      </w:r>
      <w:r w:rsidRPr="006A2A06">
        <w:rPr>
          <w:rFonts w:cs="Times New Roman"/>
        </w:rPr>
        <w:t xml:space="preserve"> </w:t>
      </w:r>
      <w:r>
        <w:rPr>
          <w:rFonts w:cs="Times New Roman"/>
        </w:rPr>
        <w:t xml:space="preserve">µl) and 5 µl purified amplicon PCR product. A negative control containing nuclease free water was run alongside each PCR sample </w:t>
      </w:r>
      <w:r>
        <w:rPr>
          <w:rFonts w:cs="Times New Roman"/>
        </w:rPr>
        <w:lastRenderedPageBreak/>
        <w:t xml:space="preserve">set. The PCR was run on an </w:t>
      </w:r>
      <w:r>
        <w:t>on a Life-ECO thermal cycler (</w:t>
      </w:r>
      <w:proofErr w:type="spellStart"/>
      <w:r>
        <w:t>Bioer</w:t>
      </w:r>
      <w:proofErr w:type="spellEnd"/>
      <w:r>
        <w:t xml:space="preserve"> Technology Co., China) </w:t>
      </w:r>
      <w:r>
        <w:rPr>
          <w:rFonts w:cs="Times New Roman"/>
        </w:rPr>
        <w:t xml:space="preserve">under the following conditions: 95°C for 3 min, 8 cycles of: 95°C for 30 s, 55°C for 30 s and 72°C for 30 s  and finally 72°C for 5 mins.  was PCR products were visualised using gel electrophoresis with 4µl of PCR product and 1.5% agarose before cleaning of the amplicon PCR product using </w:t>
      </w:r>
      <w:proofErr w:type="spellStart"/>
      <w:r>
        <w:rPr>
          <w:rFonts w:cs="Times New Roman"/>
        </w:rPr>
        <w:t>AMPure</w:t>
      </w:r>
      <w:proofErr w:type="spellEnd"/>
      <w:r>
        <w:rPr>
          <w:rFonts w:cs="Times New Roman"/>
        </w:rPr>
        <w:t xml:space="preserve"> XP bead purification (as detailed in </w:t>
      </w:r>
      <w:r>
        <w:rPr>
          <w:rFonts w:cs="Times New Roman"/>
        </w:rPr>
        <w:fldChar w:fldCharType="begin"/>
      </w:r>
      <w:r>
        <w:rPr>
          <w:rFonts w:cs="Times New Roman"/>
        </w:rPr>
        <w:instrText xml:space="preserve"> REF _Ref465154177 \r \h </w:instrText>
      </w:r>
      <w:r>
        <w:rPr>
          <w:rFonts w:cs="Times New Roman"/>
        </w:rPr>
      </w:r>
      <w:r>
        <w:rPr>
          <w:rFonts w:cs="Times New Roman"/>
        </w:rPr>
        <w:fldChar w:fldCharType="separate"/>
      </w:r>
      <w:r w:rsidR="00E0714D">
        <w:rPr>
          <w:rFonts w:cs="Times New Roman"/>
        </w:rPr>
        <w:t>3.3.7.4</w:t>
      </w:r>
      <w:r>
        <w:rPr>
          <w:rFonts w:cs="Times New Roman"/>
        </w:rPr>
        <w:fldChar w:fldCharType="end"/>
      </w:r>
      <w:r>
        <w:rPr>
          <w:rFonts w:cs="Times New Roman"/>
        </w:rPr>
        <w:t xml:space="preserve"> with the exception that 45µl of PCR products was cleaned with 56µl of beads and was re</w:t>
      </w:r>
      <w:r w:rsidR="00EF1152">
        <w:rPr>
          <w:rFonts w:cs="Times New Roman"/>
        </w:rPr>
        <w:t>-suspended in 27.5µl of buffer).</w:t>
      </w:r>
    </w:p>
    <w:p w:rsidR="00B46350" w:rsidRDefault="00B46350" w:rsidP="00B46350">
      <w:pPr>
        <w:pStyle w:val="Heading4"/>
        <w:numPr>
          <w:ilvl w:val="3"/>
          <w:numId w:val="1"/>
        </w:numPr>
      </w:pPr>
      <w:r>
        <w:t>DNA quantification</w:t>
      </w:r>
    </w:p>
    <w:p w:rsidR="00B46350" w:rsidRDefault="00B46350" w:rsidP="00B46350">
      <w:pPr>
        <w:rPr>
          <w:rFonts w:cs="Times New Roman"/>
        </w:rPr>
      </w:pPr>
      <w:r>
        <w:rPr>
          <w:rFonts w:cs="Times New Roman"/>
        </w:rPr>
        <w:t>Index PCR amplicon DNA concentrations were then quantified using Quant-</w:t>
      </w:r>
      <w:proofErr w:type="spellStart"/>
      <w:r>
        <w:rPr>
          <w:rFonts w:cs="Times New Roman"/>
        </w:rPr>
        <w:t>iT</w:t>
      </w:r>
      <w:r w:rsidRPr="00DF61A9">
        <w:rPr>
          <w:rFonts w:cs="Times New Roman"/>
          <w:vertAlign w:val="superscript"/>
        </w:rPr>
        <w:t>TM</w:t>
      </w:r>
      <w:proofErr w:type="spellEnd"/>
      <w:r>
        <w:rPr>
          <w:rFonts w:cs="Times New Roman"/>
        </w:rPr>
        <w:t xml:space="preserve"> </w:t>
      </w:r>
      <w:proofErr w:type="spellStart"/>
      <w:r>
        <w:rPr>
          <w:rFonts w:cs="Times New Roman"/>
        </w:rPr>
        <w:t>PicoGreen</w:t>
      </w:r>
      <w:proofErr w:type="spellEnd"/>
      <w:r w:rsidRPr="00DF61A9">
        <w:rPr>
          <w:rFonts w:cs="Times New Roman"/>
          <w:vertAlign w:val="superscript"/>
        </w:rPr>
        <w:t>®</w:t>
      </w:r>
      <w:r>
        <w:rPr>
          <w:rFonts w:cs="Times New Roman"/>
        </w:rPr>
        <w:t xml:space="preserve"> dsDNA (Molecular Probes, Inc., Eugene OR USA). First TE Buffer (pH 7.5, 1mM EDTA, 10mM </w:t>
      </w:r>
      <w:proofErr w:type="spellStart"/>
      <w:r>
        <w:rPr>
          <w:rFonts w:cs="Times New Roman"/>
        </w:rPr>
        <w:t>Tris</w:t>
      </w:r>
      <w:proofErr w:type="spellEnd"/>
      <w:r>
        <w:rPr>
          <w:rFonts w:cs="Times New Roman"/>
        </w:rPr>
        <w:t>-HCL) was filtered through a 0.2 µm cellulose acetate syringe filter (</w:t>
      </w:r>
      <w:proofErr w:type="spellStart"/>
      <w:r>
        <w:rPr>
          <w:rFonts w:cs="Times New Roman"/>
        </w:rPr>
        <w:t>Nalge</w:t>
      </w:r>
      <w:proofErr w:type="spellEnd"/>
      <w:r>
        <w:rPr>
          <w:rFonts w:cs="Times New Roman"/>
        </w:rPr>
        <w:t xml:space="preserve"> Nunc International, Rochester, NY, USA) to remove any particles which may interfere DNA detection by the spectrofluorometer. A working solution of </w:t>
      </w:r>
      <w:proofErr w:type="spellStart"/>
      <w:r>
        <w:rPr>
          <w:rFonts w:cs="Times New Roman"/>
        </w:rPr>
        <w:t>PicoGreen</w:t>
      </w:r>
      <w:proofErr w:type="spellEnd"/>
      <w:r>
        <w:rPr>
          <w:rFonts w:cs="Times New Roman"/>
        </w:rPr>
        <w:t xml:space="preserve"> was then prepared by 200-fold dilution of </w:t>
      </w:r>
      <w:proofErr w:type="spellStart"/>
      <w:r>
        <w:rPr>
          <w:rFonts w:cs="Times New Roman"/>
        </w:rPr>
        <w:t>PicoGreen</w:t>
      </w:r>
      <w:proofErr w:type="spellEnd"/>
      <w:r>
        <w:rPr>
          <w:rFonts w:cs="Times New Roman"/>
        </w:rPr>
        <w:t xml:space="preserve"> in TE Buffer. 2 µl of DNA extract or herring sperm DNA standard (0 to 400 ng µl</w:t>
      </w:r>
      <w:r w:rsidRPr="0029046D">
        <w:rPr>
          <w:rFonts w:cs="Times New Roman"/>
          <w:vertAlign w:val="superscript"/>
        </w:rPr>
        <w:t>-1</w:t>
      </w:r>
      <w:r>
        <w:rPr>
          <w:rFonts w:cs="Times New Roman"/>
        </w:rPr>
        <w:t>), 100</w:t>
      </w:r>
      <w:r w:rsidRPr="0029046D">
        <w:rPr>
          <w:rFonts w:cs="Times New Roman"/>
        </w:rPr>
        <w:t xml:space="preserve"> </w:t>
      </w:r>
      <w:r>
        <w:rPr>
          <w:rFonts w:cs="Times New Roman"/>
        </w:rPr>
        <w:t xml:space="preserve">µl of </w:t>
      </w:r>
      <w:proofErr w:type="spellStart"/>
      <w:r>
        <w:rPr>
          <w:rFonts w:cs="Times New Roman"/>
        </w:rPr>
        <w:t>PicoGreen</w:t>
      </w:r>
      <w:proofErr w:type="spellEnd"/>
      <w:r>
        <w:rPr>
          <w:rFonts w:cs="Times New Roman"/>
        </w:rPr>
        <w:t xml:space="preserve"> solution and 98</w:t>
      </w:r>
      <w:r w:rsidRPr="0029046D">
        <w:rPr>
          <w:rFonts w:cs="Times New Roman"/>
        </w:rPr>
        <w:t xml:space="preserve"> </w:t>
      </w:r>
      <w:r>
        <w:rPr>
          <w:rFonts w:cs="Times New Roman"/>
        </w:rPr>
        <w:t xml:space="preserve">µl of TE buffer were pipetted into each well of a 96 well black microplate (BMG LABTECH, Ltd, UK). Plates were incubated for 5 mins in the dark at 20°C before sample DNA concentration was measured using a </w:t>
      </w:r>
      <w:proofErr w:type="spellStart"/>
      <w:r>
        <w:rPr>
          <w:rFonts w:cs="Times New Roman"/>
        </w:rPr>
        <w:t>FluoStar</w:t>
      </w:r>
      <w:proofErr w:type="spellEnd"/>
      <w:r>
        <w:rPr>
          <w:rFonts w:cs="Times New Roman"/>
        </w:rPr>
        <w:t xml:space="preserve"> Optima spectrofluorometer (BMG LABTECH, Ltd, UK) set at 485nm excitation and 545nm fluorescence emission. Sample DNA concentrations were then calculated using the fluorescence emission </w:t>
      </w:r>
      <w:r w:rsidR="00EF1152">
        <w:rPr>
          <w:rFonts w:cs="Times New Roman"/>
        </w:rPr>
        <w:t>measured for the DNA standards.</w:t>
      </w:r>
    </w:p>
    <w:p w:rsidR="00B46350" w:rsidRDefault="00B46350" w:rsidP="00B46350">
      <w:pPr>
        <w:pStyle w:val="Heading4"/>
        <w:numPr>
          <w:ilvl w:val="3"/>
          <w:numId w:val="1"/>
        </w:numPr>
      </w:pPr>
      <w:r>
        <w:t>Illumina sequencing</w:t>
      </w:r>
    </w:p>
    <w:p w:rsidR="00B46350" w:rsidRPr="003068B5" w:rsidRDefault="00B46350" w:rsidP="00B46350">
      <w:pPr>
        <w:rPr>
          <w:rFonts w:cs="Times New Roman"/>
        </w:rPr>
      </w:pPr>
      <w:r>
        <w:rPr>
          <w:rFonts w:cs="Times New Roman"/>
        </w:rPr>
        <w:t xml:space="preserve">Index PCR amplicons were diluted to 15 </w:t>
      </w:r>
      <w:proofErr w:type="spellStart"/>
      <w:r>
        <w:rPr>
          <w:rFonts w:cs="Times New Roman"/>
        </w:rPr>
        <w:t>nM</w:t>
      </w:r>
      <w:proofErr w:type="spellEnd"/>
      <w:r>
        <w:rPr>
          <w:rFonts w:cs="Times New Roman"/>
        </w:rPr>
        <w:t xml:space="preserve"> by the addition of 10mM </w:t>
      </w:r>
      <w:proofErr w:type="spellStart"/>
      <w:r>
        <w:rPr>
          <w:rFonts w:cs="Times New Roman"/>
        </w:rPr>
        <w:t>Tris</w:t>
      </w:r>
      <w:proofErr w:type="spellEnd"/>
      <w:r>
        <w:rPr>
          <w:rFonts w:cs="Times New Roman"/>
        </w:rPr>
        <w:t xml:space="preserve"> buffer (pH 8.5) and 4µl of each sample was then pooled to produce a single final DNA sample. The sample DNA </w:t>
      </w:r>
      <w:r w:rsidRPr="00F736FA">
        <w:rPr>
          <w:rFonts w:cs="Times New Roman"/>
        </w:rPr>
        <w:t xml:space="preserve">concentration was confirmed using </w:t>
      </w:r>
      <w:proofErr w:type="spellStart"/>
      <w:r w:rsidRPr="00F736FA">
        <w:rPr>
          <w:rFonts w:cs="Times New Roman"/>
        </w:rPr>
        <w:t>PicoGreen</w:t>
      </w:r>
      <w:proofErr w:type="spellEnd"/>
      <w:r w:rsidRPr="00F736FA">
        <w:rPr>
          <w:rFonts w:cs="Times New Roman"/>
        </w:rPr>
        <w:t xml:space="preserve"> quantification before being sequenced using a paired end 2 x 250 </w:t>
      </w:r>
      <w:proofErr w:type="spellStart"/>
      <w:r w:rsidRPr="00F736FA">
        <w:rPr>
          <w:rFonts w:cs="Times New Roman"/>
        </w:rPr>
        <w:t>bp</w:t>
      </w:r>
      <w:proofErr w:type="spellEnd"/>
      <w:r w:rsidRPr="00F736FA">
        <w:rPr>
          <w:rFonts w:cs="Times New Roman"/>
        </w:rPr>
        <w:t xml:space="preserve"> cycle kit v2 on a </w:t>
      </w:r>
      <w:proofErr w:type="spellStart"/>
      <w:r w:rsidRPr="00F736FA">
        <w:rPr>
          <w:rFonts w:cs="Times New Roman"/>
        </w:rPr>
        <w:t>MiSeq</w:t>
      </w:r>
      <w:proofErr w:type="spellEnd"/>
      <w:r w:rsidRPr="00F736FA">
        <w:rPr>
          <w:rFonts w:cs="Times New Roman"/>
        </w:rPr>
        <w:t xml:space="preserve"> machine at The Genome Analysis Centre in Norwich (TGAC).</w:t>
      </w:r>
    </w:p>
    <w:p w:rsidR="00B46350" w:rsidRPr="0056280D" w:rsidRDefault="00B46350" w:rsidP="00B46350">
      <w:pPr>
        <w:pStyle w:val="Heading4"/>
        <w:numPr>
          <w:ilvl w:val="3"/>
          <w:numId w:val="1"/>
        </w:numPr>
      </w:pPr>
      <w:r w:rsidRPr="0056280D">
        <w:t xml:space="preserve">Bioinformatics </w:t>
      </w:r>
    </w:p>
    <w:p w:rsidR="00B46350" w:rsidRDefault="00B46350" w:rsidP="00B46350">
      <w:pPr>
        <w:spacing w:after="200"/>
        <w:rPr>
          <w:rFonts w:cs="Times New Roman"/>
        </w:rPr>
      </w:pPr>
      <w:r>
        <w:rPr>
          <w:rFonts w:cs="Times New Roman"/>
        </w:rPr>
        <w:t>Demultiplexed sequence data was supplied by TGAC with primers still attached. Forward and reverse reads had to be analysed separately as the amplicon was too long to allow sequences to be paired. During sequencing the amplicons were first sequenced from the AML2</w:t>
      </w:r>
      <w:r w:rsidR="00C048F1">
        <w:rPr>
          <w:rFonts w:cs="Times New Roman"/>
        </w:rPr>
        <w:t xml:space="preserve"> (3’)</w:t>
      </w:r>
      <w:r>
        <w:rPr>
          <w:rFonts w:cs="Times New Roman"/>
        </w:rPr>
        <w:t xml:space="preserve"> end as the modified AML2 primer used in the first PCR included the forward overhang adaptor. The reverse sequences were then generated from the NS31</w:t>
      </w:r>
      <w:r w:rsidR="00C048F1">
        <w:rPr>
          <w:rFonts w:cs="Times New Roman"/>
        </w:rPr>
        <w:t xml:space="preserve"> (5’)</w:t>
      </w:r>
      <w:r>
        <w:rPr>
          <w:rFonts w:cs="Times New Roman"/>
        </w:rPr>
        <w:t xml:space="preserve"> end of the amplicons. Due to the current Illumina sequencing platform technology forward reads are of better quality than reverse reads. However, despite lower quality of reverse reads, better taxonomic resolution was likely to be obtained from the sequences from the NS31 end as the 250bp of sequence nearest the NS31 primer is less highly conserved among AMF taxa in comparison to the 250bp nearest the AML2 end </w:t>
      </w:r>
      <w:r>
        <w:rPr>
          <w:rFonts w:cs="Times New Roman"/>
        </w:rPr>
        <w:fldChar w:fldCharType="begin"/>
      </w:r>
      <w:r w:rsidR="00954B3D">
        <w:rPr>
          <w:rFonts w:cs="Times New Roman"/>
        </w:rPr>
        <w:instrText xml:space="preserve"> ADDIN ZOTERO_ITEM CSL_CITATION {"citationID":"m1qfjojr1","properties":{"formattedCitation":"{\\rtf (Lee {\\i{}et al.}, 2008)}","plainCitation":"(Lee et al., 2008)"},"citationItems":[{"id":245,"uris":["http://zotero.org/users/local/d1gJDEOw/items/C3UPIXMT"],"uri":["http://zotero.org/users/local/d1gJDEOw/items/C3UPIXMT"],"itemData":{"id":245,"type":"article-journal","title":"Improved PCR primers for the detection and identification of arbuscular mycorrhizal fungi","container-title":"FEMS Microbiology Ecology","page":"339-349","volume":"65","issue":"2","source":"Wiley Online Library","abstract":"A set of PCR primers that should amplify all subgroups of arbuscular mycorrhizal fungi (AMF, Glomeromycota), but exclude sequences from other organisms, was designed to facilitate rapid detection and identification directly from field-grown plant roots. The small subunit rRNA gene was targeted for the new primers (AML1 and AML2) because phylogenetic relationships among the Glomeromycota are well understood for this gene. Sequence comparisons indicate that the new primers should amplify all published AMF sequences except those from Archaeospora trappei. The specificity of the new primers was tested using 23 different AMF spore morphotypes from trap cultures and Miscanthus sinensis, Glycine max and Panax ginseng roots sampled from the field. Non-AMF DNA of 14 plants, 14 Basidiomycota and 18 Ascomycota was also tested as negative controls. Sequences amplified from roots using the new primers were compared with those obtained using the established NS31 and AM1 primer combination. The new primers have much better specificity and coverage of all known AMF groups.","DOI":"10.1111/j.1574-6941.2008.00531.x","ISSN":"1574-6941","language":"en","author":[{"family":"Lee","given":"Jaikoo"},{"family":"Lee","given":"Sangsun"},{"family":"Young","given":"J. Peter W."}],"issued":{"date-parts":[["2008",8,1]]}}}],"schema":"https://github.com/citation-style-language/schema/raw/master/csl-citation.json"} </w:instrText>
      </w:r>
      <w:r>
        <w:rPr>
          <w:rFonts w:cs="Times New Roman"/>
        </w:rPr>
        <w:fldChar w:fldCharType="separate"/>
      </w:r>
      <w:r w:rsidR="00954B3D" w:rsidRPr="00954B3D">
        <w:rPr>
          <w:rFonts w:cs="Times New Roman"/>
          <w:szCs w:val="24"/>
        </w:rPr>
        <w:t xml:space="preserve">(Lee </w:t>
      </w:r>
      <w:r w:rsidR="00954B3D" w:rsidRPr="00954B3D">
        <w:rPr>
          <w:rFonts w:cs="Times New Roman"/>
          <w:i/>
          <w:iCs/>
          <w:szCs w:val="24"/>
        </w:rPr>
        <w:t>et al.</w:t>
      </w:r>
      <w:r w:rsidR="00954B3D" w:rsidRPr="00954B3D">
        <w:rPr>
          <w:rFonts w:cs="Times New Roman"/>
          <w:szCs w:val="24"/>
        </w:rPr>
        <w:t>, 2008)</w:t>
      </w:r>
      <w:r>
        <w:rPr>
          <w:rFonts w:cs="Times New Roman"/>
        </w:rPr>
        <w:fldChar w:fldCharType="end"/>
      </w:r>
      <w:r>
        <w:rPr>
          <w:rFonts w:cs="Times New Roman"/>
        </w:rPr>
        <w:t xml:space="preserve">. This was confirmed in analysis of the sequences whereby 79 AMF OTUs were identified from the reverse sequences (the NS31 end) in comparison to just 22 AMF OTUs from </w:t>
      </w:r>
      <w:r>
        <w:rPr>
          <w:rFonts w:cs="Times New Roman"/>
        </w:rPr>
        <w:lastRenderedPageBreak/>
        <w:t xml:space="preserve">the forward sequences (the AML2 end). Moreover, for the forward reads 91% of sequences were classified as the same OTU, and alignments with the </w:t>
      </w:r>
      <w:proofErr w:type="spellStart"/>
      <w:r>
        <w:rPr>
          <w:rFonts w:cs="Times New Roman"/>
        </w:rPr>
        <w:t>MaarjAM</w:t>
      </w:r>
      <w:proofErr w:type="spellEnd"/>
      <w:r>
        <w:rPr>
          <w:rFonts w:cs="Times New Roman"/>
        </w:rPr>
        <w:t xml:space="preserve"> database showed this part of the amplicon was highly conserved between many diverse AMF species.  Analysis presented in this thesis therefore focusses on the reverse reads (NS31 </w:t>
      </w:r>
      <w:r w:rsidR="00C048F1">
        <w:rPr>
          <w:rFonts w:cs="Times New Roman"/>
        </w:rPr>
        <w:t>5’ end</w:t>
      </w:r>
      <w:r w:rsidR="00C048F1" w:rsidRPr="00C048F1">
        <w:rPr>
          <w:rFonts w:cs="Times New Roman"/>
        </w:rPr>
        <w:t>)</w:t>
      </w:r>
      <w:r w:rsidR="00EF1152" w:rsidRPr="00C048F1">
        <w:rPr>
          <w:rFonts w:cs="Times New Roman"/>
        </w:rPr>
        <w:t>.</w:t>
      </w:r>
    </w:p>
    <w:p w:rsidR="00B46350" w:rsidRDefault="00B46350" w:rsidP="0009776A">
      <w:pPr>
        <w:pStyle w:val="Heading4"/>
        <w:numPr>
          <w:ilvl w:val="3"/>
          <w:numId w:val="1"/>
        </w:numPr>
      </w:pPr>
      <w:r w:rsidRPr="00461976">
        <w:t xml:space="preserve">Reverse read </w:t>
      </w:r>
      <w:r w:rsidRPr="0009776A">
        <w:t>bioinformatics</w:t>
      </w:r>
    </w:p>
    <w:p w:rsidR="00B46350" w:rsidRPr="00953CBF" w:rsidRDefault="00B46350" w:rsidP="00B46350">
      <w:pPr>
        <w:spacing w:after="200"/>
        <w:rPr>
          <w:rFonts w:cs="Times New Roman"/>
          <w:i/>
        </w:rPr>
      </w:pPr>
      <w:r>
        <w:rPr>
          <w:rFonts w:cs="Times New Roman"/>
        </w:rPr>
        <w:t xml:space="preserve">Sequence data was processed using QIIME </w:t>
      </w:r>
      <w:r>
        <w:rPr>
          <w:rFonts w:cs="Times New Roman"/>
        </w:rPr>
        <w:fldChar w:fldCharType="begin"/>
      </w:r>
      <w:r w:rsidR="00954B3D">
        <w:rPr>
          <w:rFonts w:cs="Times New Roman"/>
        </w:rPr>
        <w:instrText xml:space="preserve"> ADDIN ZOTERO_ITEM CSL_CITATION {"citationID":"18k2qgl3qs","properties":{"formattedCitation":"{\\rtf (Caporaso {\\i{}et al.}, 2010)}","plainCitation":"(Caporaso et al., 2010)"},"citationItems":[{"id":452,"uris":["http://zotero.org/users/local/d1gJDEOw/items/9MU39A9P"],"uri":["http://zotero.org/users/local/d1gJDEOw/items/9MU39A9P"],"itemData":{"id":452,"type":"article-journal","title":"QIIME allows analysis of high-throughput community sequencing data","container-title":"Nature Methods","page":"335-336","volume":"7","issue":"5","source":"www.nature.com","abstract":"To the Editor: High-throughput sequencing is revolutionizing microbial ecology studies. Efforts like the Human Microbiome Projects and the US National Ecological Observatory Network are helping us to understand the role of microbial diversity in habitats within our own bodies and throughout the planet.","DOI":"10.1038/nmeth.f.303","ISSN":"1548-7091","language":"en","author":[{"family":"Caporaso","given":"J. Gregory"},{"family":"Kuczynski","given":"Justin"},{"family":"Stombaugh","given":"Jesse"},{"family":"Bittinger","given":"Kyle"},{"family":"Bushman","given":"Frederic D."},{"family":"Costello","given":"Elizabeth K."},{"family":"Fierer","given":"Noah"},{"family":"Peña","given":"Antonio Gonzalez"},{"family":"Goodrich","given":"Julia K."},{"family":"Gordon","given":"Jeffrey I."},{"family":"Huttley","given":"Gavin A."},{"family":"Kelley","given":"Scott T."},{"family":"Knights","given":"Dan"},{"family":"Koenig","given":"Jeremy E."},{"family":"Ley","given":"Ruth E."},{"family":"Lozupone","given":"Catherine A."},{"family":"McDonald","given":"Daniel"},{"family":"Muegge","given":"Brian D."},{"family":"Pirrung","given":"Meg"},{"family":"Reeder","given":"Jens"},{"family":"Sevinsky","given":"Joel R."},{"family":"Turnbaugh","given":"Peter J."},{"family":"Walters","given":"William A."},{"family":"Widmann","given":"Jeremy"},{"family":"Yatsunenko","given":"Tanya"},{"family":"Zaneveld","given":"Jesse"},{"family":"Knight","given":"Rob"}],"issued":{"date-parts":[["2010",1,5]]}}}],"schema":"https://github.com/citation-style-language/schema/raw/master/csl-citation.json"} </w:instrText>
      </w:r>
      <w:r>
        <w:rPr>
          <w:rFonts w:cs="Times New Roman"/>
        </w:rPr>
        <w:fldChar w:fldCharType="separate"/>
      </w:r>
      <w:r w:rsidR="00954B3D" w:rsidRPr="00954B3D">
        <w:rPr>
          <w:rFonts w:cs="Times New Roman"/>
          <w:szCs w:val="24"/>
        </w:rPr>
        <w:t>(</w:t>
      </w:r>
      <w:proofErr w:type="spellStart"/>
      <w:r w:rsidR="00954B3D" w:rsidRPr="00954B3D">
        <w:rPr>
          <w:rFonts w:cs="Times New Roman"/>
          <w:szCs w:val="24"/>
        </w:rPr>
        <w:t>Caporaso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2010)</w:t>
      </w:r>
      <w:r>
        <w:rPr>
          <w:rFonts w:cs="Times New Roman"/>
        </w:rPr>
        <w:fldChar w:fldCharType="end"/>
      </w:r>
      <w:r>
        <w:rPr>
          <w:rFonts w:cs="Times New Roman"/>
        </w:rPr>
        <w:t xml:space="preserve"> and sequence quality examined using </w:t>
      </w:r>
      <w:proofErr w:type="spellStart"/>
      <w:r>
        <w:rPr>
          <w:rFonts w:cs="Times New Roman"/>
        </w:rPr>
        <w:t>FastQC</w:t>
      </w:r>
      <w:proofErr w:type="spellEnd"/>
      <w:r>
        <w:rPr>
          <w:rFonts w:cs="Times New Roman"/>
        </w:rPr>
        <w:t xml:space="preserve"> (</w:t>
      </w:r>
      <w:proofErr w:type="spellStart"/>
      <w:r>
        <w:rPr>
          <w:rFonts w:cs="Times New Roman"/>
        </w:rPr>
        <w:t>Babraham</w:t>
      </w:r>
      <w:proofErr w:type="spellEnd"/>
      <w:r>
        <w:rPr>
          <w:rFonts w:cs="Times New Roman"/>
        </w:rPr>
        <w:t xml:space="preserve"> Bioinformatics).</w:t>
      </w:r>
      <w:r>
        <w:rPr>
          <w:rFonts w:cs="Times New Roman"/>
          <w:i/>
        </w:rPr>
        <w:t xml:space="preserve"> </w:t>
      </w:r>
      <w:r>
        <w:rPr>
          <w:rFonts w:cs="Times New Roman"/>
        </w:rPr>
        <w:t xml:space="preserve">Sequences were identified using a </w:t>
      </w:r>
      <w:r w:rsidRPr="00D80DE0">
        <w:rPr>
          <w:rFonts w:cs="Times New Roman"/>
          <w:i/>
        </w:rPr>
        <w:t>de novo</w:t>
      </w:r>
      <w:r>
        <w:rPr>
          <w:rFonts w:cs="Times New Roman"/>
        </w:rPr>
        <w:t xml:space="preserve"> OTU referencing approach using USEARCH 9.0 </w:t>
      </w:r>
      <w:r>
        <w:rPr>
          <w:rFonts w:cs="Times New Roman"/>
        </w:rPr>
        <w:fldChar w:fldCharType="begin"/>
      </w:r>
      <w:r w:rsidR="00954B3D">
        <w:rPr>
          <w:rFonts w:cs="Times New Roman"/>
        </w:rPr>
        <w:instrText xml:space="preserve"> ADDIN ZOTERO_ITEM CSL_CITATION {"citationID":"201f98pkl8","properties":{"formattedCitation":"(Edgar, 2010)","plainCitation":"(Edgar, 2010)"},"citationItems":[{"id":442,"uris":["http://zotero.org/users/local/d1gJDEOw/items/BHCD5MWN"],"uri":["http://zotero.org/users/local/d1gJDEOw/items/BHCD5MWN"],"itemData":{"id":442,"type":"article-journal","title":"Search and clustering orders of magnitude faster than BLAST","container-title":"Bioinformatics","page":"2460-2461","volume":"26","issue":"19","source":"bioinformatics.oxfordjournals.org","abstract":"Motivation: Biological sequence data is accumulating rapidly, motivating the development of improved high-throughput methods for sequence classification.\nResults: UBLAST and USEARCH are new algorithms enabling sensitive local and global search of large sequence databases at exceptionally high speeds. They are often orders of magnitude faster than BLAST in practical applications, though sensitivity to distant protein relationships is lower. UCLUST is a new clustering method that exploits USEARCH to assign sequences to clusters. UCLUST offers several advantages over the widely used program CD-HIT, including higher speed, lower memory use, improved sensitivity, clustering at lower identities and classification of much larger datasets.\nAvailability: Binaries are available at no charge for non-commercial use at http://www.drive5.com/usearch\nContact: robert@drive5.com\nSupplementary information: Supplementary data are available at Bioinformatics online.","DOI":"10.1093/bioinformatics/btq461","ISSN":"1367-4803, 1460-2059","note":"PMID: 20709691","journalAbbreviation":"Bioinformatics","language":"en","author":[{"family":"Edgar","given":"Robert C."}],"issued":{"date-parts":[["2010",1,10]]}}}],"schema":"https://github.com/citation-style-language/schema/raw/master/csl-citation.json"} </w:instrText>
      </w:r>
      <w:r>
        <w:rPr>
          <w:rFonts w:cs="Times New Roman"/>
        </w:rPr>
        <w:fldChar w:fldCharType="separate"/>
      </w:r>
      <w:r w:rsidR="00954B3D" w:rsidRPr="00954B3D">
        <w:rPr>
          <w:rFonts w:cs="Times New Roman"/>
        </w:rPr>
        <w:t>(Edgar, 2010)</w:t>
      </w:r>
      <w:r>
        <w:rPr>
          <w:rFonts w:cs="Times New Roman"/>
        </w:rPr>
        <w:fldChar w:fldCharType="end"/>
      </w:r>
      <w:r>
        <w:rPr>
          <w:rFonts w:cs="Times New Roman"/>
        </w:rPr>
        <w:t>. Firstly the reverse</w:t>
      </w:r>
      <w:r w:rsidRPr="00343187">
        <w:rPr>
          <w:rFonts w:cs="Times New Roman"/>
        </w:rPr>
        <w:t xml:space="preserve"> reads were stripped of the 21bp </w:t>
      </w:r>
      <w:r>
        <w:rPr>
          <w:rFonts w:cs="Times New Roman"/>
        </w:rPr>
        <w:t xml:space="preserve">NS31 primer and converted from </w:t>
      </w:r>
      <w:proofErr w:type="spellStart"/>
      <w:r>
        <w:rPr>
          <w:rFonts w:cs="Times New Roman"/>
        </w:rPr>
        <w:t>fastq</w:t>
      </w:r>
      <w:proofErr w:type="spellEnd"/>
      <w:r>
        <w:rPr>
          <w:rFonts w:cs="Times New Roman"/>
        </w:rPr>
        <w:t xml:space="preserve"> to </w:t>
      </w:r>
      <w:proofErr w:type="spellStart"/>
      <w:r>
        <w:rPr>
          <w:rFonts w:cs="Times New Roman"/>
        </w:rPr>
        <w:t>fasta</w:t>
      </w:r>
      <w:proofErr w:type="spellEnd"/>
      <w:r>
        <w:rPr>
          <w:rFonts w:cs="Times New Roman"/>
        </w:rPr>
        <w:t xml:space="preserve"> format. </w:t>
      </w:r>
      <w:r w:rsidRPr="00343187">
        <w:rPr>
          <w:rFonts w:cs="Times New Roman"/>
        </w:rPr>
        <w:t>Sequences were then filtered using the ‘</w:t>
      </w:r>
      <w:proofErr w:type="spellStart"/>
      <w:r w:rsidRPr="00343187">
        <w:rPr>
          <w:rFonts w:cs="Times New Roman"/>
        </w:rPr>
        <w:t>fasq_filter</w:t>
      </w:r>
      <w:proofErr w:type="spellEnd"/>
      <w:r w:rsidRPr="00343187">
        <w:rPr>
          <w:rFonts w:cs="Times New Roman"/>
        </w:rPr>
        <w:t xml:space="preserve">’ </w:t>
      </w:r>
      <w:r>
        <w:rPr>
          <w:rFonts w:cs="Times New Roman"/>
        </w:rPr>
        <w:t xml:space="preserve">command with a </w:t>
      </w:r>
      <w:proofErr w:type="spellStart"/>
      <w:r>
        <w:rPr>
          <w:rFonts w:cs="Times New Roman"/>
        </w:rPr>
        <w:t>maxEE</w:t>
      </w:r>
      <w:proofErr w:type="spellEnd"/>
      <w:r>
        <w:rPr>
          <w:rFonts w:cs="Times New Roman"/>
        </w:rPr>
        <w:t xml:space="preserve"> value of 2</w:t>
      </w:r>
      <w:r w:rsidRPr="00343187">
        <w:rPr>
          <w:rFonts w:cs="Times New Roman"/>
        </w:rPr>
        <w:t xml:space="preserve"> w</w:t>
      </w:r>
      <w:r>
        <w:rPr>
          <w:rFonts w:cs="Times New Roman"/>
        </w:rPr>
        <w:t>hich equates to a threshold of 2</w:t>
      </w:r>
      <w:r w:rsidRPr="00343187">
        <w:rPr>
          <w:rFonts w:cs="Times New Roman"/>
        </w:rPr>
        <w:t xml:space="preserve"> base pair error within 1000 base pairs. </w:t>
      </w:r>
      <w:r>
        <w:rPr>
          <w:rFonts w:cs="Times New Roman"/>
        </w:rPr>
        <w:t>U</w:t>
      </w:r>
      <w:r w:rsidRPr="00343187">
        <w:rPr>
          <w:rFonts w:cs="Times New Roman"/>
        </w:rPr>
        <w:t>nique sequences were identified</w:t>
      </w:r>
      <w:r>
        <w:rPr>
          <w:rFonts w:cs="Times New Roman"/>
        </w:rPr>
        <w:t xml:space="preserve"> from the filtered sequence set</w:t>
      </w:r>
      <w:r w:rsidRPr="00343187">
        <w:rPr>
          <w:rFonts w:cs="Times New Roman"/>
        </w:rPr>
        <w:t xml:space="preserve"> using the ‘</w:t>
      </w:r>
      <w:proofErr w:type="spellStart"/>
      <w:r w:rsidRPr="00343187">
        <w:rPr>
          <w:rFonts w:cs="Times New Roman"/>
        </w:rPr>
        <w:t>fastx_uniques</w:t>
      </w:r>
      <w:proofErr w:type="spellEnd"/>
      <w:r w:rsidRPr="00343187">
        <w:rPr>
          <w:rFonts w:cs="Times New Roman"/>
        </w:rPr>
        <w:t xml:space="preserve">’ </w:t>
      </w:r>
      <w:r>
        <w:rPr>
          <w:rFonts w:cs="Times New Roman"/>
        </w:rPr>
        <w:t xml:space="preserve">command. This </w:t>
      </w:r>
      <w:r w:rsidRPr="00343187">
        <w:rPr>
          <w:rFonts w:cs="Times New Roman"/>
        </w:rPr>
        <w:t xml:space="preserve">yielded </w:t>
      </w:r>
      <w:r>
        <w:rPr>
          <w:rFonts w:cs="Times New Roman"/>
        </w:rPr>
        <w:t xml:space="preserve">88770 </w:t>
      </w:r>
      <w:r w:rsidRPr="00343187">
        <w:rPr>
          <w:rFonts w:cs="Times New Roman"/>
        </w:rPr>
        <w:t>sequences</w:t>
      </w:r>
      <w:r>
        <w:rPr>
          <w:rFonts w:cs="Times New Roman"/>
        </w:rPr>
        <w:t xml:space="preserve"> of which </w:t>
      </w:r>
      <w:r w:rsidRPr="006C04BD">
        <w:rPr>
          <w:rFonts w:cs="Times New Roman"/>
        </w:rPr>
        <w:t>22768</w:t>
      </w:r>
      <w:r w:rsidR="006C04BD">
        <w:rPr>
          <w:rFonts w:cs="Times New Roman"/>
        </w:rPr>
        <w:t xml:space="preserve"> (25.6%)</w:t>
      </w:r>
      <w:r>
        <w:rPr>
          <w:rFonts w:cs="Times New Roman"/>
        </w:rPr>
        <w:t xml:space="preserve"> were</w:t>
      </w:r>
      <w:r w:rsidRPr="00343187">
        <w:rPr>
          <w:rFonts w:cs="Times New Roman"/>
        </w:rPr>
        <w:t xml:space="preserve"> unique </w:t>
      </w:r>
      <w:r>
        <w:rPr>
          <w:rFonts w:cs="Times New Roman"/>
        </w:rPr>
        <w:t>and 18821 (</w:t>
      </w:r>
      <w:r w:rsidR="006C04BD">
        <w:rPr>
          <w:rFonts w:cs="Times New Roman"/>
        </w:rPr>
        <w:t>21.2</w:t>
      </w:r>
      <w:r>
        <w:rPr>
          <w:rFonts w:cs="Times New Roman"/>
        </w:rPr>
        <w:t>%) were singleton sequences</w:t>
      </w:r>
      <w:r w:rsidRPr="00343187">
        <w:rPr>
          <w:rFonts w:cs="Times New Roman"/>
        </w:rPr>
        <w:t xml:space="preserve">. </w:t>
      </w:r>
      <w:r>
        <w:rPr>
          <w:rFonts w:cs="Times New Roman"/>
        </w:rPr>
        <w:t>Singleton sequences</w:t>
      </w:r>
      <w:r w:rsidRPr="00343187">
        <w:rPr>
          <w:rFonts w:cs="Times New Roman"/>
        </w:rPr>
        <w:t xml:space="preserve"> were</w:t>
      </w:r>
      <w:r>
        <w:rPr>
          <w:rFonts w:cs="Times New Roman"/>
        </w:rPr>
        <w:t xml:space="preserve"> subsequently</w:t>
      </w:r>
      <w:r w:rsidRPr="00343187">
        <w:rPr>
          <w:rFonts w:cs="Times New Roman"/>
        </w:rPr>
        <w:t xml:space="preserve"> discarded as this is known to improve</w:t>
      </w:r>
      <w:r>
        <w:rPr>
          <w:rFonts w:cs="Times New Roman"/>
        </w:rPr>
        <w:t xml:space="preserve"> diversity estimate accuracy </w:t>
      </w:r>
      <w:r>
        <w:rPr>
          <w:rFonts w:cs="Times New Roman"/>
        </w:rPr>
        <w:fldChar w:fldCharType="begin"/>
      </w:r>
      <w:r w:rsidR="00954B3D">
        <w:rPr>
          <w:rFonts w:cs="Times New Roman"/>
        </w:rPr>
        <w:instrText xml:space="preserve"> ADDIN ZOTERO_ITEM CSL_CITATION {"citationID":"CEA7ooff","properties":{"formattedCitation":"{\\rtf (Waud {\\i{}et al.}, 2014; van Geel {\\i{}et al.}, 2015)}","plainCitation":"(Waud et al., 2014; van Geel et al., 2015)"},"citationItems":[{"id":440,"uris":["http://zotero.org/users/local/d1gJDEOw/items/TB5XRT7R"],"uri":["http://zotero.org/users/local/d1gJDEOw/items/TB5XRT7R"],"itemData":{"id":440,"type":"article-journal","title":"Impact of primer choice on characterization of orchid mycorrhizal communities using 454 pyrosequencing","container-title":"Molecular Ecology Resources","page":"679-699","volume":"14","issue":"4","source":"PubMed","abstract":"Although the number of studies investigating mycorrhizal associations in orchids has increased in recent years, the fungal communities associating with orchids and how they differ between species and sites remain unclear. Recent research has indicated that individual orchid plants may associate with several fungi concurrently, implying that to study mycorrhizal associations in orchids the fungal community should be assessed, rather than the presence of individual dominant fungal species or strains. High-throughput sequencing methods, such as 454 pyrosequencing, are increasingly used as the primary tool for such analyses. However, many studies combine universal primers from previous phylogenetic or ecological studies to generate amplicons suitable for 454 pyrosequencing without first critically evaluating their performance, potentially resulting in biased fungal community descriptions. Here, following in silico primer analysis we evaluated the performance of different combinations of existing PCR primers to characterize orchid mycorrhizal communities using 454 pyrosequencing by analysis of both an artificially assembled community of mycorrhizal fungi isolated from diverse orchid species and root samples from three different orchid species (Anacamptis morio, Ophrys tenthredinifera and Serapias lingua). Our results indicate that primer pairs ITS3/ITS4OF and ITS86F/ITS4, targeting the internal transcribed spacer-2 (ITS-2) region, outperformed other tested primer pairs in terms of number of reads, number of operational taxonomic units recovered from the artificial community and number of different orchid mycorrhizal associating families detected in the orchid samples. Additionally, we show the complementary specificity of both primer pairs, making them highly suitable for tandem use when studying the diversity of orchid mycorrhizal communities.","DOI":"10.1111/1755-0998.12229","ISSN":"1755-0998","note":"PMID: 24460947","journalAbbreviation":"Mol Ecol Resour","language":"ENG","author":[{"family":"Waud","given":"Michael"},{"family":"Busschaert","given":"Pieter"},{"family":"Ruyters","given":"Stefan"},{"family":"Jacquemyn","given":"Hans"},{"family":"Lievens","given":"Bart"}],"issued":{"date-parts":[["2014",7]]}}},{"id":36,"uris":["http://zotero.org/users/local/d1gJDEOw/items/VFAUSJQP"],"uri":["http://zotero.org/users/local/d1gJDEOw/items/VFAUSJQP"],"itemData":{"id":36,"type":"article-journal","title":"Decrease in diversity and changes in community composition of arbuscular mycorrhizal fungi in roots of apple trees with increasing orchard management intensity across a regional scale","container-title":"Molecular Ecology","page":"941-952","volume":"24","issue":"4","source":"Wiley Online Library","abstract":"Understanding which factors drive the diversity and community composition of arbuscular mycorrhizal fungi (AMF) is important due to the role of these soil micro-organisms in ecosystem functioning and current environmental threats to AMF biodiversity. Additionally, in agro-ecosystems, this knowledge may help to evaluate their use in making agriculture more sustainable. Here, we used 454-pyrosequencing of small subunit rRNA gene amplicons to quantify AMF diversity and community composition in the roots of cultivated apple trees across 24 orchards in central Belgium. We aimed at identifying the factors (soil chemical variables, organic vs. conventional farming, and geographical location) that affect AMF diversity and community composition. In total, 110 AMF OTUs were detected, of which the majority belonged to the Glomeraceae (73%) and the Claroideoglomeraceae (19%). We show that soil characteristics and farming system, rather than the geographical location of the orchards, shape AMF communities on apple trees. Particularly, plant-available P content of the soil was associated with lower AMF diversity. In orchards with a lower plant-available P content of the soil (P &lt; 100 mg/kg soil), we also found a significantly higher AMF diversity in organically managed orchards as compared to conventionally managed orchards. Finally, the degree of nestedness of the AMF communities was related to plant-available P and N content of the soil, pointing at a progressive loss of AMF taxa with increasing fertilization. Overall, we conclude that a combination of organic orchard management and moderate fertilization may preserve diverse AMF communities on apple trees and that AMF in the roots of apple trees appear not to be dispersal limited at the scale of central Belgium.","DOI":"10.1111/mec.13079","ISSN":"1365-294X","journalAbbreviation":"Mol Ecol","language":"en","author":[{"family":"Geel","given":"Maarten","non-dropping-particle":"van"},{"family":"Ceustermans","given":"An"},{"family":"Hemelrijck","given":"Wendy","non-dropping-particle":"van"},{"family":"Lievens","given":"Bart"},{"family":"Honnay","given":"Olivier"}],"issued":{"date-parts":[["2015",2,1]]}}}],"schema":"https://github.com/citation-style-language/schema/raw/master/csl-citation.json"} </w:instrText>
      </w:r>
      <w:r>
        <w:rPr>
          <w:rFonts w:cs="Times New Roman"/>
        </w:rPr>
        <w:fldChar w:fldCharType="separate"/>
      </w:r>
      <w:r w:rsidR="00954B3D" w:rsidRPr="00954B3D">
        <w:rPr>
          <w:rFonts w:cs="Times New Roman"/>
          <w:szCs w:val="24"/>
        </w:rPr>
        <w:t>(</w:t>
      </w:r>
      <w:proofErr w:type="spellStart"/>
      <w:r w:rsidR="00954B3D" w:rsidRPr="00954B3D">
        <w:rPr>
          <w:rFonts w:cs="Times New Roman"/>
          <w:szCs w:val="24"/>
        </w:rPr>
        <w:t>Waud</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2014; van </w:t>
      </w:r>
      <w:proofErr w:type="spellStart"/>
      <w:r w:rsidR="00954B3D" w:rsidRPr="00954B3D">
        <w:rPr>
          <w:rFonts w:cs="Times New Roman"/>
          <w:szCs w:val="24"/>
        </w:rPr>
        <w:t>Geel</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2015)</w:t>
      </w:r>
      <w:r>
        <w:rPr>
          <w:rFonts w:cs="Times New Roman"/>
        </w:rPr>
        <w:fldChar w:fldCharType="end"/>
      </w:r>
      <w:r>
        <w:rPr>
          <w:rFonts w:cs="Times New Roman"/>
        </w:rPr>
        <w:t>. Unique sequences were then clustered using the ‘</w:t>
      </w:r>
      <w:proofErr w:type="spellStart"/>
      <w:r>
        <w:rPr>
          <w:rFonts w:cs="Times New Roman"/>
        </w:rPr>
        <w:t>cluster_otus</w:t>
      </w:r>
      <w:proofErr w:type="spellEnd"/>
      <w:r>
        <w:rPr>
          <w:rFonts w:cs="Times New Roman"/>
        </w:rPr>
        <w:t xml:space="preserve">’ command at 97% similarity which has been previously used by many ecological studies of AMF as a threshold of similarity for SSU-based OTUs </w:t>
      </w:r>
      <w:r>
        <w:rPr>
          <w:rFonts w:cs="Times New Roman"/>
        </w:rPr>
        <w:fldChar w:fldCharType="begin"/>
      </w:r>
      <w:r w:rsidR="00954B3D">
        <w:rPr>
          <w:rFonts w:cs="Times New Roman"/>
        </w:rPr>
        <w:instrText xml:space="preserve"> ADDIN ZOTERO_ITEM CSL_CITATION {"citationID":"1gigo1pldu","properties":{"formattedCitation":"{\\rtf (Hiiesalu {\\i{}et al.}, 2014; Varela-Cervero {\\i{}et al.}, 2015; de Leon {\\i{}et al.}, 2016)}","plainCitation":"(Hiiesalu et al., 2014; Varela-Cervero et al., 2015; de Leon et al., 2016)"},"citationItems":[{"id":332,"uris":["http://zotero.org/users/local/d1gJDEOw/items/M2TQSK6X"],"uri":["http://zotero.org/users/local/d1gJDEOw/items/M2TQSK6X"],"itemData":{"id":332,"type":"article-journal","title":"Species richness of arbuscular mycorrhizal fungi: associations with grassland plant richness and biomass","container-title":"New Phytologist","page":"233-244","volume":"203","issue":"1","source":"Wiley Online Library","abstract":"* Although experiments show a positive association between vascular plant and arbuscular mycorrhizal fungal (AMF) species richness, evidence from natural ecosystems is scarce. Furthermore, there is little knowledge about how AMF richness varies with belowground plant richness and biomass.\n\n* We examined relationships among AMF richness, above- and belowground plant richness, and plant root and shoot biomass in a native North American grassland. Root-colonizing AMF richness and belowground plant richness were detected from the same bulk root samples by 454-sequencing of the AMF SSU rRNA and plant trnL genes.\n\n* In total we detected 63 AMF taxa. Plant richness was 1.5 times greater belowground than aboveground. AMF richness was significantly positively correlated with plant species richness, and more strongly with below- than aboveground plant richness. Belowground plant richness was positively correlated with belowground plant biomass and total plant biomass, whereas aboveground plant richness was positively correlated only with belowground plant biomass. By contrast, AMF richness was negatively correlated with belowground and total plant biomass.\n\n* Our results indicate that AMF richness and plant belowground richness are more strongly related with each other and with plant community biomass than with the plant aboveground richness measures that have been almost exclusively considered to date.","DOI":"10.1111/nph.12765","ISSN":"1469-8137","shortTitle":"Species richness of arbuscular mycorrhizal fungi","journalAbbreviation":"New Phytol","language":"en","author":[{"family":"Hiiesalu","given":"Inga"},{"family":"Pärtel","given":"Meelis"},{"family":"Davison","given":"John"},{"family":"Gerhold","given":"Pille"},{"family":"Metsis","given":"Madis"},{"family":"Moora","given":"Mari"},{"family":"Öpik","given":"Maarja"},{"family":"Vasar","given":"Martti"},{"family":"Zobel","given":"Martin"},{"family":"Wilson","given":"Scott D."}],"issued":{"date-parts":[["2014",7,1]]}}},{"id":329,"uris":["http://zotero.org/users/local/d1gJDEOw/items/SPRX2EQR"],"uri":["http://zotero.org/users/local/d1gJDEOw/items/SPRX2EQR"],"itemData":{"id":329,"type":"article-journal","title":"The composition of arbuscular mycorrhizal fungal communities differs among the roots, spores and extraradical mycelia associated with five Mediterranean plant species","container-title":"Environmental Microbiology","page":"2882-2895","volume":"17","issue":"8","source":"Wiley Online Library","abstract":"Arbuscular mycorrhizal fungi (AMF) are essential constituents of most terrestrial ecosystems. AMF species differ in terms of propagation strategies and the major propagules they form. This study compared the AMF community composition of different propagule fractions – colonized roots, spores and extraradical mycelium (ERM) – associated with five Mediterranean plant species in Sierra de Baza Natural Park (Granada, Spain). AMF were identified using 454 pyrosequencing of the SSU rRNA gene. A total of 96 AMF phylogroups [virtual taxa (VT)] were detected in the study site, including 31 novel VT. After per-sample sequencing depth standardization, 71 VT were recorded from plant roots, and 47 from each of the spore and ERM fractions. AMF communities differed significantly among the propagule fractions, and the root-colonizing fraction differed among host plant species. Indicator VT were detected for the root (13 Glomus VT), spore (Paraglomus VT281, VT336, Pacispora VT284) and ERM (Diversispora VT62) fractions. This study provides detailed evidence from a natural system that AMF taxa are differentially allocated among soil mycelium, soil spores and colonized root propagules. This has important implications for interpreting AMF diversity surveys and designing applications of AMF in vegetation restoration.","DOI":"10.1111/1462-2920.12810","ISSN":"1462-2920","journalAbbreviation":"Environ Microbiol","language":"en","author":[{"family":"Varela-Cervero","given":"Sara"},{"family":"Vasar","given":"Martti"},{"family":"Davison","given":"John"},{"family":"Barea","given":"José Miguel"},{"family":"Öpik","given":"Maarja"},{"family":"Azcón-Aguilar","given":"Concepción"}],"issued":{"date-parts":[["2015",8,1]]}}},{"id":308,"uris":["http://zotero.org/users/local/d1gJDEOw/items/2UTQ3EZ3"],"uri":["http://zotero.org/users/local/d1gJDEOw/items/2UTQ3EZ3"],"itemData":{"id":308,"type":"article-journal","title":"Symbiont dynamics during ecosystem succession: co-occurring plant and arbuscular mycorrhizal fungal communities","container-title":"Fems Microbiology Ecology","page":"UNSP fiw097","volume":"92","issue":"7","source":"Web of Science","abstract":"Although mycorrhizas are expected to play a key role in community assembly during ecological succession, little is known about the dynamics of the symbiotic partners in natural systems. For instance, it is unclear how efficiently plants and arbuscular mycorrhizal (AM) fungi disperse into early successional ecosystems, and which, if either, symbiotic partner drives successional dynamics. This study describes the dynamics of plant and AM fungal communities, assesses correlation in the composition of plant and AM fungal communities and compares dispersal limitation of plants and AM fungi during succession. We studied gravel pits 20 and 50 years post abandonment and undisturbed grasslands in Western Estonia. The composition of plant and AM fungal communities was strongly correlated, and the strength of the correlation remained unchanged as succession progressed, indicating a stable dependence among mycorrhizal plants and AM fungi. A relatively high proportion of the AM fungal taxon pool was present in early successional sites, in comparison with the respective fraction of plants. These results suggest that AM fungi arrived faster than plants and may thus drive vegetation dynamics along secondary vegetation succession.","DOI":"10.1093/femsec/fiw097","ISSN":"0168-6496","note":"WOS:000379693700008","shortTitle":"Symbiont dynamics during ecosystem succession","journalAbbreviation":"FEMS Microbiol. Ecol.","language":"English","author":[{"family":"Leon","given":"David Garcia","non-dropping-particle":"de"},{"family":"Moora","given":"Mari"},{"family":"Opik","given":"Maarja"},{"family":"Neuenkamp","given":"Lena"},{"family":"Gerz","given":"Maret"},{"family":"Jairus","given":"Teele"},{"family":"Vasar","given":"Martti"},{"family":"Bueno","given":"C. Guillermo"},{"family":"Davison","given":"John"},{"family":"Zobel","given":"Martin"}],"issued":{"date-parts":[["2016",7]]}}}],"schema":"https://github.com/citation-style-language/schema/raw/master/csl-citation.json"} </w:instrText>
      </w:r>
      <w:r>
        <w:rPr>
          <w:rFonts w:cs="Times New Roman"/>
        </w:rPr>
        <w:fldChar w:fldCharType="separate"/>
      </w:r>
      <w:r w:rsidR="00954B3D" w:rsidRPr="00954B3D">
        <w:rPr>
          <w:rFonts w:cs="Times New Roman"/>
          <w:szCs w:val="24"/>
        </w:rPr>
        <w:t>(</w:t>
      </w:r>
      <w:proofErr w:type="spellStart"/>
      <w:r w:rsidR="00954B3D" w:rsidRPr="00954B3D">
        <w:rPr>
          <w:rFonts w:cs="Times New Roman"/>
          <w:szCs w:val="24"/>
        </w:rPr>
        <w:t>Hiiesalu</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2014; Varela-</w:t>
      </w:r>
      <w:proofErr w:type="spellStart"/>
      <w:r w:rsidR="00954B3D" w:rsidRPr="00954B3D">
        <w:rPr>
          <w:rFonts w:cs="Times New Roman"/>
          <w:szCs w:val="24"/>
        </w:rPr>
        <w:t>Cervero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2015; de Leon </w:t>
      </w:r>
      <w:r w:rsidR="00954B3D" w:rsidRPr="00954B3D">
        <w:rPr>
          <w:rFonts w:cs="Times New Roman"/>
          <w:i/>
          <w:iCs/>
          <w:szCs w:val="24"/>
        </w:rPr>
        <w:t>et al.</w:t>
      </w:r>
      <w:r w:rsidR="00954B3D" w:rsidRPr="00954B3D">
        <w:rPr>
          <w:rFonts w:cs="Times New Roman"/>
          <w:szCs w:val="24"/>
        </w:rPr>
        <w:t>, 2016)</w:t>
      </w:r>
      <w:r>
        <w:rPr>
          <w:rFonts w:cs="Times New Roman"/>
        </w:rPr>
        <w:fldChar w:fldCharType="end"/>
      </w:r>
      <w:r>
        <w:rPr>
          <w:rFonts w:cs="Times New Roman"/>
        </w:rPr>
        <w:t xml:space="preserve">.  This resulted in a set of 106 high quality sequences which were re-labelled as OTUs. The original raw sequence set was then matched against the OTU database with a 97% match threshold. Of the 277182 original </w:t>
      </w:r>
      <w:r w:rsidR="00A05F2B">
        <w:rPr>
          <w:rFonts w:cs="Times New Roman"/>
        </w:rPr>
        <w:t>reverse</w:t>
      </w:r>
      <w:r>
        <w:rPr>
          <w:rFonts w:cs="Times New Roman"/>
        </w:rPr>
        <w:t xml:space="preserve"> sequences, 368288 (75.3%) matched the database OTU set and the remaining 24.7% of sequences which</w:t>
      </w:r>
      <w:r w:rsidR="00861E0B">
        <w:rPr>
          <w:rFonts w:cs="Times New Roman"/>
        </w:rPr>
        <w:t xml:space="preserve"> were unmatched were discarded.</w:t>
      </w:r>
    </w:p>
    <w:p w:rsidR="00B46350" w:rsidRPr="003904B5" w:rsidRDefault="00B46350" w:rsidP="00B46350">
      <w:pPr>
        <w:pStyle w:val="Heading4"/>
        <w:numPr>
          <w:ilvl w:val="3"/>
          <w:numId w:val="1"/>
        </w:numPr>
      </w:pPr>
      <w:r>
        <w:t>Identification of OTUs using phylogenetic trees</w:t>
      </w:r>
    </w:p>
    <w:p w:rsidR="00B46350" w:rsidRPr="007A1BF1" w:rsidRDefault="00B46350" w:rsidP="00B46350">
      <w:pPr>
        <w:spacing w:after="200"/>
        <w:rPr>
          <w:rFonts w:cs="Times New Roman"/>
        </w:rPr>
      </w:pPr>
      <w:r>
        <w:t xml:space="preserve">To identify the 106 OTUs identified by </w:t>
      </w:r>
      <w:proofErr w:type="spellStart"/>
      <w:r>
        <w:t>Ilumina</w:t>
      </w:r>
      <w:proofErr w:type="spellEnd"/>
      <w:r>
        <w:t xml:space="preserve"> sequencing,  type sequences of all AMF virtual taxa were downloaded from the </w:t>
      </w:r>
      <w:proofErr w:type="spellStart"/>
      <w:r>
        <w:t>MaarjAM</w:t>
      </w:r>
      <w:proofErr w:type="spellEnd"/>
      <w:r>
        <w:t xml:space="preserve"> database </w:t>
      </w:r>
      <w:r w:rsidRPr="00BA0AF2">
        <w:rPr>
          <w:rFonts w:cs="Times New Roman"/>
        </w:rPr>
        <w:fldChar w:fldCharType="begin"/>
      </w:r>
      <w:r w:rsidR="00954B3D">
        <w:rPr>
          <w:rFonts w:cs="Times New Roman"/>
        </w:rPr>
        <w:instrText xml:space="preserve"> ADDIN ZOTERO_ITEM CSL_CITATION {"citationID":"jo5ac9fnn","properties":{"formattedCitation":"{\\rtf (Opik {\\i{}et al.}, 2010)}","plainCitation":"(Opik et al., 2010)"},"citationItems":[{"id":276,"uris":["http://zotero.org/users/local/d1gJDEOw/items/5UKCWER4"],"uri":["http://zotero.org/users/local/d1gJDEOw/items/5UKCWER4"],"itemData":{"id":276,"type":"article-journal","title":"The online database MaarjAM reveals global and ecosystemic distribution patterns in arbuscular mycorrhizal fungi (Glomeromycota)","container-title":"The New Phytologist","page":"223-241","volume":"188","issue":"1","source":"PubMed","abstract":"• Here, we describe a new database, MaarjAM, that summarizes publicly available Glomeromycota DNA sequence data and associated metadata. The goal of the database is to facilitate the description of distribution and richness patterns in this group of fungi. • Small subunit (SSU) rRNA gene sequences and available metadata were collated from all suitable taxonomic and ecological publications. These data have been made accessible in an open-access database (http://maarjam.botany.ut.ee). • Two hundred and eighty-two SSU rRNA gene virtual taxa (VT) were described based on a comprehensive phylogenetic analysis of all collated Glomeromycota sequences. Two-thirds of VT showed limited distribution ranges, occurring in single current or historic continents or climatic zones. Those VT that associated with a taxonomically wide range of host plants also tended to have a wide geographical distribution, and vice versa. No relationships were detected between VT richness and latitude, elevation or vascular plant richness. • The collated Glomeromycota molecular diversity data suggest limited distribution ranges in most Glomeromycota taxa and a positive relationship between the width of a taxon's geographical range and its host taxonomic range. Inconsistencies between molecular and traditional taxonomy of Glomeromycota, and shortage of data from major continents and ecosystems, are highlighted.","DOI":"10.1111/j.1469-8137.2010.03334.x","ISSN":"1469-8137","note":"PMID: 20561207","journalAbbreviation":"New Phytol.","language":"eng","author":[{"family":"Opik","given":"M."},{"family":"Vanatoa","given":"A."},{"family":"Vanatoa","given":"E."},{"family":"Moora","given":"M."},{"family":"Davison","given":"J."},{"family":"Kalwij","given":"J. M."},{"family":"Reier","given":"U."},{"family":"Zobel","given":"M."}],"issued":{"date-parts":[["2010",10]]}}}],"schema":"https://github.com/citation-style-language/schema/raw/master/csl-citation.json"} </w:instrText>
      </w:r>
      <w:r w:rsidRPr="00BA0AF2">
        <w:rPr>
          <w:rFonts w:cs="Times New Roman"/>
        </w:rPr>
        <w:fldChar w:fldCharType="separate"/>
      </w:r>
      <w:r w:rsidR="00954B3D" w:rsidRPr="00954B3D">
        <w:rPr>
          <w:rFonts w:cs="Times New Roman"/>
          <w:szCs w:val="24"/>
        </w:rPr>
        <w:t>(</w:t>
      </w:r>
      <w:proofErr w:type="spellStart"/>
      <w:r w:rsidR="00954B3D" w:rsidRPr="00954B3D">
        <w:rPr>
          <w:rFonts w:cs="Times New Roman"/>
          <w:szCs w:val="24"/>
        </w:rPr>
        <w:t>Opik</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2010)</w:t>
      </w:r>
      <w:r w:rsidRPr="00BA0AF2">
        <w:rPr>
          <w:rFonts w:cs="Times New Roman"/>
        </w:rPr>
        <w:fldChar w:fldCharType="end"/>
      </w:r>
      <w:r w:rsidRPr="00BA0AF2">
        <w:rPr>
          <w:rFonts w:cs="Times New Roman"/>
        </w:rPr>
        <w:t xml:space="preserve"> </w:t>
      </w:r>
      <w:r>
        <w:rPr>
          <w:rFonts w:cs="Times New Roman"/>
        </w:rPr>
        <w:t xml:space="preserve">from which 252 virtual taxa (based on SSU sequences) were available using the most up to date available version (02.04.2015). </w:t>
      </w:r>
      <w:r>
        <w:t xml:space="preserve"> All virtual taxa type sequences were aligned with the 106 OTUs using the online multiple sequence alignment tool Muscle (Muscle, EMBI-BI, Welcome Genome Campus,  2016) which aligns sequences using multiple sequence comparison by log expectation </w:t>
      </w:r>
      <w:r>
        <w:fldChar w:fldCharType="begin"/>
      </w:r>
      <w:r w:rsidR="00954B3D">
        <w:instrText xml:space="preserve"> ADDIN ZOTERO_ITEM CSL_CITATION {"citationID":"214k9m0ve","properties":{"formattedCitation":"(Edgar, 2004)","plainCitation":"(Edgar, 2004)"},"citationItems":[{"id":432,"uris":["http://zotero.org/users/local/d1gJDEOw/items/FD22P9GG"],"uri":["http://zotero.org/users/local/d1gJDEOw/items/FD22P9GG"],"itemData":{"id":432,"type":"article-journal","title":"MUSCLE: multiple sequence alignment with high accuracy and high throughput","container-title":"Nucleic Acids Research","page":"1792-1797","volume":"32","issue":"5","source":"nar.oxfordjournals.org","abstract":"We describe MUSCLE, a new computer program for creating multiple alignments of protein sequences. Elements of the algorithm include fast distance estimation using kmer counting, progressive alignment using a new profile function we call the log‐expectation score, and refinement using tree‐dependent restricted partitioning. The speed and accuracy of MUSCLE are compared with T‐Coffee, MAFFT and CLUSTALW on four test sets of reference alignments: BAliBASE, SABmark, SMART and a new benchmark, PREFAB. MUSCLE achieves the highest, or joint highest, rank in accuracy on each of these sets. Without refinement, MUSCLE achieves average accuracy statistically indistinguishable from T‐Coffee and MAFFT, and is the fastest of the tested methods for large numbers of sequences, aligning 5000 sequences of average length 350 in 7 min on a current desktop computer. The MUSCLE program, source code and PREFAB test data are freely available at http://www.drive5. com/muscle.","DOI":"10.1093/nar/gkh340","ISSN":"0305-1048, 1362-4962","note":"PMID: 15034147","shortTitle":"MUSCLE","journalAbbreviation":"Nucl. Acids Res.","language":"en","author":[{"family":"Edgar","given":"Robert C."}],"issued":{"date-parts":[["2004",1,3]]}}}],"schema":"https://github.com/citation-style-language/schema/raw/master/csl-citation.json"} </w:instrText>
      </w:r>
      <w:r>
        <w:fldChar w:fldCharType="separate"/>
      </w:r>
      <w:r w:rsidR="00954B3D" w:rsidRPr="00954B3D">
        <w:rPr>
          <w:rFonts w:cs="Times New Roman"/>
        </w:rPr>
        <w:t>(Edgar, 2004)</w:t>
      </w:r>
      <w:r>
        <w:fldChar w:fldCharType="end"/>
      </w:r>
      <w:r>
        <w:t xml:space="preserve">. Both neighbour joining (1000 bootstraps) and maximum likelihood trees were produced from the alignment using </w:t>
      </w:r>
      <w:proofErr w:type="spellStart"/>
      <w:r>
        <w:t>Topali</w:t>
      </w:r>
      <w:proofErr w:type="spellEnd"/>
      <w:r>
        <w:t xml:space="preserve"> (v.2.5, Biomathematics and Statistics Scotland) </w:t>
      </w:r>
      <w:r>
        <w:fldChar w:fldCharType="begin"/>
      </w:r>
      <w:r w:rsidR="00954B3D">
        <w:instrText xml:space="preserve"> ADDIN ZOTERO_ITEM CSL_CITATION {"citationID":"sts15gsj2","properties":{"formattedCitation":"{\\rtf (Milne {\\i{}et al.}, 2009)}","plainCitation":"(Milne et al., 2009)"},"citationItems":[{"id":446,"uris":["http://zotero.org/users/local/d1gJDEOw/items/MQH3HX77"],"uri":["http://zotero.org/users/local/d1gJDEOw/items/MQH3HX77"],"itemData":{"id":446,"type":"article-journal","title":"TOPALi v2: a rich graphical interface for evolutionary analyses of multiple alignments on HPC clusters and multi-core desktops","container-title":"Bioinformatics (Oxford, England)","page":"126-127","volume":"25","issue":"1","source":"PubMed","abstract":"TOPALi v2 simplifies and automates the use of several methods for the evolutionary analysis of multiple sequence alignments. Jobs are submitted from a Java graphical user interface as TOPALi web services to either run remotely on high-performance computing clusters or locally (with multiple cores supported). Methods available include model selection and phylogenetic tree estimation using the Bayesian inference and maximum likelihood (ML) approaches, in addition to recombination detection methods. The optimal substitution model can be selected for protein or nucleic acid (standard, or protein-coding using a codon position model) data using accurate statistical criteria derived from ML co-estimation of the tree and the substitution model. Phylogenetic software available includes PhyML, RAxML and MrBayes.\nAVAILABILITY: Freely downloadable from http://www.topali.org for Windows, Mac OS X, Linux and Solaris.","DOI":"10.1093/bioinformatics/btn575","ISSN":"1367-4811","note":"PMID: 18984599\nPMCID: PMC2638937","shortTitle":"TOPALi v2","journalAbbreviation":"Bioinformatics","language":"ENG","author":[{"family":"Milne","given":"Iain"},{"family":"Lindner","given":"Dominik"},{"family":"Bayer","given":"Micha"},{"family":"Husmeier","given":"Dirk"},{"family":"McGuire","given":"Gráinne"},{"family":"Marshall","given":"David F."},{"family":"Wright","given":"Frank"}],"issued":{"date-parts":[["2009",1,1]]}}}],"schema":"https://github.com/citation-style-language/schema/raw/master/csl-citation.json"} </w:instrText>
      </w:r>
      <w:r>
        <w:fldChar w:fldCharType="separate"/>
      </w:r>
      <w:r w:rsidR="00954B3D" w:rsidRPr="00954B3D">
        <w:rPr>
          <w:rFonts w:cs="Times New Roman"/>
          <w:szCs w:val="24"/>
        </w:rPr>
        <w:t xml:space="preserve">(Milne </w:t>
      </w:r>
      <w:r w:rsidR="00954B3D" w:rsidRPr="00954B3D">
        <w:rPr>
          <w:rFonts w:cs="Times New Roman"/>
          <w:i/>
          <w:iCs/>
          <w:szCs w:val="24"/>
        </w:rPr>
        <w:t>et al.</w:t>
      </w:r>
      <w:r w:rsidR="00954B3D" w:rsidRPr="00954B3D">
        <w:rPr>
          <w:rFonts w:cs="Times New Roman"/>
          <w:szCs w:val="24"/>
        </w:rPr>
        <w:t>, 2009)</w:t>
      </w:r>
      <w:r>
        <w:fldChar w:fldCharType="end"/>
      </w:r>
      <w:r>
        <w:t xml:space="preserve"> for both the 250bp sequence length matching the sequence length of the OTUs and for the full AML1 to AML2 820bp sequence length. This allowed identification of the virtual taxa which showed closest similarity for each OTU (</w:t>
      </w:r>
      <w:r>
        <w:fldChar w:fldCharType="begin"/>
      </w:r>
      <w:r>
        <w:instrText xml:space="preserve"> REF _Ref469560189 \h </w:instrText>
      </w:r>
      <w:r>
        <w:fldChar w:fldCharType="separate"/>
      </w:r>
      <w:r w:rsidR="00E0714D" w:rsidRPr="00F55C45">
        <w:t xml:space="preserve">Figure </w:t>
      </w:r>
      <w:r w:rsidR="00E0714D">
        <w:rPr>
          <w:noProof/>
        </w:rPr>
        <w:t>3</w:t>
      </w:r>
      <w:r w:rsidR="00E0714D">
        <w:t>.</w:t>
      </w:r>
      <w:r w:rsidR="00E0714D">
        <w:rPr>
          <w:noProof/>
        </w:rPr>
        <w:t>3</w:t>
      </w:r>
      <w:r>
        <w:fldChar w:fldCharType="end"/>
      </w:r>
      <w:r>
        <w:t xml:space="preserve"> to </w:t>
      </w:r>
      <w:r w:rsidRPr="00323A64">
        <w:fldChar w:fldCharType="begin"/>
      </w:r>
      <w:r w:rsidRPr="00323A64">
        <w:instrText xml:space="preserve"> REF _Ref469560195 \h  \* MERGEFORMAT </w:instrText>
      </w:r>
      <w:r w:rsidRPr="00323A64">
        <w:fldChar w:fldCharType="separate"/>
      </w:r>
      <w:r w:rsidR="00E0714D" w:rsidRPr="00F00459">
        <w:rPr>
          <w:sz w:val="20"/>
          <w:szCs w:val="20"/>
        </w:rPr>
        <w:t xml:space="preserve">Figure </w:t>
      </w:r>
      <w:r w:rsidR="00E0714D" w:rsidRPr="00F00459">
        <w:rPr>
          <w:noProof/>
          <w:sz w:val="20"/>
          <w:szCs w:val="20"/>
        </w:rPr>
        <w:t>3.11</w:t>
      </w:r>
      <w:r w:rsidRPr="00323A64">
        <w:fldChar w:fldCharType="end"/>
      </w:r>
      <w:r w:rsidRPr="00323A64">
        <w:t>)</w:t>
      </w:r>
      <w:r>
        <w:t>. Out of 106 OTUs, 79 OTUs were identified as AM fungal</w:t>
      </w:r>
      <w:r w:rsidRPr="00BA0AF2">
        <w:rPr>
          <w:rFonts w:cs="Times New Roman"/>
        </w:rPr>
        <w:t xml:space="preserve">. </w:t>
      </w:r>
      <w:r>
        <w:rPr>
          <w:rFonts w:cs="Times New Roman"/>
        </w:rPr>
        <w:t xml:space="preserve"> OTU identity</w:t>
      </w:r>
      <w:r w:rsidRPr="00BA0AF2">
        <w:rPr>
          <w:rFonts w:cs="Times New Roman"/>
        </w:rPr>
        <w:t xml:space="preserve"> was </w:t>
      </w:r>
      <w:r>
        <w:rPr>
          <w:rFonts w:cs="Times New Roman"/>
        </w:rPr>
        <w:t xml:space="preserve">then </w:t>
      </w:r>
      <w:r w:rsidRPr="00BA0AF2">
        <w:rPr>
          <w:rFonts w:cs="Times New Roman"/>
        </w:rPr>
        <w:t>che</w:t>
      </w:r>
      <w:r>
        <w:rPr>
          <w:rFonts w:cs="Times New Roman"/>
        </w:rPr>
        <w:t>cked by an independent BLAST search for each OTU sequence against the NCBI database (National Centre for Biotechnology Information., USA) and ag</w:t>
      </w:r>
      <w:r w:rsidR="00177540">
        <w:rPr>
          <w:rFonts w:cs="Times New Roman"/>
        </w:rPr>
        <w:t xml:space="preserve">ainst the </w:t>
      </w:r>
      <w:proofErr w:type="spellStart"/>
      <w:r w:rsidR="00177540">
        <w:rPr>
          <w:rFonts w:cs="Times New Roman"/>
        </w:rPr>
        <w:t>MaarjAM</w:t>
      </w:r>
      <w:proofErr w:type="spellEnd"/>
      <w:r w:rsidR="00177540">
        <w:rPr>
          <w:rFonts w:cs="Times New Roman"/>
        </w:rPr>
        <w:t xml:space="preserve"> database.</w:t>
      </w:r>
    </w:p>
    <w:p w:rsidR="00B46350" w:rsidRDefault="00B46350" w:rsidP="00B46350">
      <w:pPr>
        <w:pStyle w:val="Heading4"/>
        <w:numPr>
          <w:ilvl w:val="3"/>
          <w:numId w:val="1"/>
        </w:numPr>
      </w:pPr>
      <w:r>
        <w:lastRenderedPageBreak/>
        <w:t xml:space="preserve">Rarefaction </w:t>
      </w:r>
    </w:p>
    <w:p w:rsidR="00B46350" w:rsidRPr="007E4621" w:rsidRDefault="00B46350" w:rsidP="00B46350">
      <w:pPr>
        <w:spacing w:after="200"/>
        <w:rPr>
          <w:rFonts w:cs="Times New Roman"/>
        </w:rPr>
      </w:pPr>
      <w:r>
        <w:rPr>
          <w:rFonts w:cs="Times New Roman"/>
        </w:rPr>
        <w:t xml:space="preserve">Per sample read depth ranged from </w:t>
      </w:r>
      <w:r w:rsidR="00C048F1">
        <w:rPr>
          <w:rFonts w:cs="Times New Roman"/>
        </w:rPr>
        <w:t xml:space="preserve">72 to 16776 with a mean of 2592. </w:t>
      </w:r>
      <w:r>
        <w:rPr>
          <w:rFonts w:cs="Times New Roman"/>
        </w:rPr>
        <w:t>To check that the sequencing depth was suitable to detect all OTUs per habitat rarefaction curves were produced (</w:t>
      </w:r>
      <w:r>
        <w:rPr>
          <w:rFonts w:cs="Times New Roman"/>
        </w:rPr>
        <w:fldChar w:fldCharType="begin"/>
      </w:r>
      <w:r>
        <w:rPr>
          <w:rFonts w:cs="Times New Roman"/>
        </w:rPr>
        <w:instrText xml:space="preserve"> REF _Ref469560730 \h </w:instrText>
      </w:r>
      <w:r>
        <w:rPr>
          <w:rFonts w:cs="Times New Roman"/>
        </w:rPr>
      </w:r>
      <w:r>
        <w:rPr>
          <w:rFonts w:cs="Times New Roman"/>
        </w:rPr>
        <w:fldChar w:fldCharType="separate"/>
      </w:r>
      <w:r w:rsidR="00E0714D">
        <w:t xml:space="preserve">Figure </w:t>
      </w:r>
      <w:r w:rsidR="00E0714D">
        <w:rPr>
          <w:noProof/>
        </w:rPr>
        <w:t>3</w:t>
      </w:r>
      <w:r w:rsidR="00E0714D">
        <w:t>.</w:t>
      </w:r>
      <w:r w:rsidR="00E0714D">
        <w:rPr>
          <w:noProof/>
        </w:rPr>
        <w:t>2</w:t>
      </w:r>
      <w:r>
        <w:rPr>
          <w:rFonts w:cs="Times New Roman"/>
        </w:rPr>
        <w:fldChar w:fldCharType="end"/>
      </w:r>
      <w:r>
        <w:rPr>
          <w:rFonts w:cs="Times New Roman"/>
        </w:rPr>
        <w:t>). Rarefaction curves of OTU accumulation with sequencing depth show that sequencing depth of over 1,500 was sufficient to capture to majority of OTUs.</w:t>
      </w:r>
    </w:p>
    <w:p w:rsidR="00B46350" w:rsidRDefault="00B46350" w:rsidP="00B46350">
      <w:pPr>
        <w:pStyle w:val="Heading4"/>
        <w:numPr>
          <w:ilvl w:val="3"/>
          <w:numId w:val="1"/>
        </w:numPr>
      </w:pPr>
      <w:r>
        <w:t>Sequence data analysis (reverse sequence reads)</w:t>
      </w:r>
    </w:p>
    <w:p w:rsidR="00861E0B" w:rsidRDefault="00B46350" w:rsidP="00B46350">
      <w:pPr>
        <w:spacing w:after="200"/>
        <w:rPr>
          <w:rFonts w:cs="Times New Roman"/>
        </w:rPr>
        <w:sectPr w:rsidR="00861E0B" w:rsidSect="00B46350">
          <w:type w:val="oddPage"/>
          <w:pgSz w:w="11906" w:h="16838" w:code="9"/>
          <w:pgMar w:top="1134" w:right="1134" w:bottom="1134" w:left="2268" w:header="709" w:footer="709" w:gutter="0"/>
          <w:cols w:space="708"/>
          <w:docGrid w:linePitch="360"/>
        </w:sectPr>
      </w:pPr>
      <w:r>
        <w:rPr>
          <w:rFonts w:cs="Times New Roman"/>
        </w:rPr>
        <w:t xml:space="preserve">OTU richness and Simpson’s diversity was calculated as for the TRFLP data (see </w:t>
      </w:r>
      <w:r>
        <w:rPr>
          <w:rFonts w:cs="Times New Roman"/>
        </w:rPr>
        <w:fldChar w:fldCharType="begin"/>
      </w:r>
      <w:r>
        <w:rPr>
          <w:rFonts w:cs="Times New Roman"/>
        </w:rPr>
        <w:instrText xml:space="preserve"> REF _Ref465244873 \n </w:instrText>
      </w:r>
      <w:r>
        <w:rPr>
          <w:rFonts w:cs="Times New Roman"/>
        </w:rPr>
        <w:fldChar w:fldCharType="separate"/>
      </w:r>
      <w:r w:rsidR="00E0714D">
        <w:rPr>
          <w:rFonts w:cs="Times New Roman"/>
        </w:rPr>
        <w:t>3.3.6.1</w:t>
      </w:r>
      <w:r>
        <w:rPr>
          <w:rFonts w:cs="Times New Roman"/>
        </w:rPr>
        <w:fldChar w:fldCharType="end"/>
      </w:r>
      <w:r>
        <w:rPr>
          <w:rFonts w:cs="Times New Roman"/>
        </w:rPr>
        <w:t>) using OTU abundance data rarefied to 1500 sequences per sample. To check for effects of rarefaction OTU richness and Simpson’s diversity was also analys</w:t>
      </w:r>
      <w:r w:rsidR="00C048F1">
        <w:rPr>
          <w:rFonts w:cs="Times New Roman"/>
        </w:rPr>
        <w:t>ed using the none-rarefied data</w:t>
      </w:r>
      <w:r>
        <w:rPr>
          <w:rFonts w:cs="Times New Roman"/>
        </w:rPr>
        <w:t xml:space="preserve"> which showed the same patterns of significance. Community composition analysis of sequence data was performed using the same analysis methods as detailed for the TRFLP da</w:t>
      </w:r>
      <w:r w:rsidR="00177540">
        <w:rPr>
          <w:rFonts w:cs="Times New Roman"/>
        </w:rPr>
        <w:t>ta in section (</w:t>
      </w:r>
      <w:r w:rsidR="00177540">
        <w:rPr>
          <w:rFonts w:cs="Times New Roman"/>
        </w:rPr>
        <w:fldChar w:fldCharType="begin"/>
      </w:r>
      <w:r w:rsidR="00177540">
        <w:rPr>
          <w:rFonts w:cs="Times New Roman"/>
        </w:rPr>
        <w:instrText xml:space="preserve"> REF _Ref469934163 \r \h </w:instrText>
      </w:r>
      <w:r w:rsidR="00177540">
        <w:rPr>
          <w:rFonts w:cs="Times New Roman"/>
        </w:rPr>
      </w:r>
      <w:r w:rsidR="00177540">
        <w:rPr>
          <w:rFonts w:cs="Times New Roman"/>
        </w:rPr>
        <w:fldChar w:fldCharType="separate"/>
      </w:r>
      <w:r w:rsidR="00E0714D">
        <w:rPr>
          <w:rFonts w:cs="Times New Roman"/>
        </w:rPr>
        <w:t>3.3.6</w:t>
      </w:r>
      <w:r w:rsidR="00177540">
        <w:rPr>
          <w:rFonts w:cs="Times New Roman"/>
        </w:rPr>
        <w:fldChar w:fldCharType="end"/>
      </w:r>
      <w:r>
        <w:rPr>
          <w:rFonts w:cs="Times New Roman"/>
        </w:rPr>
        <w:t xml:space="preserve">) but using OTU relative abundance per sample instead of TRF relative abundance. For community composition analysis OTU relative abundance per sample was calculated from the proportion of sequences identified as each OTU out of the total number of sequences per </w:t>
      </w:r>
      <w:r w:rsidR="00861E0B">
        <w:rPr>
          <w:rFonts w:cs="Times New Roman"/>
        </w:rPr>
        <w:t>sample using non-rarefied data.</w:t>
      </w:r>
    </w:p>
    <w:p w:rsidR="00B46350" w:rsidRDefault="00B46350" w:rsidP="00B46350">
      <w:r>
        <w:rPr>
          <w:noProof/>
          <w:lang w:eastAsia="en-GB"/>
        </w:rPr>
        <w:lastRenderedPageBreak/>
        <w:drawing>
          <wp:inline distT="0" distB="0" distL="0" distR="0" wp14:anchorId="2B85B2D6" wp14:editId="432A8EFD">
            <wp:extent cx="9163050" cy="4795865"/>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arefaction (1.2).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201410" cy="4815942"/>
                    </a:xfrm>
                    <a:prstGeom prst="rect">
                      <a:avLst/>
                    </a:prstGeom>
                  </pic:spPr>
                </pic:pic>
              </a:graphicData>
            </a:graphic>
          </wp:inline>
        </w:drawing>
      </w:r>
    </w:p>
    <w:p w:rsidR="00B46350" w:rsidRDefault="00B46350" w:rsidP="00861E0B">
      <w:pPr>
        <w:pStyle w:val="Caption"/>
      </w:pPr>
      <w:bookmarkStart w:id="278" w:name="_Ref469560730"/>
      <w:bookmarkStart w:id="279" w:name="_Ref467431664"/>
      <w:bookmarkStart w:id="280" w:name="_Toc469982767"/>
      <w:r>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2</w:t>
      </w:r>
      <w:r w:rsidR="00C44EF5">
        <w:rPr>
          <w:noProof/>
        </w:rPr>
        <w:fldChar w:fldCharType="end"/>
      </w:r>
      <w:bookmarkEnd w:id="278"/>
      <w:r w:rsidRPr="00F55C45">
        <w:t xml:space="preserve"> Alpha rarefaction measurements of OTU number with sampling depth for reverse read sequences.  Individual lines show rarefaction curves for each of the 19 sites sampled per habitat type.</w:t>
      </w:r>
      <w:bookmarkEnd w:id="279"/>
      <w:bookmarkEnd w:id="280"/>
      <w:r w:rsidRPr="00F55C45">
        <w:t xml:space="preserve"> </w:t>
      </w:r>
    </w:p>
    <w:p w:rsidR="00861E0B" w:rsidRDefault="00861E0B" w:rsidP="00861E0B">
      <w:pPr>
        <w:pStyle w:val="Caption"/>
        <w:sectPr w:rsidR="00861E0B" w:rsidSect="00EF1152">
          <w:pgSz w:w="16838" w:h="11906" w:orient="landscape" w:code="9"/>
          <w:pgMar w:top="2268" w:right="1134" w:bottom="1134" w:left="1134" w:header="709" w:footer="709" w:gutter="0"/>
          <w:cols w:space="708"/>
          <w:docGrid w:linePitch="360"/>
        </w:sectPr>
      </w:pPr>
    </w:p>
    <w:p w:rsidR="00B46350" w:rsidRDefault="00B46350" w:rsidP="00B46350">
      <w:pPr>
        <w:rPr>
          <w:noProof/>
          <w:lang w:eastAsia="en-GB"/>
        </w:rPr>
      </w:pPr>
      <w:r>
        <w:rPr>
          <w:noProof/>
          <w:lang w:eastAsia="en-GB"/>
        </w:rPr>
        <w:lastRenderedPageBreak/>
        <w:drawing>
          <wp:inline distT="0" distB="0" distL="0" distR="0" wp14:anchorId="52BC522E" wp14:editId="1DA9997C">
            <wp:extent cx="4580251" cy="720000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nal_skeleton_completefigblueB.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80251" cy="7200000"/>
                    </a:xfrm>
                    <a:prstGeom prst="rect">
                      <a:avLst/>
                    </a:prstGeom>
                  </pic:spPr>
                </pic:pic>
              </a:graphicData>
            </a:graphic>
          </wp:inline>
        </w:drawing>
      </w:r>
    </w:p>
    <w:p w:rsidR="00B46350" w:rsidRPr="00F55C45" w:rsidRDefault="00B46350" w:rsidP="003C6D28">
      <w:pPr>
        <w:pStyle w:val="Caption"/>
        <w:rPr>
          <w:noProof/>
          <w:lang w:eastAsia="en-GB"/>
        </w:rPr>
      </w:pPr>
      <w:bookmarkStart w:id="281" w:name="_Ref469560189"/>
      <w:bookmarkStart w:id="282" w:name="_Toc469982768"/>
      <w:r w:rsidRPr="00F55C45">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3</w:t>
      </w:r>
      <w:r w:rsidR="00C44EF5">
        <w:rPr>
          <w:noProof/>
        </w:rPr>
        <w:fldChar w:fldCharType="end"/>
      </w:r>
      <w:bookmarkEnd w:id="281"/>
      <w:r w:rsidRPr="00F55C45">
        <w:t xml:space="preserve"> Neighbour joining tree showing the phylogenetic relationship of OTUs identified by this study to all </w:t>
      </w:r>
      <w:proofErr w:type="spellStart"/>
      <w:r w:rsidRPr="00F55C45">
        <w:t>Glomeromycotan</w:t>
      </w:r>
      <w:proofErr w:type="spellEnd"/>
      <w:r w:rsidRPr="00F55C45">
        <w:t xml:space="preserve"> virtual taxa type sequences available from the </w:t>
      </w:r>
      <w:proofErr w:type="spellStart"/>
      <w:r w:rsidRPr="00F55C45">
        <w:t>MaarjAM</w:t>
      </w:r>
      <w:proofErr w:type="spellEnd"/>
      <w:r w:rsidRPr="00F55C45">
        <w:t xml:space="preserve"> database </w:t>
      </w:r>
      <w:r w:rsidRPr="00F55C45">
        <w:fldChar w:fldCharType="begin"/>
      </w:r>
      <w:r w:rsidR="00954B3D">
        <w:instrText xml:space="preserve"> ADDIN ZOTERO_ITEM CSL_CITATION {"citationID":"11a3v8aqgn","properties":{"formattedCitation":"{\\rtf (Opik {\\i{}et al.}, 2010)}","plainCitation":"(Opik et al., 2010)"},"citationItems":[{"id":276,"uris":["http://zotero.org/users/local/d1gJDEOw/items/5UKCWER4"],"uri":["http://zotero.org/users/local/d1gJDEOw/items/5UKCWER4"],"itemData":{"id":276,"type":"article-journal","title":"The online database MaarjAM reveals global and ecosystemic distribution patterns in arbuscular mycorrhizal fungi (Glomeromycota)","container-title":"The New Phytologist","page":"223-241","volume":"188","issue":"1","source":"PubMed","abstract":"• Here, we describe a new database, MaarjAM, that summarizes publicly available Glomeromycota DNA sequence data and associated metadata. The goal of the database is to facilitate the description of distribution and richness patterns in this group of fungi. • Small subunit (SSU) rRNA gene sequences and available metadata were collated from all suitable taxonomic and ecological publications. These data have been made accessible in an open-access database (http://maarjam.botany.ut.ee). • Two hundred and eighty-two SSU rRNA gene virtual taxa (VT) were described based on a comprehensive phylogenetic analysis of all collated Glomeromycota sequences. Two-thirds of VT showed limited distribution ranges, occurring in single current or historic continents or climatic zones. Those VT that associated with a taxonomically wide range of host plants also tended to have a wide geographical distribution, and vice versa. No relationships were detected between VT richness and latitude, elevation or vascular plant richness. • The collated Glomeromycota molecular diversity data suggest limited distribution ranges in most Glomeromycota taxa and a positive relationship between the width of a taxon's geographical range and its host taxonomic range. Inconsistencies between molecular and traditional taxonomy of Glomeromycota, and shortage of data from major continents and ecosystems, are highlighted.","DOI":"10.1111/j.1469-8137.2010.03334.x","ISSN":"1469-8137","note":"PMID: 20561207","journalAbbreviation":"New Phytol.","language":"eng","author":[{"family":"Opik","given":"M."},{"family":"Vanatoa","given":"A."},{"family":"Vanatoa","given":"E."},{"family":"Moora","given":"M."},{"family":"Davison","given":"J."},{"family":"Kalwij","given":"J. M."},{"family":"Reier","given":"U."},{"family":"Zobel","given":"M."}],"issued":{"date-parts":[["2010",10]]}}}],"schema":"https://github.com/citation-style-language/schema/raw/master/csl-citation.json"} </w:instrText>
      </w:r>
      <w:r w:rsidRPr="00F55C45">
        <w:fldChar w:fldCharType="separate"/>
      </w:r>
      <w:r w:rsidR="00954B3D" w:rsidRPr="00954B3D">
        <w:rPr>
          <w:rFonts w:cs="Times New Roman"/>
          <w:szCs w:val="24"/>
        </w:rPr>
        <w:t>(</w:t>
      </w:r>
      <w:proofErr w:type="spellStart"/>
      <w:r w:rsidR="00954B3D" w:rsidRPr="00954B3D">
        <w:rPr>
          <w:rFonts w:cs="Times New Roman"/>
          <w:szCs w:val="24"/>
        </w:rPr>
        <w:t>Opik</w:t>
      </w:r>
      <w:proofErr w:type="spellEnd"/>
      <w:r w:rsidR="00954B3D" w:rsidRPr="00954B3D">
        <w:rPr>
          <w:rFonts w:cs="Times New Roman"/>
          <w:szCs w:val="24"/>
        </w:rPr>
        <w:t xml:space="preserve"> </w:t>
      </w:r>
      <w:r w:rsidR="00954B3D" w:rsidRPr="00954B3D">
        <w:rPr>
          <w:rFonts w:cs="Times New Roman"/>
          <w:i/>
          <w:iCs w:val="0"/>
          <w:szCs w:val="24"/>
        </w:rPr>
        <w:t>et al.</w:t>
      </w:r>
      <w:r w:rsidR="00954B3D" w:rsidRPr="00954B3D">
        <w:rPr>
          <w:rFonts w:cs="Times New Roman"/>
          <w:szCs w:val="24"/>
        </w:rPr>
        <w:t>, 2010)</w:t>
      </w:r>
      <w:r w:rsidRPr="00F55C45">
        <w:fldChar w:fldCharType="end"/>
      </w:r>
      <w:r w:rsidRPr="00F55C45">
        <w:t xml:space="preserve">. OTU positions are indicated by coloured circles. Colour codes represent OTU abundance and are as follows; red: &gt;1% of total sequences; orange: &lt;1% of total sequences. Fungal genera are shaded according to classification of VTs within the </w:t>
      </w:r>
      <w:proofErr w:type="spellStart"/>
      <w:r w:rsidRPr="00F55C45">
        <w:t>MaarjAM</w:t>
      </w:r>
      <w:proofErr w:type="spellEnd"/>
      <w:r w:rsidRPr="00F55C45">
        <w:t xml:space="preserve"> database.</w:t>
      </w:r>
      <w:bookmarkEnd w:id="282"/>
    </w:p>
    <w:p w:rsidR="00B46350" w:rsidRDefault="00B46350" w:rsidP="00B46350">
      <w:pPr>
        <w:spacing w:line="240" w:lineRule="auto"/>
      </w:pPr>
      <w:r>
        <w:rPr>
          <w:noProof/>
          <w:lang w:eastAsia="en-GB"/>
        </w:rPr>
        <w:lastRenderedPageBreak/>
        <w:drawing>
          <wp:inline distT="0" distB="0" distL="0" distR="0" wp14:anchorId="0E71FDAC" wp14:editId="461D57DF">
            <wp:extent cx="5162631" cy="792000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ree1_glom1_otu1_otu6.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62631" cy="7920000"/>
                    </a:xfrm>
                    <a:prstGeom prst="rect">
                      <a:avLst/>
                    </a:prstGeom>
                  </pic:spPr>
                </pic:pic>
              </a:graphicData>
            </a:graphic>
          </wp:inline>
        </w:drawing>
      </w:r>
    </w:p>
    <w:p w:rsidR="00B46350" w:rsidRPr="00F55C45" w:rsidRDefault="00B46350" w:rsidP="003C6D28">
      <w:pPr>
        <w:pStyle w:val="Caption"/>
      </w:pPr>
      <w:bookmarkStart w:id="283" w:name="_Toc469982769"/>
      <w:r w:rsidRPr="00F55C45">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w:instrText>
      </w:r>
      <w:r w:rsidR="00C44EF5">
        <w:instrText xml:space="preserve">\* ARABIC \s 1 </w:instrText>
      </w:r>
      <w:r w:rsidR="00C44EF5">
        <w:fldChar w:fldCharType="separate"/>
      </w:r>
      <w:r w:rsidR="00E0714D">
        <w:rPr>
          <w:noProof/>
        </w:rPr>
        <w:t>4</w:t>
      </w:r>
      <w:r w:rsidR="00C44EF5">
        <w:rPr>
          <w:noProof/>
        </w:rPr>
        <w:fldChar w:fldCharType="end"/>
      </w:r>
      <w:r w:rsidRPr="00F55C45">
        <w:t xml:space="preserve"> Neighbour joining tree showing the </w:t>
      </w:r>
      <w:r w:rsidRPr="003C6D28">
        <w:t>phylogenetic</w:t>
      </w:r>
      <w:r w:rsidRPr="00F55C45">
        <w:t xml:space="preserve"> similarity of OTU1, 6 and 24 to Glomus virtual taxa type sequences from </w:t>
      </w:r>
      <w:proofErr w:type="spellStart"/>
      <w:r w:rsidRPr="00F55C45">
        <w:t>MaarjAM</w:t>
      </w:r>
      <w:proofErr w:type="spellEnd"/>
      <w:r w:rsidRPr="00F55C45">
        <w:t xml:space="preserve"> database </w:t>
      </w:r>
      <w:r w:rsidRPr="00F55C45">
        <w:fldChar w:fldCharType="begin"/>
      </w:r>
      <w:r w:rsidR="00954B3D">
        <w:instrText xml:space="preserve"> ADDIN ZOTERO_ITEM CSL_CITATION {"citationID":"1ivjh6omu1","properties":{"formattedCitation":"{\\rtf (Opik {\\i{}et al.}, 2010)}","plainCitation":"(Opik et al., 2010)"},"citationItems":[{"id":276,"uris":["http://zotero.org/users/local/d1gJDEOw/items/5UKCWER4"],"uri":["http://zotero.org/users/local/d1gJDEOw/items/5UKCWER4"],"itemData":{"id":276,"type":"article-journal","title":"The online database MaarjAM reveals global and ecosystemic distribution patterns in arbuscular mycorrhizal fungi (Glomeromycota)","container-title":"The New Phytologist","page":"223-241","volume":"188","issue":"1","source":"PubMed","abstract":"• Here, we describe a new database, MaarjAM, that summarizes publicly available Glomeromycota DNA sequence data and associated metadata. The goal of the database is to facilitate the description of distribution and richness patterns in this group of fungi. • Small subunit (SSU) rRNA gene sequences and available metadata were collated from all suitable taxonomic and ecological publications. These data have been made accessible in an open-access database (http://maarjam.botany.ut.ee). • Two hundred and eighty-two SSU rRNA gene virtual taxa (VT) were described based on a comprehensive phylogenetic analysis of all collated Glomeromycota sequences. Two-thirds of VT showed limited distribution ranges, occurring in single current or historic continents or climatic zones. Those VT that associated with a taxonomically wide range of host plants also tended to have a wide geographical distribution, and vice versa. No relationships were detected between VT richness and latitude, elevation or vascular plant richness. • The collated Glomeromycota molecular diversity data suggest limited distribution ranges in most Glomeromycota taxa and a positive relationship between the width of a taxon's geographical range and its host taxonomic range. Inconsistencies between molecular and traditional taxonomy of Glomeromycota, and shortage of data from major continents and ecosystems, are highlighted.","DOI":"10.1111/j.1469-8137.2010.03334.x","ISSN":"1469-8137","note":"PMID: 20561207","journalAbbreviation":"New Phytol.","language":"eng","author":[{"family":"Opik","given":"M."},{"family":"Vanatoa","given":"A."},{"family":"Vanatoa","given":"E."},{"family":"Moora","given":"M."},{"family":"Davison","given":"J."},{"family":"Kalwij","given":"J. M."},{"family":"Reier","given":"U."},{"family":"Zobel","given":"M."}],"issued":{"date-parts":[["2010",10]]}}}],"schema":"https://github.com/citation-style-language/schema/raw/master/csl-citation.json"} </w:instrText>
      </w:r>
      <w:r w:rsidRPr="00F55C45">
        <w:fldChar w:fldCharType="separate"/>
      </w:r>
      <w:r w:rsidR="00954B3D" w:rsidRPr="00954B3D">
        <w:rPr>
          <w:rFonts w:cs="Times New Roman"/>
          <w:szCs w:val="24"/>
        </w:rPr>
        <w:t>(</w:t>
      </w:r>
      <w:proofErr w:type="spellStart"/>
      <w:r w:rsidR="00954B3D" w:rsidRPr="00954B3D">
        <w:rPr>
          <w:rFonts w:cs="Times New Roman"/>
          <w:szCs w:val="24"/>
        </w:rPr>
        <w:t>Opik</w:t>
      </w:r>
      <w:proofErr w:type="spellEnd"/>
      <w:r w:rsidR="00954B3D" w:rsidRPr="00954B3D">
        <w:rPr>
          <w:rFonts w:cs="Times New Roman"/>
          <w:szCs w:val="24"/>
        </w:rPr>
        <w:t xml:space="preserve"> </w:t>
      </w:r>
      <w:r w:rsidR="00954B3D" w:rsidRPr="00954B3D">
        <w:rPr>
          <w:rFonts w:cs="Times New Roman"/>
          <w:i/>
          <w:iCs w:val="0"/>
          <w:szCs w:val="24"/>
        </w:rPr>
        <w:t>et al.</w:t>
      </w:r>
      <w:r w:rsidR="00954B3D" w:rsidRPr="00954B3D">
        <w:rPr>
          <w:rFonts w:cs="Times New Roman"/>
          <w:szCs w:val="24"/>
        </w:rPr>
        <w:t>, 2010)</w:t>
      </w:r>
      <w:r w:rsidRPr="00F55C45">
        <w:fldChar w:fldCharType="end"/>
      </w:r>
      <w:r w:rsidRPr="00F55C45">
        <w:t xml:space="preserve">. NCBI </w:t>
      </w:r>
      <w:proofErr w:type="spellStart"/>
      <w:r w:rsidRPr="00F55C45">
        <w:t>Genbank</w:t>
      </w:r>
      <w:proofErr w:type="spellEnd"/>
      <w:r w:rsidRPr="00F55C45">
        <w:t xml:space="preserve"> accession numbers and </w:t>
      </w:r>
      <w:proofErr w:type="spellStart"/>
      <w:r w:rsidRPr="00F55C45">
        <w:t>MaarjAM</w:t>
      </w:r>
      <w:proofErr w:type="spellEnd"/>
      <w:r w:rsidRPr="00F55C45">
        <w:t xml:space="preserve"> VT numbers are labelled for each type sequence. OTUs labelled according to relative OTU abundance within total sequences numbers; red: &gt;1% totals sequences; orange: &lt;1% total sequences. Blue shaded VT’s indicate Glomus outgroups. Bootstrap values &gt;70% are shown.</w:t>
      </w:r>
      <w:bookmarkEnd w:id="283"/>
    </w:p>
    <w:p w:rsidR="00B46350" w:rsidRPr="00F55C45" w:rsidRDefault="00B46350" w:rsidP="00B46350">
      <w:pPr>
        <w:tabs>
          <w:tab w:val="left" w:pos="1290"/>
        </w:tabs>
        <w:spacing w:line="240" w:lineRule="auto"/>
        <w:rPr>
          <w:sz w:val="20"/>
          <w:szCs w:val="20"/>
        </w:rPr>
      </w:pPr>
    </w:p>
    <w:p w:rsidR="00B46350" w:rsidRDefault="00B46350" w:rsidP="00B46350">
      <w:pPr>
        <w:spacing w:line="240" w:lineRule="auto"/>
      </w:pPr>
      <w:r>
        <w:rPr>
          <w:noProof/>
          <w:lang w:eastAsia="en-GB"/>
        </w:rPr>
        <w:drawing>
          <wp:inline distT="0" distB="0" distL="0" distR="0" wp14:anchorId="6EC0DC2D" wp14:editId="77CBA633">
            <wp:extent cx="4987683" cy="7200000"/>
            <wp:effectExtent l="0" t="0" r="381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ree2_glom2_otu7_otu12.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987683" cy="7200000"/>
                    </a:xfrm>
                    <a:prstGeom prst="rect">
                      <a:avLst/>
                    </a:prstGeom>
                  </pic:spPr>
                </pic:pic>
              </a:graphicData>
            </a:graphic>
          </wp:inline>
        </w:drawing>
      </w:r>
    </w:p>
    <w:p w:rsidR="00B46350" w:rsidRDefault="00B46350" w:rsidP="00B46350">
      <w:pPr>
        <w:spacing w:line="240" w:lineRule="auto"/>
      </w:pPr>
    </w:p>
    <w:p w:rsidR="00B46350" w:rsidRPr="00F55C45" w:rsidRDefault="00B46350" w:rsidP="003C6D28">
      <w:pPr>
        <w:pStyle w:val="Caption"/>
      </w:pPr>
      <w:bookmarkStart w:id="284" w:name="_Toc469982770"/>
      <w:r w:rsidRPr="00F55C45">
        <w:t xml:space="preserve">Figure </w:t>
      </w:r>
      <w:r w:rsidR="00C44EF5">
        <w:fldChar w:fldCharType="begin"/>
      </w:r>
      <w:r w:rsidR="00C44EF5">
        <w:instrText xml:space="preserve"> STYLE</w:instrText>
      </w:r>
      <w:r w:rsidR="00C44EF5">
        <w:instrText xml:space="preserv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5</w:t>
      </w:r>
      <w:r w:rsidR="00C44EF5">
        <w:rPr>
          <w:noProof/>
        </w:rPr>
        <w:fldChar w:fldCharType="end"/>
      </w:r>
      <w:r w:rsidRPr="00F55C45">
        <w:t xml:space="preserve"> Neighbour joining tree showing the phylogenetic similarity of OTU 7 to Glomus virtual taxa type sequences from </w:t>
      </w:r>
      <w:proofErr w:type="spellStart"/>
      <w:r w:rsidRPr="00F55C45">
        <w:t>MaarjAM</w:t>
      </w:r>
      <w:proofErr w:type="spellEnd"/>
      <w:r w:rsidRPr="00F55C45">
        <w:t xml:space="preserve"> database </w:t>
      </w:r>
      <w:r w:rsidRPr="00F55C45">
        <w:fldChar w:fldCharType="begin"/>
      </w:r>
      <w:r w:rsidR="00954B3D">
        <w:instrText xml:space="preserve"> ADDIN ZOTERO_ITEM CSL_CITATION {"citationID":"Z20kyIEL","properties":{"formattedCitation":"{\\rtf (Opik {\\i{}et al.}, 2010)}","plainCitation":"(Opik et al., 2010)"},"citationItems":[{"id":276,"uris":["http://zotero.org/users/local/d1gJDEOw/items/5UKCWER4"],"uri":["http://zotero.org/users/local/d1gJDEOw/items/5UKCWER4"],"itemData":{"id":276,"type":"article-journal","title":"The online database MaarjAM reveals global and ecosystemic distribution patterns in arbuscular mycorrhizal fungi (Glomeromycota)","container-title":"The New Phytologist","page":"223-241","volume":"188","issue":"1","source":"PubMed","abstract":"• Here, we describe a new database, MaarjAM, that summarizes publicly available Glomeromycota DNA sequence data and associated metadata. The goal of the database is to facilitate the description of distribution and richness patterns in this group of fungi. • Small subunit (SSU) rRNA gene sequences and available metadata were collated from all suitable taxonomic and ecological publications. These data have been made accessible in an open-access database (http://maarjam.botany.ut.ee). • Two hundred and eighty-two SSU rRNA gene virtual taxa (VT) were described based on a comprehensive phylogenetic analysis of all collated Glomeromycota sequences. Two-thirds of VT showed limited distribution ranges, occurring in single current or historic continents or climatic zones. Those VT that associated with a taxonomically wide range of host plants also tended to have a wide geographical distribution, and vice versa. No relationships were detected between VT richness and latitude, elevation or vascular plant richness. • The collated Glomeromycota molecular diversity data suggest limited distribution ranges in most Glomeromycota taxa and a positive relationship between the width of a taxon's geographical range and its host taxonomic range. Inconsistencies between molecular and traditional taxonomy of Glomeromycota, and shortage of data from major continents and ecosystems, are highlighted.","DOI":"10.1111/j.1469-8137.2010.03334.x","ISSN":"1469-8137","note":"PMID: 20561207","journalAbbreviation":"New Phytol.","language":"eng","author":[{"family":"Opik","given":"M."},{"family":"Vanatoa","given":"A."},{"family":"Vanatoa","given":"E."},{"family":"Moora","given":"M."},{"family":"Davison","given":"J."},{"family":"Kalwij","given":"J. M."},{"family":"Reier","given":"U."},{"family":"Zobel","given":"M."}],"issued":{"date-parts":[["2010",10]]}}}],"schema":"https://github.com/citation-style-language/schema/raw/master/csl-citation.json"} </w:instrText>
      </w:r>
      <w:r w:rsidRPr="00F55C45">
        <w:fldChar w:fldCharType="separate"/>
      </w:r>
      <w:r w:rsidR="00954B3D" w:rsidRPr="00954B3D">
        <w:rPr>
          <w:rFonts w:cs="Times New Roman"/>
          <w:szCs w:val="24"/>
        </w:rPr>
        <w:t>(</w:t>
      </w:r>
      <w:proofErr w:type="spellStart"/>
      <w:r w:rsidR="00954B3D" w:rsidRPr="00954B3D">
        <w:rPr>
          <w:rFonts w:cs="Times New Roman"/>
          <w:szCs w:val="24"/>
        </w:rPr>
        <w:t>Opik</w:t>
      </w:r>
      <w:proofErr w:type="spellEnd"/>
      <w:r w:rsidR="00954B3D" w:rsidRPr="00954B3D">
        <w:rPr>
          <w:rFonts w:cs="Times New Roman"/>
          <w:szCs w:val="24"/>
        </w:rPr>
        <w:t xml:space="preserve"> </w:t>
      </w:r>
      <w:r w:rsidR="00954B3D" w:rsidRPr="00954B3D">
        <w:rPr>
          <w:rFonts w:cs="Times New Roman"/>
          <w:i/>
          <w:iCs w:val="0"/>
          <w:szCs w:val="24"/>
        </w:rPr>
        <w:t>et al.</w:t>
      </w:r>
      <w:r w:rsidR="00954B3D" w:rsidRPr="00954B3D">
        <w:rPr>
          <w:rFonts w:cs="Times New Roman"/>
          <w:szCs w:val="24"/>
        </w:rPr>
        <w:t>, 2010)</w:t>
      </w:r>
      <w:r w:rsidRPr="00F55C45">
        <w:fldChar w:fldCharType="end"/>
      </w:r>
      <w:r w:rsidRPr="00F55C45">
        <w:t xml:space="preserve">. NCBI </w:t>
      </w:r>
      <w:proofErr w:type="spellStart"/>
      <w:r w:rsidRPr="00F55C45">
        <w:t>Genbank</w:t>
      </w:r>
      <w:proofErr w:type="spellEnd"/>
      <w:r w:rsidRPr="00F55C45">
        <w:t xml:space="preserve"> accession numbers and </w:t>
      </w:r>
      <w:proofErr w:type="spellStart"/>
      <w:r w:rsidRPr="00F55C45">
        <w:t>MaarjAM</w:t>
      </w:r>
      <w:proofErr w:type="spellEnd"/>
      <w:r w:rsidRPr="00F55C45">
        <w:t xml:space="preserve"> VT </w:t>
      </w:r>
      <w:r w:rsidRPr="003C6D28">
        <w:t>numbers</w:t>
      </w:r>
      <w:r w:rsidRPr="00F55C45">
        <w:t xml:space="preserve"> are labelled for each type sequence. OTUs labelled according to relative OTU abundance within total sequences numbers; red: &gt;1% totals sequences; orange: &lt;1% total sequence, pink: &lt;1% total sequences but significantly different relative abundance shown between habitat types. Blue shaded VT’s indicate Glomus outgroups. Bootstrap values &gt;70% are shown.</w:t>
      </w:r>
      <w:bookmarkEnd w:id="284"/>
    </w:p>
    <w:p w:rsidR="00B46350" w:rsidRDefault="00B46350" w:rsidP="00B46350">
      <w:pPr>
        <w:spacing w:line="240" w:lineRule="auto"/>
      </w:pPr>
      <w:r>
        <w:rPr>
          <w:noProof/>
          <w:lang w:eastAsia="en-GB"/>
        </w:rPr>
        <w:lastRenderedPageBreak/>
        <w:drawing>
          <wp:inline distT="0" distB="0" distL="0" distR="0" wp14:anchorId="5AB3FC78" wp14:editId="45E970DE">
            <wp:extent cx="4822684" cy="7200000"/>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ree3_glom3_otu5_otu3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22684" cy="7200000"/>
                    </a:xfrm>
                    <a:prstGeom prst="rect">
                      <a:avLst/>
                    </a:prstGeom>
                  </pic:spPr>
                </pic:pic>
              </a:graphicData>
            </a:graphic>
          </wp:inline>
        </w:drawing>
      </w:r>
    </w:p>
    <w:p w:rsidR="00B46350" w:rsidRDefault="00B46350" w:rsidP="00B46350">
      <w:pPr>
        <w:pStyle w:val="Caption"/>
      </w:pPr>
    </w:p>
    <w:p w:rsidR="00B46350" w:rsidRPr="009154FF" w:rsidRDefault="00B46350" w:rsidP="003C6D28">
      <w:pPr>
        <w:pStyle w:val="Caption"/>
      </w:pPr>
      <w:bookmarkStart w:id="285" w:name="_Toc469982771"/>
      <w:r w:rsidRPr="00F55C45">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6</w:t>
      </w:r>
      <w:r w:rsidR="00C44EF5">
        <w:rPr>
          <w:noProof/>
        </w:rPr>
        <w:fldChar w:fldCharType="end"/>
      </w:r>
      <w:r w:rsidRPr="00F55C45">
        <w:t xml:space="preserve"> Neighbour joining tree showing the phylogenetic similarity of OTU 5 and 34 to Glomus virtual taxa type sequences from </w:t>
      </w:r>
      <w:proofErr w:type="spellStart"/>
      <w:r w:rsidRPr="00F55C45">
        <w:t>MaarjAM</w:t>
      </w:r>
      <w:proofErr w:type="spellEnd"/>
      <w:r w:rsidRPr="00F55C45">
        <w:t xml:space="preserve"> </w:t>
      </w:r>
      <w:r w:rsidRPr="003C6D28">
        <w:t>database</w:t>
      </w:r>
      <w:r w:rsidRPr="00F55C45">
        <w:t xml:space="preserve"> </w:t>
      </w:r>
      <w:r w:rsidRPr="00F55C45">
        <w:fldChar w:fldCharType="begin"/>
      </w:r>
      <w:r w:rsidR="00954B3D">
        <w:instrText xml:space="preserve"> ADDIN ZOTERO_ITEM CSL_CITATION {"citationID":"QRDOohEx","properties":{"formattedCitation":"{\\rtf (Opik {\\i{}et al.}, 2010)}","plainCitation":"(Opik et al., 2010)"},"citationItems":[{"id":276,"uris":["http://zotero.org/users/local/d1gJDEOw/items/5UKCWER4"],"uri":["http://zotero.org/users/local/d1gJDEOw/items/5UKCWER4"],"itemData":{"id":276,"type":"article-journal","title":"The online database MaarjAM reveals global and ecosystemic distribution patterns in arbuscular mycorrhizal fungi (Glomeromycota)","container-title":"The New Phytologist","page":"223-241","volume":"188","issue":"1","source":"PubMed","abstract":"• Here, we describe a new database, MaarjAM, that summarizes publicly available Glomeromycota DNA sequence data and associated metadata. The goal of the database is to facilitate the description of distribution and richness patterns in this group of fungi. • Small subunit (SSU) rRNA gene sequences and available metadata were collated from all suitable taxonomic and ecological publications. These data have been made accessible in an open-access database (http://maarjam.botany.ut.ee). • Two hundred and eighty-two SSU rRNA gene virtual taxa (VT) were described based on a comprehensive phylogenetic analysis of all collated Glomeromycota sequences. Two-thirds of VT showed limited distribution ranges, occurring in single current or historic continents or climatic zones. Those VT that associated with a taxonomically wide range of host plants also tended to have a wide geographical distribution, and vice versa. No relationships were detected between VT richness and latitude, elevation or vascular plant richness. • The collated Glomeromycota molecular diversity data suggest limited distribution ranges in most Glomeromycota taxa and a positive relationship between the width of a taxon's geographical range and its host taxonomic range. Inconsistencies between molecular and traditional taxonomy of Glomeromycota, and shortage of data from major continents and ecosystems, are highlighted.","DOI":"10.1111/j.1469-8137.2010.03334.x","ISSN":"1469-8137","note":"PMID: 20561207","journalAbbreviation":"New Phytol.","language":"eng","author":[{"family":"Opik","given":"M."},{"family":"Vanatoa","given":"A."},{"family":"Vanatoa","given":"E."},{"family":"Moora","given":"M."},{"family":"Davison","given":"J."},{"family":"Kalwij","given":"J. M."},{"family":"Reier","given":"U."},{"family":"Zobel","given":"M."}],"issued":{"date-parts":[["2010",10]]}}}],"schema":"https://github.com/citation-style-language/schema/raw/master/csl-citation.json"} </w:instrText>
      </w:r>
      <w:r w:rsidRPr="00F55C45">
        <w:fldChar w:fldCharType="separate"/>
      </w:r>
      <w:r w:rsidR="00954B3D" w:rsidRPr="00954B3D">
        <w:rPr>
          <w:rFonts w:cs="Times New Roman"/>
          <w:szCs w:val="24"/>
        </w:rPr>
        <w:t>(</w:t>
      </w:r>
      <w:proofErr w:type="spellStart"/>
      <w:r w:rsidR="00954B3D" w:rsidRPr="00954B3D">
        <w:rPr>
          <w:rFonts w:cs="Times New Roman"/>
          <w:szCs w:val="24"/>
        </w:rPr>
        <w:t>Opik</w:t>
      </w:r>
      <w:proofErr w:type="spellEnd"/>
      <w:r w:rsidR="00954B3D" w:rsidRPr="00954B3D">
        <w:rPr>
          <w:rFonts w:cs="Times New Roman"/>
          <w:szCs w:val="24"/>
        </w:rPr>
        <w:t xml:space="preserve"> </w:t>
      </w:r>
      <w:r w:rsidR="00954B3D" w:rsidRPr="00954B3D">
        <w:rPr>
          <w:rFonts w:cs="Times New Roman"/>
          <w:i/>
          <w:iCs w:val="0"/>
          <w:szCs w:val="24"/>
        </w:rPr>
        <w:t>et al.</w:t>
      </w:r>
      <w:r w:rsidR="00954B3D" w:rsidRPr="00954B3D">
        <w:rPr>
          <w:rFonts w:cs="Times New Roman"/>
          <w:szCs w:val="24"/>
        </w:rPr>
        <w:t>, 2010)</w:t>
      </w:r>
      <w:r w:rsidRPr="00F55C45">
        <w:fldChar w:fldCharType="end"/>
      </w:r>
      <w:r w:rsidRPr="00F55C45">
        <w:t xml:space="preserve">. NCBI </w:t>
      </w:r>
      <w:proofErr w:type="spellStart"/>
      <w:r w:rsidRPr="00F55C45">
        <w:t>Genbank</w:t>
      </w:r>
      <w:proofErr w:type="spellEnd"/>
      <w:r w:rsidRPr="00F55C45">
        <w:t xml:space="preserve"> accession numbers and </w:t>
      </w:r>
      <w:proofErr w:type="spellStart"/>
      <w:r w:rsidRPr="00F55C45">
        <w:t>MaarjAM</w:t>
      </w:r>
      <w:proofErr w:type="spellEnd"/>
      <w:r w:rsidRPr="00F55C45">
        <w:t xml:space="preserve"> VT numbers are labelled for each type sequence. OTUs labelled according to relative OTU abundance within total sequences numbers; red: &gt;1% totals sequences; orange: &lt;1% total sequence. Blue shaded VT’s indicate Glomus outgroups. Bootstrap values &gt;70% are shown.</w:t>
      </w:r>
      <w:bookmarkEnd w:id="285"/>
    </w:p>
    <w:p w:rsidR="00B46350" w:rsidRDefault="00B46350" w:rsidP="00B46350">
      <w:pPr>
        <w:spacing w:line="240" w:lineRule="auto"/>
      </w:pPr>
    </w:p>
    <w:p w:rsidR="00B46350" w:rsidRDefault="00B46350" w:rsidP="00B46350">
      <w:pPr>
        <w:spacing w:line="240" w:lineRule="auto"/>
      </w:pPr>
      <w:r>
        <w:rPr>
          <w:noProof/>
          <w:lang w:eastAsia="en-GB"/>
        </w:rPr>
        <w:lastRenderedPageBreak/>
        <w:drawing>
          <wp:inline distT="0" distB="0" distL="0" distR="0" wp14:anchorId="279BD65B" wp14:editId="207B3581">
            <wp:extent cx="4931443" cy="7200000"/>
            <wp:effectExtent l="0" t="0" r="254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ree4_glom4_otu_8_and_others.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931443" cy="7200000"/>
                    </a:xfrm>
                    <a:prstGeom prst="rect">
                      <a:avLst/>
                    </a:prstGeom>
                  </pic:spPr>
                </pic:pic>
              </a:graphicData>
            </a:graphic>
          </wp:inline>
        </w:drawing>
      </w:r>
    </w:p>
    <w:p w:rsidR="00B46350" w:rsidRDefault="00B46350" w:rsidP="00B46350">
      <w:pPr>
        <w:spacing w:line="240" w:lineRule="auto"/>
      </w:pPr>
    </w:p>
    <w:p w:rsidR="00B46350" w:rsidRPr="00F55C45" w:rsidRDefault="00B46350" w:rsidP="003C6D28">
      <w:pPr>
        <w:pStyle w:val="Caption"/>
      </w:pPr>
      <w:bookmarkStart w:id="286" w:name="_Toc469982772"/>
      <w:r w:rsidRPr="00F55C45">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7</w:t>
      </w:r>
      <w:r w:rsidR="00C44EF5">
        <w:rPr>
          <w:noProof/>
        </w:rPr>
        <w:fldChar w:fldCharType="end"/>
      </w:r>
      <w:r w:rsidRPr="00F55C45">
        <w:t xml:space="preserve"> Neighbour joining tree showing the phylogenetic similarity of OTU 8, 9, 10 and 15 to Glomus virtual taxa type sequences from </w:t>
      </w:r>
      <w:proofErr w:type="spellStart"/>
      <w:r w:rsidRPr="00F55C45">
        <w:t>MaarjAM</w:t>
      </w:r>
      <w:proofErr w:type="spellEnd"/>
      <w:r w:rsidRPr="00F55C45">
        <w:t xml:space="preserve"> database </w:t>
      </w:r>
      <w:r w:rsidRPr="00F55C45">
        <w:fldChar w:fldCharType="begin"/>
      </w:r>
      <w:r w:rsidR="00954B3D">
        <w:instrText xml:space="preserve"> ADDIN ZOTERO_ITEM CSL_CITATION {"citationID":"PCAeTnQ3","properties":{"formattedCitation":"{\\rtf (Opik {\\i{}et al.}, 2010)}","plainCitation":"(Opik et al., 2010)"},"citationItems":[{"id":276,"uris":["http://zotero.org/users/local/d1gJDEOw/items/5UKCWER4"],"uri":["http://zotero.org/users/local/d1gJDEOw/items/5UKCWER4"],"itemData":{"id":276,"type":"article-journal","title":"The online database MaarjAM reveals global and ecosystemic distribution patterns in arbuscular mycorrhizal fungi (Glomeromycota)","container-title":"The New Phytologist","page":"223-241","volume":"188","issue":"1","source":"PubMed","abstract":"• Here, we describe a new database, MaarjAM, that summarizes publicly available Glomeromycota DNA sequence data and associated metadata. The goal of the database is to facilitate the description of distribution and richness patterns in this group of fungi. • Small subunit (SSU) rRNA gene sequences and available metadata were collated from all suitable taxonomic and ecological publications. These data have been made accessible in an open-access database (http://maarjam.botany.ut.ee). • Two hundred and eighty-two SSU rRNA gene virtual taxa (VT) were described based on a comprehensive phylogenetic analysis of all collated Glomeromycota sequences. Two-thirds of VT showed limited distribution ranges, occurring in single current or historic continents or climatic zones. Those VT that associated with a taxonomically wide range of host plants also tended to have a wide geographical distribution, and vice versa. No relationships were detected between VT richness and latitude, elevation or vascular plant richness. • The collated Glomeromycota molecular diversity data suggest limited distribution ranges in most Glomeromycota taxa and a positive relationship between the width of a taxon's geographical range and its host taxonomic range. Inconsistencies between molecular and traditional taxonomy of Glomeromycota, and shortage of data from major continents and ecosystems, are highlighted.","DOI":"10.1111/j.1469-8137.2010.03334.x","ISSN":"1469-8137","note":"PMID: 20561207","journalAbbreviation":"New Phytol.","language":"eng","author":[{"family":"Opik","given":"M."},{"family":"Vanatoa","given":"A."},{"family":"Vanatoa","given":"E."},{"family":"Moora","given":"M."},{"family":"Davison","given":"J."},{"family":"Kalwij","given":"J. M."},{"family":"Reier","given":"U."},{"family":"Zobel","given":"M."}],"issued":{"date-parts":[["2010",10]]}}}],"schema":"https://github.com/citation-style-language/schema/raw/master/csl-citation.json"} </w:instrText>
      </w:r>
      <w:r w:rsidRPr="00F55C45">
        <w:fldChar w:fldCharType="separate"/>
      </w:r>
      <w:r w:rsidR="00954B3D" w:rsidRPr="00954B3D">
        <w:rPr>
          <w:rFonts w:cs="Times New Roman"/>
          <w:szCs w:val="24"/>
        </w:rPr>
        <w:t>(</w:t>
      </w:r>
      <w:proofErr w:type="spellStart"/>
      <w:r w:rsidR="00954B3D" w:rsidRPr="00954B3D">
        <w:rPr>
          <w:rFonts w:cs="Times New Roman"/>
          <w:szCs w:val="24"/>
        </w:rPr>
        <w:t>Opik</w:t>
      </w:r>
      <w:proofErr w:type="spellEnd"/>
      <w:r w:rsidR="00954B3D" w:rsidRPr="00954B3D">
        <w:rPr>
          <w:rFonts w:cs="Times New Roman"/>
          <w:szCs w:val="24"/>
        </w:rPr>
        <w:t xml:space="preserve"> </w:t>
      </w:r>
      <w:r w:rsidR="00954B3D" w:rsidRPr="00954B3D">
        <w:rPr>
          <w:rFonts w:cs="Times New Roman"/>
          <w:i/>
          <w:iCs w:val="0"/>
          <w:szCs w:val="24"/>
        </w:rPr>
        <w:t>et al.</w:t>
      </w:r>
      <w:r w:rsidR="00954B3D" w:rsidRPr="00954B3D">
        <w:rPr>
          <w:rFonts w:cs="Times New Roman"/>
          <w:szCs w:val="24"/>
        </w:rPr>
        <w:t>, 2010)</w:t>
      </w:r>
      <w:r w:rsidRPr="00F55C45">
        <w:fldChar w:fldCharType="end"/>
      </w:r>
      <w:r w:rsidRPr="00F55C45">
        <w:t xml:space="preserve">. NCBI </w:t>
      </w:r>
      <w:proofErr w:type="spellStart"/>
      <w:r w:rsidRPr="00F55C45">
        <w:t>Genbank</w:t>
      </w:r>
      <w:proofErr w:type="spellEnd"/>
      <w:r w:rsidRPr="00F55C45">
        <w:t xml:space="preserve"> accession numbers and </w:t>
      </w:r>
      <w:proofErr w:type="spellStart"/>
      <w:r w:rsidRPr="00F55C45">
        <w:t>MaarjAM</w:t>
      </w:r>
      <w:proofErr w:type="spellEnd"/>
      <w:r w:rsidRPr="00F55C45">
        <w:t xml:space="preserve"> VT numbers are labelled for each type sequence. OTUs labelled according to relative OTU abundance within total sequences numbers; red: &gt;1% totals sequences; orange: &lt;1% total sequence, pink: &lt;1% total sequences but significantly different relative abundance shown between habitat types. Blue shaded VT’s indicate Glomus outgroups. Bootstrap values &gt;70% are shown.</w:t>
      </w:r>
      <w:bookmarkEnd w:id="286"/>
    </w:p>
    <w:p w:rsidR="00B46350" w:rsidRDefault="00B46350" w:rsidP="00B46350">
      <w:pPr>
        <w:spacing w:line="240" w:lineRule="auto"/>
      </w:pPr>
      <w:r>
        <w:rPr>
          <w:noProof/>
          <w:lang w:eastAsia="en-GB"/>
        </w:rPr>
        <w:lastRenderedPageBreak/>
        <w:drawing>
          <wp:inline distT="0" distB="0" distL="0" distR="0" wp14:anchorId="31C0648A" wp14:editId="3CDDD155">
            <wp:extent cx="5024108" cy="7200000"/>
            <wp:effectExtent l="0" t="0" r="5715"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ree5_glom5_otu11_and_otu17.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24108" cy="7200000"/>
                    </a:xfrm>
                    <a:prstGeom prst="rect">
                      <a:avLst/>
                    </a:prstGeom>
                  </pic:spPr>
                </pic:pic>
              </a:graphicData>
            </a:graphic>
          </wp:inline>
        </w:drawing>
      </w:r>
    </w:p>
    <w:p w:rsidR="00B46350" w:rsidRDefault="00B46350" w:rsidP="00B46350">
      <w:pPr>
        <w:pStyle w:val="Caption"/>
      </w:pPr>
    </w:p>
    <w:p w:rsidR="00B46350" w:rsidRPr="00F55C45" w:rsidRDefault="00B46350" w:rsidP="003C6D28">
      <w:pPr>
        <w:pStyle w:val="Caption"/>
      </w:pPr>
      <w:bookmarkStart w:id="287" w:name="_Toc469982773"/>
      <w:r w:rsidRPr="00F55C45">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8</w:t>
      </w:r>
      <w:r w:rsidR="00C44EF5">
        <w:rPr>
          <w:noProof/>
        </w:rPr>
        <w:fldChar w:fldCharType="end"/>
      </w:r>
      <w:r w:rsidRPr="00F55C45">
        <w:t xml:space="preserve"> Glomus subgroup 5 neighbour joining tree showing the phylogenetic similarity of OTU 11 and 17 to Glomus virtual taxa type sequences from </w:t>
      </w:r>
      <w:proofErr w:type="spellStart"/>
      <w:r w:rsidRPr="00F55C45">
        <w:t>MaarjAM</w:t>
      </w:r>
      <w:proofErr w:type="spellEnd"/>
      <w:r w:rsidRPr="00F55C45">
        <w:t xml:space="preserve"> database </w:t>
      </w:r>
      <w:r w:rsidRPr="00F55C45">
        <w:fldChar w:fldCharType="begin"/>
      </w:r>
      <w:r w:rsidR="00954B3D">
        <w:instrText xml:space="preserve"> ADDIN ZOTERO_ITEM CSL_CITATION {"citationID":"6ME35ecm","properties":{"formattedCitation":"{\\rtf (Opik {\\i{}et al.}, 2010)}","plainCitation":"(Opik et al., 2010)"},"citationItems":[{"id":276,"uris":["http://zotero.org/users/local/d1gJDEOw/items/5UKCWER4"],"uri":["http://zotero.org/users/local/d1gJDEOw/items/5UKCWER4"],"itemData":{"id":276,"type":"article-journal","title":"The online database MaarjAM reveals global and ecosystemic distribution patterns in arbuscular mycorrhizal fungi (Glomeromycota)","container-title":"The New Phytologist","page":"223-241","volume":"188","issue":"1","source":"PubMed","abstract":"• Here, we describe a new database, MaarjAM, that summarizes publicly available Glomeromycota DNA sequence data and associated metadata. The goal of the database is to facilitate the description of distribution and richness patterns in this group of fungi. • Small subunit (SSU) rRNA gene sequences and available metadata were collated from all suitable taxonomic and ecological publications. These data have been made accessible in an open-access database (http://maarjam.botany.ut.ee). • Two hundred and eighty-two SSU rRNA gene virtual taxa (VT) were described based on a comprehensive phylogenetic analysis of all collated Glomeromycota sequences. Two-thirds of VT showed limited distribution ranges, occurring in single current or historic continents or climatic zones. Those VT that associated with a taxonomically wide range of host plants also tended to have a wide geographical distribution, and vice versa. No relationships were detected between VT richness and latitude, elevation or vascular plant richness. • The collated Glomeromycota molecular diversity data suggest limited distribution ranges in most Glomeromycota taxa and a positive relationship between the width of a taxon's geographical range and its host taxonomic range. Inconsistencies between molecular and traditional taxonomy of Glomeromycota, and shortage of data from major continents and ecosystems, are highlighted.","DOI":"10.1111/j.1469-8137.2010.03334.x","ISSN":"1469-8137","note":"PMID: 20561207","journalAbbreviation":"New Phytol.","language":"eng","author":[{"family":"Opik","given":"M."},{"family":"Vanatoa","given":"A."},{"family":"Vanatoa","given":"E."},{"family":"Moora","given":"M."},{"family":"Davison","given":"J."},{"family":"Kalwij","given":"J. M."},{"family":"Reier","given":"U."},{"family":"Zobel","given":"M."}],"issued":{"date-parts":[["2010",10]]}}}],"schema":"https://github.com/citation-style-language/schema/raw/master/csl-citation.json"} </w:instrText>
      </w:r>
      <w:r w:rsidRPr="00F55C45">
        <w:fldChar w:fldCharType="separate"/>
      </w:r>
      <w:r w:rsidR="00954B3D" w:rsidRPr="00954B3D">
        <w:rPr>
          <w:rFonts w:cs="Times New Roman"/>
          <w:szCs w:val="24"/>
        </w:rPr>
        <w:t>(</w:t>
      </w:r>
      <w:proofErr w:type="spellStart"/>
      <w:r w:rsidR="00954B3D" w:rsidRPr="00954B3D">
        <w:rPr>
          <w:rFonts w:cs="Times New Roman"/>
          <w:szCs w:val="24"/>
        </w:rPr>
        <w:t>Opik</w:t>
      </w:r>
      <w:proofErr w:type="spellEnd"/>
      <w:r w:rsidR="00954B3D" w:rsidRPr="00954B3D">
        <w:rPr>
          <w:rFonts w:cs="Times New Roman"/>
          <w:szCs w:val="24"/>
        </w:rPr>
        <w:t xml:space="preserve"> </w:t>
      </w:r>
      <w:r w:rsidR="00954B3D" w:rsidRPr="00954B3D">
        <w:rPr>
          <w:rFonts w:cs="Times New Roman"/>
          <w:i/>
          <w:iCs w:val="0"/>
          <w:szCs w:val="24"/>
        </w:rPr>
        <w:t>et al.</w:t>
      </w:r>
      <w:r w:rsidR="00954B3D" w:rsidRPr="00954B3D">
        <w:rPr>
          <w:rFonts w:cs="Times New Roman"/>
          <w:szCs w:val="24"/>
        </w:rPr>
        <w:t>, 2010)</w:t>
      </w:r>
      <w:r w:rsidRPr="00F55C45">
        <w:fldChar w:fldCharType="end"/>
      </w:r>
      <w:r w:rsidRPr="00F55C45">
        <w:t xml:space="preserve">. NCBI </w:t>
      </w:r>
      <w:proofErr w:type="spellStart"/>
      <w:r w:rsidRPr="00F55C45">
        <w:t>Genbank</w:t>
      </w:r>
      <w:proofErr w:type="spellEnd"/>
      <w:r w:rsidRPr="00F55C45">
        <w:t xml:space="preserve"> accession numbers and </w:t>
      </w:r>
      <w:proofErr w:type="spellStart"/>
      <w:r w:rsidRPr="00F55C45">
        <w:t>MaarjAM</w:t>
      </w:r>
      <w:proofErr w:type="spellEnd"/>
      <w:r w:rsidRPr="00F55C45">
        <w:t xml:space="preserve"> VT numbers are labelled for each type sequence. OTUs labelled according to relative OTU abundance within total sequences numbers; red: &gt;1% totals sequences; orange: &lt;1% total sequence. Blue shaded VT’s indicate Glomus outgroups. Bootstrap values &gt;70% are shown.</w:t>
      </w:r>
      <w:bookmarkEnd w:id="287"/>
    </w:p>
    <w:p w:rsidR="00B46350" w:rsidRDefault="00B46350" w:rsidP="00B46350">
      <w:pPr>
        <w:spacing w:line="240" w:lineRule="auto"/>
      </w:pPr>
    </w:p>
    <w:p w:rsidR="00B46350" w:rsidRPr="00F55C45" w:rsidRDefault="00B46350" w:rsidP="00B46350">
      <w:pPr>
        <w:spacing w:line="240" w:lineRule="auto"/>
        <w:rPr>
          <w:sz w:val="20"/>
          <w:szCs w:val="20"/>
        </w:rPr>
      </w:pPr>
      <w:r w:rsidRPr="00F55C45">
        <w:rPr>
          <w:noProof/>
          <w:sz w:val="20"/>
          <w:szCs w:val="20"/>
          <w:lang w:eastAsia="en-GB"/>
        </w:rPr>
        <w:lastRenderedPageBreak/>
        <w:drawing>
          <wp:inline distT="0" distB="0" distL="0" distR="0" wp14:anchorId="24B4837F" wp14:editId="3C255BE7">
            <wp:extent cx="4953386" cy="720000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laroideoglomeraceae_OTU3_OTU4.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953386" cy="7200000"/>
                    </a:xfrm>
                    <a:prstGeom prst="rect">
                      <a:avLst/>
                    </a:prstGeom>
                  </pic:spPr>
                </pic:pic>
              </a:graphicData>
            </a:graphic>
          </wp:inline>
        </w:drawing>
      </w:r>
    </w:p>
    <w:p w:rsidR="00B46350" w:rsidRPr="00F55C45" w:rsidRDefault="00B46350" w:rsidP="003C6D28">
      <w:pPr>
        <w:pStyle w:val="Caption"/>
      </w:pPr>
      <w:bookmarkStart w:id="288" w:name="_Toc469982774"/>
      <w:r w:rsidRPr="00F55C45">
        <w:t xml:space="preserve">Figure </w:t>
      </w:r>
      <w:r w:rsidR="00C44EF5">
        <w:fldChar w:fldCharType="begin"/>
      </w:r>
      <w:r w:rsidR="00C44EF5">
        <w:instrText xml:space="preserve"> STYLEREF </w:instrText>
      </w:r>
      <w:r w:rsidR="00C44EF5">
        <w:instrText xml:space="preserve">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9</w:t>
      </w:r>
      <w:r w:rsidR="00C44EF5">
        <w:rPr>
          <w:noProof/>
        </w:rPr>
        <w:fldChar w:fldCharType="end"/>
      </w:r>
      <w:r w:rsidRPr="00F55C45">
        <w:t xml:space="preserve"> Neighbour joining tree showing the phylogenetic similarity of OTU 3 and 4 with </w:t>
      </w:r>
      <w:proofErr w:type="spellStart"/>
      <w:r w:rsidRPr="00F55C45">
        <w:t>Claroideoglomus</w:t>
      </w:r>
      <w:proofErr w:type="spellEnd"/>
      <w:r w:rsidRPr="00F55C45">
        <w:t xml:space="preserve"> virtual taxa type sequences from </w:t>
      </w:r>
      <w:proofErr w:type="spellStart"/>
      <w:r w:rsidRPr="00F55C45">
        <w:t>MaarjAM</w:t>
      </w:r>
      <w:proofErr w:type="spellEnd"/>
      <w:r w:rsidRPr="00F55C45">
        <w:t xml:space="preserve"> database </w:t>
      </w:r>
      <w:r w:rsidRPr="00F55C45">
        <w:fldChar w:fldCharType="begin"/>
      </w:r>
      <w:r w:rsidR="00954B3D">
        <w:instrText xml:space="preserve"> ADDIN ZOTERO_ITEM CSL_CITATION {"citationID":"fGgoIlG8","properties":{"formattedCitation":"{\\rtf (Opik {\\i{}et al.}, 2010)}","plainCitation":"(Opik et al., 2010)"},"citationItems":[{"id":276,"uris":["http://zotero.org/users/local/d1gJDEOw/items/5UKCWER4"],"uri":["http://zotero.org/users/local/d1gJDEOw/items/5UKCWER4"],"itemData":{"id":276,"type":"article-journal","title":"The online database MaarjAM reveals global and ecosystemic distribution patterns in arbuscular mycorrhizal fungi (Glomeromycota)","container-title":"The New Phytologist","page":"223-241","volume":"188","issue":"1","source":"PubMed","abstract":"• Here, we describe a new database, MaarjAM, that summarizes publicly available Glomeromycota DNA sequence data and associated metadata. The goal of the database is to facilitate the description of distribution and richness patterns in this group of fungi. • Small subunit (SSU) rRNA gene sequences and available metadata were collated from all suitable taxonomic and ecological publications. These data have been made accessible in an open-access database (http://maarjam.botany.ut.ee). • Two hundred and eighty-two SSU rRNA gene virtual taxa (VT) were described based on a comprehensive phylogenetic analysis of all collated Glomeromycota sequences. Two-thirds of VT showed limited distribution ranges, occurring in single current or historic continents or climatic zones. Those VT that associated with a taxonomically wide range of host plants also tended to have a wide geographical distribution, and vice versa. No relationships were detected between VT richness and latitude, elevation or vascular plant richness. • The collated Glomeromycota molecular diversity data suggest limited distribution ranges in most Glomeromycota taxa and a positive relationship between the width of a taxon's geographical range and its host taxonomic range. Inconsistencies between molecular and traditional taxonomy of Glomeromycota, and shortage of data from major continents and ecosystems, are highlighted.","DOI":"10.1111/j.1469-8137.2010.03334.x","ISSN":"1469-8137","note":"PMID: 20561207","journalAbbreviation":"New Phytol.","language":"eng","author":[{"family":"Opik","given":"M."},{"family":"Vanatoa","given":"A."},{"family":"Vanatoa","given":"E."},{"family":"Moora","given":"M."},{"family":"Davison","given":"J."},{"family":"Kalwij","given":"J. M."},{"family":"Reier","given":"U."},{"family":"Zobel","given":"M."}],"issued":{"date-parts":[["2010",10]]}}}],"schema":"https://github.com/citation-style-language/schema/raw/master/csl-citation.json"} </w:instrText>
      </w:r>
      <w:r w:rsidRPr="00F55C45">
        <w:fldChar w:fldCharType="separate"/>
      </w:r>
      <w:r w:rsidR="00954B3D" w:rsidRPr="00954B3D">
        <w:rPr>
          <w:rFonts w:cs="Times New Roman"/>
          <w:szCs w:val="24"/>
        </w:rPr>
        <w:t>(</w:t>
      </w:r>
      <w:proofErr w:type="spellStart"/>
      <w:r w:rsidR="00954B3D" w:rsidRPr="00954B3D">
        <w:rPr>
          <w:rFonts w:cs="Times New Roman"/>
          <w:szCs w:val="24"/>
        </w:rPr>
        <w:t>Opik</w:t>
      </w:r>
      <w:proofErr w:type="spellEnd"/>
      <w:r w:rsidR="00954B3D" w:rsidRPr="00954B3D">
        <w:rPr>
          <w:rFonts w:cs="Times New Roman"/>
          <w:szCs w:val="24"/>
        </w:rPr>
        <w:t xml:space="preserve"> </w:t>
      </w:r>
      <w:r w:rsidR="00954B3D" w:rsidRPr="00954B3D">
        <w:rPr>
          <w:rFonts w:cs="Times New Roman"/>
          <w:i/>
          <w:iCs w:val="0"/>
          <w:szCs w:val="24"/>
        </w:rPr>
        <w:t>et al.</w:t>
      </w:r>
      <w:r w:rsidR="00954B3D" w:rsidRPr="00954B3D">
        <w:rPr>
          <w:rFonts w:cs="Times New Roman"/>
          <w:szCs w:val="24"/>
        </w:rPr>
        <w:t>, 2010)</w:t>
      </w:r>
      <w:r w:rsidRPr="00F55C45">
        <w:fldChar w:fldCharType="end"/>
      </w:r>
      <w:r w:rsidRPr="00F55C45">
        <w:t xml:space="preserve">. NCBI </w:t>
      </w:r>
      <w:proofErr w:type="spellStart"/>
      <w:r w:rsidRPr="00F55C45">
        <w:t>Genbank</w:t>
      </w:r>
      <w:proofErr w:type="spellEnd"/>
      <w:r w:rsidRPr="00F55C45">
        <w:t xml:space="preserve"> accession numbers and </w:t>
      </w:r>
      <w:proofErr w:type="spellStart"/>
      <w:r w:rsidRPr="003C6D28">
        <w:t>MaarjAM</w:t>
      </w:r>
      <w:proofErr w:type="spellEnd"/>
      <w:r w:rsidRPr="00F55C45">
        <w:t xml:space="preserve"> VT numbers are labelled for each type sequence. OTUs labelled according to relative OTU abundance within total sequences numbers; red: &gt;1% totals sequences; orange: &lt;1% total sequence. Blue shaded VT’s indicate Glomus outgroups. Bootstrap values &gt;70% are shown.</w:t>
      </w:r>
      <w:bookmarkEnd w:id="288"/>
    </w:p>
    <w:p w:rsidR="00B46350" w:rsidRDefault="00B46350" w:rsidP="00B46350">
      <w:pPr>
        <w:spacing w:line="240" w:lineRule="auto"/>
      </w:pPr>
    </w:p>
    <w:p w:rsidR="00B46350" w:rsidRDefault="00B46350" w:rsidP="00B46350">
      <w:pPr>
        <w:spacing w:line="240" w:lineRule="auto"/>
      </w:pPr>
    </w:p>
    <w:p w:rsidR="00B46350" w:rsidRDefault="00B46350" w:rsidP="00B46350">
      <w:pPr>
        <w:spacing w:line="240" w:lineRule="auto"/>
      </w:pPr>
      <w:r>
        <w:rPr>
          <w:noProof/>
          <w:lang w:eastAsia="en-GB"/>
        </w:rPr>
        <w:lastRenderedPageBreak/>
        <w:drawing>
          <wp:inline distT="0" distB="0" distL="0" distR="0" wp14:anchorId="004392AD" wp14:editId="3B5E9D96">
            <wp:extent cx="5003170" cy="7200000"/>
            <wp:effectExtent l="0" t="0" r="6985"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rchaeosporaceae_OTU20_OTU25.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03170" cy="7200000"/>
                    </a:xfrm>
                    <a:prstGeom prst="rect">
                      <a:avLst/>
                    </a:prstGeom>
                  </pic:spPr>
                </pic:pic>
              </a:graphicData>
            </a:graphic>
          </wp:inline>
        </w:drawing>
      </w:r>
    </w:p>
    <w:p w:rsidR="00B46350" w:rsidRPr="00F55C45" w:rsidRDefault="00B46350" w:rsidP="003C6D28">
      <w:pPr>
        <w:pStyle w:val="Caption"/>
      </w:pPr>
      <w:bookmarkStart w:id="289" w:name="_Toc469982775"/>
      <w:r w:rsidRPr="00F55C45">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10</w:t>
      </w:r>
      <w:r w:rsidR="00C44EF5">
        <w:rPr>
          <w:noProof/>
        </w:rPr>
        <w:fldChar w:fldCharType="end"/>
      </w:r>
      <w:r w:rsidRPr="00F55C45">
        <w:t xml:space="preserve"> Neighbour joining tree showing the phylogenetic similarity of OTU20 and 25 to  </w:t>
      </w:r>
      <w:proofErr w:type="spellStart"/>
      <w:r w:rsidRPr="00F55C45">
        <w:t>Archaeospora</w:t>
      </w:r>
      <w:proofErr w:type="spellEnd"/>
      <w:r w:rsidRPr="00F55C45">
        <w:t xml:space="preserve"> virtual taxa type sequences from </w:t>
      </w:r>
      <w:proofErr w:type="spellStart"/>
      <w:r w:rsidRPr="00F55C45">
        <w:t>MaarjAM</w:t>
      </w:r>
      <w:proofErr w:type="spellEnd"/>
      <w:r w:rsidRPr="00F55C45">
        <w:t xml:space="preserve"> database </w:t>
      </w:r>
      <w:r w:rsidRPr="00F55C45">
        <w:fldChar w:fldCharType="begin"/>
      </w:r>
      <w:r w:rsidR="00954B3D">
        <w:instrText xml:space="preserve"> ADDIN ZOTERO_ITEM CSL_CITATION {"citationID":"2m2TnWkQ","properties":{"formattedCitation":"{\\rtf (Opik {\\i{}et al.}, 2010)}","plainCitation":"(Opik et al., 2010)"},"citationItems":[{"id":276,"uris":["http://zotero.org/users/local/d1gJDEOw/items/5UKCWER4"],"uri":["http://zotero.org/users/local/d1gJDEOw/items/5UKCWER4"],"itemData":{"id":276,"type":"article-journal","title":"The online database MaarjAM reveals global and ecosystemic distribution patterns in arbuscular mycorrhizal fungi (Glomeromycota)","container-title":"The New Phytologist","page":"223-241","volume":"188","issue":"1","source":"PubMed","abstract":"• Here, we describe a new database, MaarjAM, that summarizes publicly available Glomeromycota DNA sequence data and associated metadata. The goal of the database is to facilitate the description of distribution and richness patterns in this group of fungi. • Small subunit (SSU) rRNA gene sequences and available metadata were collated from all suitable taxonomic and ecological publications. These data have been made accessible in an open-access database (http://maarjam.botany.ut.ee). • Two hundred and eighty-two SSU rRNA gene virtual taxa (VT) were described based on a comprehensive phylogenetic analysis of all collated Glomeromycota sequences. Two-thirds of VT showed limited distribution ranges, occurring in single current or historic continents or climatic zones. Those VT that associated with a taxonomically wide range of host plants also tended to have a wide geographical distribution, and vice versa. No relationships were detected between VT richness and latitude, elevation or vascular plant richness. • The collated Glomeromycota molecular diversity data suggest limited distribution ranges in most Glomeromycota taxa and a positive relationship between the width of a taxon's geographical range and its host taxonomic range. Inconsistencies between molecular and traditional taxonomy of Glomeromycota, and shortage of data from major continents and ecosystems, are highlighted.","DOI":"10.1111/j.1469-8137.2010.03334.x","ISSN":"1469-8137","note":"PMID: 20561207","journalAbbreviation":"New Phytol.","language":"eng","author":[{"family":"Opik","given":"M."},{"family":"Vanatoa","given":"A."},{"family":"Vanatoa","given":"E."},{"family":"Moora","given":"M."},{"family":"Davison","given":"J."},{"family":"Kalwij","given":"J. M."},{"family":"Reier","given":"U."},{"family":"Zobel","given":"M."}],"issued":{"date-parts":[["2010",10]]}}}],"schema":"https://github.com/citation-style-language/schema/raw/master/csl-citation.json"} </w:instrText>
      </w:r>
      <w:r w:rsidRPr="00F55C45">
        <w:fldChar w:fldCharType="separate"/>
      </w:r>
      <w:r w:rsidR="00954B3D" w:rsidRPr="00954B3D">
        <w:rPr>
          <w:rFonts w:cs="Times New Roman"/>
          <w:szCs w:val="24"/>
        </w:rPr>
        <w:t>(</w:t>
      </w:r>
      <w:proofErr w:type="spellStart"/>
      <w:r w:rsidR="00954B3D" w:rsidRPr="00954B3D">
        <w:rPr>
          <w:rFonts w:cs="Times New Roman"/>
          <w:szCs w:val="24"/>
        </w:rPr>
        <w:t>Opik</w:t>
      </w:r>
      <w:proofErr w:type="spellEnd"/>
      <w:r w:rsidR="00954B3D" w:rsidRPr="00954B3D">
        <w:rPr>
          <w:rFonts w:cs="Times New Roman"/>
          <w:szCs w:val="24"/>
        </w:rPr>
        <w:t xml:space="preserve"> </w:t>
      </w:r>
      <w:r w:rsidR="00954B3D" w:rsidRPr="00954B3D">
        <w:rPr>
          <w:rFonts w:cs="Times New Roman"/>
          <w:i/>
          <w:iCs w:val="0"/>
          <w:szCs w:val="24"/>
        </w:rPr>
        <w:t>et al.</w:t>
      </w:r>
      <w:r w:rsidR="00954B3D" w:rsidRPr="00954B3D">
        <w:rPr>
          <w:rFonts w:cs="Times New Roman"/>
          <w:szCs w:val="24"/>
        </w:rPr>
        <w:t>, 2010)</w:t>
      </w:r>
      <w:r w:rsidRPr="00F55C45">
        <w:fldChar w:fldCharType="end"/>
      </w:r>
      <w:r w:rsidRPr="00F55C45">
        <w:t xml:space="preserve">. NCBI </w:t>
      </w:r>
      <w:proofErr w:type="spellStart"/>
      <w:r w:rsidRPr="00F55C45">
        <w:t>Genbank</w:t>
      </w:r>
      <w:proofErr w:type="spellEnd"/>
      <w:r w:rsidRPr="00F55C45">
        <w:t xml:space="preserve"> accession numbers and </w:t>
      </w:r>
      <w:proofErr w:type="spellStart"/>
      <w:r w:rsidRPr="00F55C45">
        <w:t>MaarjAM</w:t>
      </w:r>
      <w:proofErr w:type="spellEnd"/>
      <w:r w:rsidRPr="00F55C45">
        <w:t xml:space="preserve"> VT numbers are labelled for each type sequence. OTUs labelled according to relative OTU abundance within total sequences numbers; red: &gt;1% totals sequences; orange: &lt;1% total sequence, pink: &lt;1% total sequences but significantly different relative abundance shown between habitat types. Blue shaded VT’s indicate </w:t>
      </w:r>
      <w:proofErr w:type="spellStart"/>
      <w:r w:rsidRPr="00F55C45">
        <w:t>Paraglomus</w:t>
      </w:r>
      <w:proofErr w:type="spellEnd"/>
      <w:r w:rsidRPr="00F55C45">
        <w:t xml:space="preserve"> outgroups. Bootstrap values &gt;70% are shown.</w:t>
      </w:r>
      <w:bookmarkEnd w:id="289"/>
    </w:p>
    <w:p w:rsidR="00B46350" w:rsidRDefault="00B46350" w:rsidP="00B46350">
      <w:pPr>
        <w:spacing w:line="240" w:lineRule="auto"/>
      </w:pPr>
      <w:r>
        <w:rPr>
          <w:noProof/>
          <w:lang w:eastAsia="en-GB"/>
        </w:rPr>
        <w:lastRenderedPageBreak/>
        <w:drawing>
          <wp:inline distT="0" distB="0" distL="0" distR="0" wp14:anchorId="37D059D0" wp14:editId="4F124C04">
            <wp:extent cx="4443309" cy="720000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caulosporaceae.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43309" cy="7200000"/>
                    </a:xfrm>
                    <a:prstGeom prst="rect">
                      <a:avLst/>
                    </a:prstGeom>
                  </pic:spPr>
                </pic:pic>
              </a:graphicData>
            </a:graphic>
          </wp:inline>
        </w:drawing>
      </w:r>
    </w:p>
    <w:p w:rsidR="00B46350" w:rsidRDefault="00B46350" w:rsidP="00B46350">
      <w:pPr>
        <w:tabs>
          <w:tab w:val="center" w:pos="4252"/>
        </w:tabs>
      </w:pPr>
    </w:p>
    <w:p w:rsidR="00B46350" w:rsidRDefault="00B46350" w:rsidP="003C6D28">
      <w:pPr>
        <w:pStyle w:val="Caption"/>
        <w:rPr>
          <w:rFonts w:cs="Times New Roman"/>
        </w:rPr>
      </w:pPr>
      <w:bookmarkStart w:id="290" w:name="_Ref469560195"/>
      <w:bookmarkStart w:id="291" w:name="_Toc469982776"/>
      <w:r w:rsidRPr="003C6D28">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rsidRPr="003C6D28">
        <w:t>.</w:t>
      </w:r>
      <w:r w:rsidR="00C44EF5">
        <w:fldChar w:fldCharType="begin"/>
      </w:r>
      <w:r w:rsidR="00C44EF5">
        <w:instrText xml:space="preserve"> SEQ Figure \* ARABIC \s 1 </w:instrText>
      </w:r>
      <w:r w:rsidR="00C44EF5">
        <w:fldChar w:fldCharType="separate"/>
      </w:r>
      <w:r w:rsidR="00E0714D">
        <w:rPr>
          <w:noProof/>
        </w:rPr>
        <w:t>11</w:t>
      </w:r>
      <w:r w:rsidR="00C44EF5">
        <w:rPr>
          <w:noProof/>
        </w:rPr>
        <w:fldChar w:fldCharType="end"/>
      </w:r>
      <w:bookmarkEnd w:id="290"/>
      <w:r w:rsidRPr="003C6D28">
        <w:t xml:space="preserve"> Neighbour</w:t>
      </w:r>
      <w:r w:rsidRPr="00147F69">
        <w:t xml:space="preserve"> joining tree showing the phylogenetic similarity of OTUs identified by this study with </w:t>
      </w:r>
      <w:proofErr w:type="spellStart"/>
      <w:r w:rsidRPr="00147F69">
        <w:t>Acaulospora</w:t>
      </w:r>
      <w:proofErr w:type="spellEnd"/>
      <w:r w:rsidRPr="00147F69">
        <w:t xml:space="preserve"> virtual taxa type sequences from </w:t>
      </w:r>
      <w:proofErr w:type="spellStart"/>
      <w:r w:rsidRPr="00147F69">
        <w:t>MaarjAM</w:t>
      </w:r>
      <w:proofErr w:type="spellEnd"/>
      <w:r w:rsidRPr="00147F69">
        <w:t xml:space="preserve"> database </w:t>
      </w:r>
      <w:r w:rsidRPr="00147F69">
        <w:fldChar w:fldCharType="begin"/>
      </w:r>
      <w:r w:rsidR="00954B3D">
        <w:instrText xml:space="preserve"> ADDIN ZOTERO_ITEM CSL_CITATION {"citationID":"9Nf8YEJj","properties":{"formattedCitation":"{\\rtf (Opik {\\i{}et al.}, 2010)}","plainCitation":"(Opik et al., 2010)"},"citationItems":[{"id":276,"uris":["http://zotero.org/users/local/d1gJDEOw/items/5UKCWER4"],"uri":["http://zotero.org/users/local/d1gJDEOw/items/5UKCWER4"],"itemData":{"id":276,"type":"article-journal","title":"The online database MaarjAM reveals global and ecosystemic distribution patterns in arbuscular mycorrhizal fungi (Glomeromycota)","container-title":"The New Phytologist","page":"223-241","volume":"188","issue":"1","source":"PubMed","abstract":"• Here, we describe a new database, MaarjAM, that summarizes publicly available Glomeromycota DNA sequence data and associated metadata. The goal of the database is to facilitate the description of distribution and richness patterns in this group of fungi. • Small subunit (SSU) rRNA gene sequences and available metadata were collated from all suitable taxonomic and ecological publications. These data have been made accessible in an open-access database (http://maarjam.botany.ut.ee). • Two hundred and eighty-two SSU rRNA gene virtual taxa (VT) were described based on a comprehensive phylogenetic analysis of all collated Glomeromycota sequences. Two-thirds of VT showed limited distribution ranges, occurring in single current or historic continents or climatic zones. Those VT that associated with a taxonomically wide range of host plants also tended to have a wide geographical distribution, and vice versa. No relationships were detected between VT richness and latitude, elevation or vascular plant richness. • The collated Glomeromycota molecular diversity data suggest limited distribution ranges in most Glomeromycota taxa and a positive relationship between the width of a taxon's geographical range and its host taxonomic range. Inconsistencies between molecular and traditional taxonomy of Glomeromycota, and shortage of data from major continents and ecosystems, are highlighted.","DOI":"10.1111/j.1469-8137.2010.03334.x","ISSN":"1469-8137","note":"PMID: 20561207","journalAbbreviation":"New Phytol.","language":"eng","author":[{"family":"Opik","given":"M."},{"family":"Vanatoa","given":"A."},{"family":"Vanatoa","given":"E."},{"family":"Moora","given":"M."},{"family":"Davison","given":"J."},{"family":"Kalwij","given":"J. M."},{"family":"Reier","given":"U."},{"family":"Zobel","given":"M."}],"issued":{"date-parts":[["2010",10]]}}}],"schema":"https://github.com/citation-style-language/schema/raw/master/csl-citation.json"} </w:instrText>
      </w:r>
      <w:r w:rsidRPr="00147F69">
        <w:fldChar w:fldCharType="separate"/>
      </w:r>
      <w:r w:rsidR="00954B3D" w:rsidRPr="00954B3D">
        <w:rPr>
          <w:rFonts w:cs="Times New Roman"/>
          <w:szCs w:val="24"/>
        </w:rPr>
        <w:t>(</w:t>
      </w:r>
      <w:proofErr w:type="spellStart"/>
      <w:r w:rsidR="00954B3D" w:rsidRPr="00954B3D">
        <w:rPr>
          <w:rFonts w:cs="Times New Roman"/>
          <w:szCs w:val="24"/>
        </w:rPr>
        <w:t>Opik</w:t>
      </w:r>
      <w:proofErr w:type="spellEnd"/>
      <w:r w:rsidR="00954B3D" w:rsidRPr="00954B3D">
        <w:rPr>
          <w:rFonts w:cs="Times New Roman"/>
          <w:szCs w:val="24"/>
        </w:rPr>
        <w:t xml:space="preserve"> </w:t>
      </w:r>
      <w:r w:rsidR="00954B3D" w:rsidRPr="00954B3D">
        <w:rPr>
          <w:rFonts w:cs="Times New Roman"/>
          <w:i/>
          <w:iCs w:val="0"/>
          <w:szCs w:val="24"/>
        </w:rPr>
        <w:t>et al.</w:t>
      </w:r>
      <w:r w:rsidR="00954B3D" w:rsidRPr="00954B3D">
        <w:rPr>
          <w:rFonts w:cs="Times New Roman"/>
          <w:szCs w:val="24"/>
        </w:rPr>
        <w:t>, 2010)</w:t>
      </w:r>
      <w:r w:rsidRPr="00147F69">
        <w:fldChar w:fldCharType="end"/>
      </w:r>
      <w:r w:rsidRPr="00147F69">
        <w:t xml:space="preserve">. NCBI </w:t>
      </w:r>
      <w:proofErr w:type="spellStart"/>
      <w:r w:rsidRPr="00147F69">
        <w:t>Genbank</w:t>
      </w:r>
      <w:proofErr w:type="spellEnd"/>
      <w:r w:rsidRPr="00147F69">
        <w:t xml:space="preserve"> accession numbers and </w:t>
      </w:r>
      <w:proofErr w:type="spellStart"/>
      <w:r w:rsidRPr="00147F69">
        <w:t>MaarjAM</w:t>
      </w:r>
      <w:proofErr w:type="spellEnd"/>
      <w:r w:rsidRPr="00147F69">
        <w:t xml:space="preserve"> VT numbers are labelled for each type sequence. OTUs labelled according to relative OTU abundance within total sequences numbers; red: &gt;1% totals sequences; orange: &lt;1% total sequence. Blue shaded VT’s are </w:t>
      </w:r>
      <w:proofErr w:type="spellStart"/>
      <w:r w:rsidRPr="00147F69">
        <w:t>Diversispora</w:t>
      </w:r>
      <w:proofErr w:type="spellEnd"/>
      <w:r w:rsidRPr="00147F69">
        <w:t xml:space="preserve"> outgroups. Bootstrap values &gt;70% are shown</w:t>
      </w:r>
      <w:bookmarkEnd w:id="291"/>
    </w:p>
    <w:p w:rsidR="00B46350" w:rsidRPr="0029487F" w:rsidRDefault="00B46350" w:rsidP="00B46350">
      <w:pPr>
        <w:spacing w:after="200"/>
        <w:rPr>
          <w:rFonts w:cs="Times New Roman"/>
        </w:rPr>
      </w:pPr>
    </w:p>
    <w:p w:rsidR="00B46350" w:rsidRPr="007A1FCF" w:rsidRDefault="00B46350" w:rsidP="00B46350">
      <w:pPr>
        <w:pStyle w:val="Heading2"/>
      </w:pPr>
      <w:bookmarkStart w:id="292" w:name="_Toc464758688"/>
      <w:bookmarkStart w:id="293" w:name="_Toc469855046"/>
      <w:bookmarkStart w:id="294" w:name="_Toc469856046"/>
      <w:bookmarkStart w:id="295" w:name="_Toc469931955"/>
      <w:bookmarkStart w:id="296" w:name="_Toc469982276"/>
      <w:r w:rsidRPr="00B46350">
        <w:lastRenderedPageBreak/>
        <w:t>Results</w:t>
      </w:r>
      <w:bookmarkEnd w:id="292"/>
      <w:bookmarkEnd w:id="293"/>
      <w:bookmarkEnd w:id="294"/>
      <w:bookmarkEnd w:id="295"/>
      <w:bookmarkEnd w:id="296"/>
    </w:p>
    <w:p w:rsidR="00B46350" w:rsidRDefault="00B46350" w:rsidP="00B46350">
      <w:pPr>
        <w:pStyle w:val="Heading3"/>
      </w:pPr>
      <w:bookmarkStart w:id="297" w:name="_Toc464758689"/>
      <w:bookmarkStart w:id="298" w:name="_Toc469855047"/>
      <w:bookmarkStart w:id="299" w:name="_Toc469856047"/>
      <w:bookmarkStart w:id="300" w:name="_Toc469931956"/>
      <w:bookmarkStart w:id="301" w:name="_Toc469982277"/>
      <w:r w:rsidRPr="007A1FCF">
        <w:t xml:space="preserve">Comparison </w:t>
      </w:r>
      <w:r>
        <w:t>between AMF communities of three orchard types, woodland and arable fields using TRFLP</w:t>
      </w:r>
      <w:bookmarkEnd w:id="297"/>
      <w:bookmarkEnd w:id="298"/>
      <w:bookmarkEnd w:id="299"/>
      <w:bookmarkEnd w:id="300"/>
      <w:bookmarkEnd w:id="301"/>
      <w:r>
        <w:t xml:space="preserve"> </w:t>
      </w:r>
    </w:p>
    <w:p w:rsidR="00B46350" w:rsidRPr="002272D5" w:rsidRDefault="00B46350" w:rsidP="00B46350">
      <w:pPr>
        <w:pStyle w:val="Heading4"/>
        <w:numPr>
          <w:ilvl w:val="3"/>
          <w:numId w:val="1"/>
        </w:numPr>
      </w:pPr>
      <w:r>
        <w:t>Richness and Simpson’s diversity</w:t>
      </w:r>
    </w:p>
    <w:p w:rsidR="00B46350" w:rsidRPr="00334BDF" w:rsidRDefault="00B46350" w:rsidP="00B46350">
      <w:r>
        <w:t>TRFLP analysis of the AMF colonising leek bait plant roots produced a total of 20 distinct TRF</w:t>
      </w:r>
      <w:r w:rsidRPr="007A1FCF">
        <w:t xml:space="preserve">s </w:t>
      </w:r>
      <w:r>
        <w:t xml:space="preserve">with 10 unique TRFs produced from restriction with both </w:t>
      </w:r>
      <w:proofErr w:type="spellStart"/>
      <w:r w:rsidRPr="00505760">
        <w:rPr>
          <w:i/>
        </w:rPr>
        <w:t>Hinf</w:t>
      </w:r>
      <w:proofErr w:type="spellEnd"/>
      <w:r>
        <w:t xml:space="preserve">-I and </w:t>
      </w:r>
      <w:r w:rsidR="00DE1AD4">
        <w:rPr>
          <w:i/>
        </w:rPr>
        <w:t>HpyCH4-III</w:t>
      </w:r>
      <w:r>
        <w:t xml:space="preserve"> enzymes. </w:t>
      </w:r>
      <w:r w:rsidRPr="007A1FCF">
        <w:t xml:space="preserve">Habitat type </w:t>
      </w:r>
      <w:r>
        <w:t>was shown</w:t>
      </w:r>
      <w:r w:rsidRPr="007A1FCF">
        <w:t xml:space="preserve"> to significantly affect the TRF richness</w:t>
      </w:r>
      <w:r>
        <w:t xml:space="preserve"> of both the TRFs grouped from restriction with both enzymes and TRFs from restriction with </w:t>
      </w:r>
      <w:proofErr w:type="spellStart"/>
      <w:r>
        <w:rPr>
          <w:i/>
        </w:rPr>
        <w:t>Hi</w:t>
      </w:r>
      <w:r w:rsidRPr="006E1BF6">
        <w:rPr>
          <w:i/>
        </w:rPr>
        <w:t>nf</w:t>
      </w:r>
      <w:proofErr w:type="spellEnd"/>
      <w:r>
        <w:t>-I only (</w:t>
      </w:r>
      <w:r>
        <w:fldChar w:fldCharType="begin"/>
      </w:r>
      <w:r>
        <w:instrText xml:space="preserve"> REF _Ref463095341 \h </w:instrText>
      </w:r>
      <w:r>
        <w:fldChar w:fldCharType="separate"/>
      </w:r>
      <w:r w:rsidR="00E0714D" w:rsidRPr="00F55C45">
        <w:t xml:space="preserve">Table </w:t>
      </w:r>
      <w:r w:rsidR="00E0714D">
        <w:rPr>
          <w:noProof/>
        </w:rPr>
        <w:t>3</w:t>
      </w:r>
      <w:r w:rsidR="00E0714D" w:rsidRPr="00F55C45">
        <w:t>.</w:t>
      </w:r>
      <w:r w:rsidR="00E0714D">
        <w:rPr>
          <w:noProof/>
        </w:rPr>
        <w:t>2</w:t>
      </w:r>
      <w:r>
        <w:fldChar w:fldCharType="end"/>
      </w:r>
      <w:r>
        <w:t xml:space="preserve">, </w:t>
      </w:r>
      <w:r>
        <w:fldChar w:fldCharType="begin"/>
      </w:r>
      <w:r>
        <w:instrText xml:space="preserve"> REF _Ref464925703 \h </w:instrText>
      </w:r>
      <w:r>
        <w:fldChar w:fldCharType="separate"/>
      </w:r>
      <w:r w:rsidR="00E0714D" w:rsidRPr="00F55C45">
        <w:t xml:space="preserve">Figure </w:t>
      </w:r>
      <w:r w:rsidR="00E0714D">
        <w:rPr>
          <w:noProof/>
        </w:rPr>
        <w:t>3</w:t>
      </w:r>
      <w:r w:rsidR="00E0714D">
        <w:t>.</w:t>
      </w:r>
      <w:r w:rsidR="00E0714D">
        <w:rPr>
          <w:noProof/>
        </w:rPr>
        <w:t>12</w:t>
      </w:r>
      <w:r>
        <w:fldChar w:fldCharType="end"/>
      </w:r>
      <w:r>
        <w:t>). For the combined restriction analysis arable habitats had</w:t>
      </w:r>
      <w:r w:rsidRPr="007A1FCF">
        <w:t xml:space="preserve"> the lowest TRF richness of all habitats and showed a small but significantly reduced </w:t>
      </w:r>
      <w:r>
        <w:t xml:space="preserve">average </w:t>
      </w:r>
      <w:r w:rsidRPr="007A1FCF">
        <w:t xml:space="preserve">TRF </w:t>
      </w:r>
      <w:r>
        <w:t>number of 12.4 TRFs in comparison to conventional standard orchards</w:t>
      </w:r>
      <w:r w:rsidRPr="007A1FCF">
        <w:t xml:space="preserve"> which were the most TRF species rich habitat</w:t>
      </w:r>
      <w:r>
        <w:t xml:space="preserve"> with 13.2 TRFs on average per orchard </w:t>
      </w:r>
      <w:r w:rsidRPr="007A1FCF">
        <w:t>(</w:t>
      </w:r>
      <w:r>
        <w:fldChar w:fldCharType="begin"/>
      </w:r>
      <w:r>
        <w:instrText xml:space="preserve"> REF _Ref464925703 \h </w:instrText>
      </w:r>
      <w:r>
        <w:fldChar w:fldCharType="separate"/>
      </w:r>
      <w:r w:rsidR="00E0714D" w:rsidRPr="00F55C45">
        <w:t xml:space="preserve">Figure </w:t>
      </w:r>
      <w:r w:rsidR="00E0714D">
        <w:rPr>
          <w:noProof/>
        </w:rPr>
        <w:t>3</w:t>
      </w:r>
      <w:r w:rsidR="00E0714D">
        <w:t>.</w:t>
      </w:r>
      <w:r w:rsidR="00E0714D">
        <w:rPr>
          <w:noProof/>
        </w:rPr>
        <w:t>12</w:t>
      </w:r>
      <w:r>
        <w:fldChar w:fldCharType="end"/>
      </w:r>
      <w:r w:rsidRPr="007A1FCF">
        <w:t xml:space="preserve">).  </w:t>
      </w:r>
      <w:r>
        <w:t>Conventional bush orchards, organic standard orchard and woodland were intermediate in their TRF richness with average TRF richness values of 12.7, 13.0 and 12.6 TRFs respectively (</w:t>
      </w:r>
      <w:r>
        <w:fldChar w:fldCharType="begin"/>
      </w:r>
      <w:r>
        <w:instrText xml:space="preserve"> REF _Ref464925703 \h </w:instrText>
      </w:r>
      <w:r>
        <w:fldChar w:fldCharType="separate"/>
      </w:r>
      <w:r w:rsidR="00E0714D" w:rsidRPr="00F55C45">
        <w:t xml:space="preserve">Figure </w:t>
      </w:r>
      <w:r w:rsidR="00E0714D">
        <w:rPr>
          <w:noProof/>
        </w:rPr>
        <w:t>3</w:t>
      </w:r>
      <w:r w:rsidR="00E0714D">
        <w:t>.</w:t>
      </w:r>
      <w:r w:rsidR="00E0714D">
        <w:rPr>
          <w:noProof/>
        </w:rPr>
        <w:t>12</w:t>
      </w:r>
      <w:r>
        <w:fldChar w:fldCharType="end"/>
      </w:r>
      <w:r>
        <w:t xml:space="preserve">a). A highly similar pattern was showed for TRF richness from </w:t>
      </w:r>
      <w:proofErr w:type="spellStart"/>
      <w:r w:rsidRPr="007B49E2">
        <w:rPr>
          <w:i/>
        </w:rPr>
        <w:t>Hinf</w:t>
      </w:r>
      <w:proofErr w:type="spellEnd"/>
      <w:r>
        <w:t>-I only restriction (</w:t>
      </w:r>
      <w:r>
        <w:fldChar w:fldCharType="begin"/>
      </w:r>
      <w:r>
        <w:instrText xml:space="preserve"> REF _Ref464925703 \h </w:instrText>
      </w:r>
      <w:r>
        <w:fldChar w:fldCharType="separate"/>
      </w:r>
      <w:r w:rsidR="00E0714D" w:rsidRPr="00F55C45">
        <w:t xml:space="preserve">Figure </w:t>
      </w:r>
      <w:r w:rsidR="00E0714D">
        <w:rPr>
          <w:noProof/>
        </w:rPr>
        <w:t>3</w:t>
      </w:r>
      <w:r w:rsidR="00E0714D">
        <w:t>.</w:t>
      </w:r>
      <w:r w:rsidR="00E0714D">
        <w:rPr>
          <w:noProof/>
        </w:rPr>
        <w:t>12</w:t>
      </w:r>
      <w:r>
        <w:fldChar w:fldCharType="end"/>
      </w:r>
      <w:r>
        <w:t xml:space="preserve">b) however no significant difference between TRF richness of habitats was shown for </w:t>
      </w:r>
      <w:r w:rsidR="00DE1AD4">
        <w:rPr>
          <w:i/>
        </w:rPr>
        <w:t>HpyCH4-III</w:t>
      </w:r>
      <w:r>
        <w:t xml:space="preserve"> restriction (</w:t>
      </w:r>
      <w:r>
        <w:fldChar w:fldCharType="begin"/>
      </w:r>
      <w:r>
        <w:instrText xml:space="preserve"> REF _Ref464925703 \h </w:instrText>
      </w:r>
      <w:r>
        <w:fldChar w:fldCharType="separate"/>
      </w:r>
      <w:r w:rsidR="00E0714D" w:rsidRPr="00F55C45">
        <w:t xml:space="preserve">Figure </w:t>
      </w:r>
      <w:r w:rsidR="00E0714D">
        <w:rPr>
          <w:noProof/>
        </w:rPr>
        <w:t>3</w:t>
      </w:r>
      <w:r w:rsidR="00E0714D">
        <w:t>.</w:t>
      </w:r>
      <w:r w:rsidR="00E0714D">
        <w:rPr>
          <w:noProof/>
        </w:rPr>
        <w:t>12</w:t>
      </w:r>
      <w:r>
        <w:fldChar w:fldCharType="end"/>
      </w:r>
      <w:r>
        <w:t>c).</w:t>
      </w:r>
    </w:p>
    <w:p w:rsidR="00B46350" w:rsidRDefault="00B46350" w:rsidP="00B46350">
      <w:r>
        <w:t>A significant effect of habitat type was also shown for Simpson’s diversity index values when analysed both for the grouped TRF data and for separate restriction enzymes (</w:t>
      </w:r>
      <w:r>
        <w:fldChar w:fldCharType="begin"/>
      </w:r>
      <w:r>
        <w:instrText xml:space="preserve"> REF _Ref463095341 \h </w:instrText>
      </w:r>
      <w:r>
        <w:fldChar w:fldCharType="separate"/>
      </w:r>
      <w:r w:rsidR="00E0714D" w:rsidRPr="00F55C45">
        <w:t xml:space="preserve">Table </w:t>
      </w:r>
      <w:r w:rsidR="00E0714D">
        <w:rPr>
          <w:noProof/>
        </w:rPr>
        <w:t>3</w:t>
      </w:r>
      <w:r w:rsidR="00E0714D" w:rsidRPr="00F55C45">
        <w:t>.</w:t>
      </w:r>
      <w:r w:rsidR="00E0714D">
        <w:rPr>
          <w:noProof/>
        </w:rPr>
        <w:t>2</w:t>
      </w:r>
      <w:r>
        <w:fldChar w:fldCharType="end"/>
      </w:r>
      <w:r>
        <w:t xml:space="preserve">, </w:t>
      </w:r>
      <w:r>
        <w:fldChar w:fldCharType="begin"/>
      </w:r>
      <w:r>
        <w:instrText xml:space="preserve"> REF _Ref464925703 \h </w:instrText>
      </w:r>
      <w:r>
        <w:fldChar w:fldCharType="separate"/>
      </w:r>
      <w:r w:rsidR="00E0714D" w:rsidRPr="00F55C45">
        <w:t xml:space="preserve">Figure </w:t>
      </w:r>
      <w:r w:rsidR="00E0714D">
        <w:rPr>
          <w:noProof/>
        </w:rPr>
        <w:t>3</w:t>
      </w:r>
      <w:r w:rsidR="00E0714D">
        <w:t>.</w:t>
      </w:r>
      <w:r w:rsidR="00E0714D">
        <w:rPr>
          <w:noProof/>
        </w:rPr>
        <w:t>12</w:t>
      </w:r>
      <w:r>
        <w:fldChar w:fldCharType="end"/>
      </w:r>
      <w:r w:rsidR="00F421B0">
        <w:t>). In most</w:t>
      </w:r>
      <w:r>
        <w:t xml:space="preserve"> cases arable habitats showed a small but significant reduction in Simpson’s diversity values in comparison to woodland and orchard habitats.  For grouped TRF data from restriction with both enzymes, arable habitats showed an average Simpson’s diversity index of 4.6 in comparison to values of 5.32, 5.31, 5.41 and 5.57 found for woodland, conventional bush orchards, conventional standard orchards and organic standard orchards respectively (</w:t>
      </w:r>
      <w:r>
        <w:fldChar w:fldCharType="begin"/>
      </w:r>
      <w:r>
        <w:instrText xml:space="preserve"> REF _Ref464925703 \h </w:instrText>
      </w:r>
      <w:r>
        <w:fldChar w:fldCharType="separate"/>
      </w:r>
      <w:r w:rsidR="00E0714D" w:rsidRPr="00F55C45">
        <w:t xml:space="preserve">Figure </w:t>
      </w:r>
      <w:r w:rsidR="00E0714D">
        <w:rPr>
          <w:noProof/>
        </w:rPr>
        <w:t>3</w:t>
      </w:r>
      <w:r w:rsidR="00E0714D">
        <w:t>.</w:t>
      </w:r>
      <w:r w:rsidR="00E0714D">
        <w:rPr>
          <w:noProof/>
        </w:rPr>
        <w:t>12</w:t>
      </w:r>
      <w:r>
        <w:fldChar w:fldCharType="end"/>
      </w:r>
      <w:r>
        <w:t>d).</w:t>
      </w:r>
    </w:p>
    <w:p w:rsidR="00B46350" w:rsidRPr="007A1FCF" w:rsidRDefault="00B46350" w:rsidP="00B46350">
      <w:r>
        <w:t xml:space="preserve">Comparison of TRF richness and Simpson’s diversity index for both grouped and separate restriction show that similar effects of habitat are found by the separate restriction enzymes.  The increased level of significance when grouping TRFs produced by restriction with </w:t>
      </w:r>
      <w:proofErr w:type="spellStart"/>
      <w:r w:rsidRPr="00D87FE2">
        <w:rPr>
          <w:i/>
        </w:rPr>
        <w:t>Hinf</w:t>
      </w:r>
      <w:proofErr w:type="spellEnd"/>
      <w:r>
        <w:t xml:space="preserve">-I and </w:t>
      </w:r>
      <w:r w:rsidR="00DE1AD4">
        <w:rPr>
          <w:i/>
        </w:rPr>
        <w:t>HpyCH4-III</w:t>
      </w:r>
      <w:r>
        <w:t xml:space="preserve"> combined in comparison to separate analysis (</w:t>
      </w:r>
      <w:r>
        <w:fldChar w:fldCharType="begin"/>
      </w:r>
      <w:r>
        <w:instrText xml:space="preserve"> REF _Ref463095341 \h </w:instrText>
      </w:r>
      <w:r>
        <w:fldChar w:fldCharType="separate"/>
      </w:r>
      <w:r w:rsidR="00E0714D" w:rsidRPr="00F55C45">
        <w:t xml:space="preserve">Table </w:t>
      </w:r>
      <w:r w:rsidR="00E0714D">
        <w:rPr>
          <w:noProof/>
        </w:rPr>
        <w:t>3</w:t>
      </w:r>
      <w:r w:rsidR="00E0714D" w:rsidRPr="00F55C45">
        <w:t>.</w:t>
      </w:r>
      <w:r w:rsidR="00E0714D">
        <w:rPr>
          <w:noProof/>
        </w:rPr>
        <w:t>2</w:t>
      </w:r>
      <w:r>
        <w:fldChar w:fldCharType="end"/>
      </w:r>
      <w:r>
        <w:t>) demonstrates the advantage of using two restriction enzymes.</w:t>
      </w:r>
    </w:p>
    <w:p w:rsidR="00B46350" w:rsidRDefault="00B46350" w:rsidP="00B46350">
      <w:pPr>
        <w:pStyle w:val="Heading4"/>
        <w:numPr>
          <w:ilvl w:val="3"/>
          <w:numId w:val="1"/>
        </w:numPr>
      </w:pPr>
      <w:bookmarkStart w:id="302" w:name="_Ref465246390"/>
      <w:r>
        <w:t>Community structure</w:t>
      </w:r>
      <w:bookmarkEnd w:id="302"/>
      <w:r>
        <w:t xml:space="preserve"> </w:t>
      </w:r>
    </w:p>
    <w:p w:rsidR="00B46350" w:rsidRDefault="00B46350" w:rsidP="00B46350">
      <w:r>
        <w:t xml:space="preserve">Principal component analysis of relative TRF abundance showed a clear effect of habitat upon PC1, </w:t>
      </w:r>
      <w:r w:rsidRPr="00C93233">
        <w:t>PC2, PC4 and PC5</w:t>
      </w:r>
      <w:r>
        <w:t xml:space="preserve"> which when combined, account for 77% of the variation in the relative abundance data (</w:t>
      </w:r>
      <w:r>
        <w:fldChar w:fldCharType="begin"/>
      </w:r>
      <w:r>
        <w:instrText xml:space="preserve"> REF _Ref467851255 \h </w:instrText>
      </w:r>
      <w:r>
        <w:fldChar w:fldCharType="separate"/>
      </w:r>
      <w:r w:rsidR="00E0714D" w:rsidRPr="00F55C45">
        <w:t xml:space="preserve">Table </w:t>
      </w:r>
      <w:r w:rsidR="00E0714D">
        <w:rPr>
          <w:noProof/>
        </w:rPr>
        <w:t>3</w:t>
      </w:r>
      <w:r w:rsidR="00E0714D" w:rsidRPr="00F55C45">
        <w:t>.</w:t>
      </w:r>
      <w:r w:rsidR="00E0714D">
        <w:rPr>
          <w:noProof/>
        </w:rPr>
        <w:t>4</w:t>
      </w:r>
      <w:r>
        <w:fldChar w:fldCharType="end"/>
      </w:r>
      <w:r>
        <w:t>,</w:t>
      </w:r>
      <w:r w:rsidR="00950437">
        <w:t xml:space="preserve"> </w:t>
      </w:r>
      <w:r w:rsidR="00950437">
        <w:fldChar w:fldCharType="begin"/>
      </w:r>
      <w:r w:rsidR="00950437">
        <w:instrText xml:space="preserve"> REF _Ref469866517 \h </w:instrText>
      </w:r>
      <w:r w:rsidR="00950437">
        <w:fldChar w:fldCharType="separate"/>
      </w:r>
      <w:r w:rsidR="00E0714D" w:rsidRPr="00F55C45">
        <w:t xml:space="preserve">Figure </w:t>
      </w:r>
      <w:r w:rsidR="00E0714D">
        <w:rPr>
          <w:noProof/>
        </w:rPr>
        <w:t>3</w:t>
      </w:r>
      <w:r w:rsidR="00E0714D">
        <w:t>.</w:t>
      </w:r>
      <w:r w:rsidR="00E0714D">
        <w:rPr>
          <w:noProof/>
        </w:rPr>
        <w:t>13</w:t>
      </w:r>
      <w:r w:rsidR="00950437">
        <w:fldChar w:fldCharType="end"/>
      </w:r>
      <w:r>
        <w:t>). No difference in principal component scores was shown between orchards.  Arable habitats differed from all orchards for PC1, organic standard orchard for PC4 and conventional bush orchards for PC5 (</w:t>
      </w:r>
      <w:r>
        <w:fldChar w:fldCharType="begin"/>
      </w:r>
      <w:r>
        <w:instrText xml:space="preserve"> REF _Ref467851255 \h </w:instrText>
      </w:r>
      <w:r>
        <w:fldChar w:fldCharType="separate"/>
      </w:r>
      <w:r w:rsidR="00E0714D" w:rsidRPr="00F55C45">
        <w:t xml:space="preserve">Table </w:t>
      </w:r>
      <w:r w:rsidR="00E0714D">
        <w:rPr>
          <w:noProof/>
        </w:rPr>
        <w:t>3</w:t>
      </w:r>
      <w:r w:rsidR="00E0714D" w:rsidRPr="00F55C45">
        <w:t>.</w:t>
      </w:r>
      <w:r w:rsidR="00E0714D">
        <w:rPr>
          <w:noProof/>
        </w:rPr>
        <w:t>4</w:t>
      </w:r>
      <w:r>
        <w:fldChar w:fldCharType="end"/>
      </w:r>
      <w:r>
        <w:t>).</w:t>
      </w:r>
    </w:p>
    <w:p w:rsidR="00B46350" w:rsidRDefault="00B46350" w:rsidP="00B46350">
      <w:r>
        <w:lastRenderedPageBreak/>
        <w:t>TRF presence/absence data showed that habitat had far less effect on the presence/absence of TRFs with a significant effect of habitat type only found for PC4 which accounted for 8.1% of the data variation (</w:t>
      </w:r>
      <w:r>
        <w:fldChar w:fldCharType="begin"/>
      </w:r>
      <w:r>
        <w:instrText xml:space="preserve"> REF _Ref467851255 \h </w:instrText>
      </w:r>
      <w:r>
        <w:fldChar w:fldCharType="separate"/>
      </w:r>
      <w:r w:rsidR="00E0714D" w:rsidRPr="00F55C45">
        <w:t xml:space="preserve">Table </w:t>
      </w:r>
      <w:r w:rsidR="00E0714D">
        <w:rPr>
          <w:noProof/>
        </w:rPr>
        <w:t>3</w:t>
      </w:r>
      <w:r w:rsidR="00E0714D" w:rsidRPr="00F55C45">
        <w:t>.</w:t>
      </w:r>
      <w:r w:rsidR="00E0714D">
        <w:rPr>
          <w:noProof/>
        </w:rPr>
        <w:t>4</w:t>
      </w:r>
      <w:r>
        <w:fldChar w:fldCharType="end"/>
      </w:r>
      <w:r>
        <w:t>,</w:t>
      </w:r>
      <w:r w:rsidR="00950437">
        <w:t xml:space="preserve"> </w:t>
      </w:r>
      <w:r w:rsidR="00950437">
        <w:fldChar w:fldCharType="begin"/>
      </w:r>
      <w:r w:rsidR="00950437">
        <w:instrText xml:space="preserve"> REF _Ref469866517 \h </w:instrText>
      </w:r>
      <w:r w:rsidR="00950437">
        <w:fldChar w:fldCharType="separate"/>
      </w:r>
      <w:r w:rsidR="00E0714D" w:rsidRPr="00F55C45">
        <w:t xml:space="preserve">Figure </w:t>
      </w:r>
      <w:r w:rsidR="00E0714D">
        <w:rPr>
          <w:noProof/>
        </w:rPr>
        <w:t>3</w:t>
      </w:r>
      <w:r w:rsidR="00E0714D">
        <w:t>.</w:t>
      </w:r>
      <w:r w:rsidR="00E0714D">
        <w:rPr>
          <w:noProof/>
        </w:rPr>
        <w:t>13</w:t>
      </w:r>
      <w:r w:rsidR="00950437">
        <w:fldChar w:fldCharType="end"/>
      </w:r>
      <w:r>
        <w:t>). PC4 showed separation of arable from both orchard and woodland habitats (</w:t>
      </w:r>
      <w:r>
        <w:fldChar w:fldCharType="begin"/>
      </w:r>
      <w:r>
        <w:instrText xml:space="preserve"> REF _Ref467851255 \h </w:instrText>
      </w:r>
      <w:r>
        <w:fldChar w:fldCharType="separate"/>
      </w:r>
      <w:r w:rsidR="00E0714D" w:rsidRPr="00F55C45">
        <w:t xml:space="preserve">Table </w:t>
      </w:r>
      <w:r w:rsidR="00E0714D">
        <w:rPr>
          <w:noProof/>
        </w:rPr>
        <w:t>3</w:t>
      </w:r>
      <w:r w:rsidR="00E0714D" w:rsidRPr="00F55C45">
        <w:t>.</w:t>
      </w:r>
      <w:r w:rsidR="00E0714D">
        <w:rPr>
          <w:noProof/>
        </w:rPr>
        <w:t>4</w:t>
      </w:r>
      <w:r>
        <w:fldChar w:fldCharType="end"/>
      </w:r>
      <w:r w:rsidR="00950437">
        <w:t xml:space="preserve">). </w:t>
      </w:r>
      <w:r>
        <w:t>A marginal effect of habitat was shown for PC2 which accounts for 16.8% of the data variation (</w:t>
      </w:r>
      <w:r>
        <w:fldChar w:fldCharType="begin"/>
      </w:r>
      <w:r>
        <w:instrText xml:space="preserve"> REF _Ref467851255 \h </w:instrText>
      </w:r>
      <w:r>
        <w:fldChar w:fldCharType="separate"/>
      </w:r>
      <w:r w:rsidR="00E0714D" w:rsidRPr="00F55C45">
        <w:t xml:space="preserve">Table </w:t>
      </w:r>
      <w:r w:rsidR="00E0714D">
        <w:rPr>
          <w:noProof/>
        </w:rPr>
        <w:t>3</w:t>
      </w:r>
      <w:r w:rsidR="00E0714D" w:rsidRPr="00F55C45">
        <w:t>.</w:t>
      </w:r>
      <w:r w:rsidR="00E0714D">
        <w:rPr>
          <w:noProof/>
        </w:rPr>
        <w:t>4</w:t>
      </w:r>
      <w:r>
        <w:fldChar w:fldCharType="end"/>
      </w:r>
      <w:r>
        <w:t>,</w:t>
      </w:r>
      <w:r w:rsidR="00950437">
        <w:t xml:space="preserve"> </w:t>
      </w:r>
      <w:r w:rsidR="00950437">
        <w:fldChar w:fldCharType="begin"/>
      </w:r>
      <w:r w:rsidR="00950437">
        <w:instrText xml:space="preserve"> REF _Ref469866517 \h </w:instrText>
      </w:r>
      <w:r w:rsidR="00950437">
        <w:fldChar w:fldCharType="separate"/>
      </w:r>
      <w:r w:rsidR="00E0714D" w:rsidRPr="00F55C45">
        <w:t xml:space="preserve">Figure </w:t>
      </w:r>
      <w:r w:rsidR="00E0714D">
        <w:rPr>
          <w:noProof/>
        </w:rPr>
        <w:t>3</w:t>
      </w:r>
      <w:r w:rsidR="00E0714D">
        <w:t>.</w:t>
      </w:r>
      <w:r w:rsidR="00E0714D">
        <w:rPr>
          <w:noProof/>
        </w:rPr>
        <w:t>13</w:t>
      </w:r>
      <w:r w:rsidR="00950437">
        <w:fldChar w:fldCharType="end"/>
      </w:r>
      <w:r w:rsidR="00F421B0">
        <w:t xml:space="preserve">). </w:t>
      </w:r>
      <w:r>
        <w:t xml:space="preserve">Principal component analysis shows that habitat has a larger effect upon the relative abundance of TRFs than their presence/absence i.e. greater differences are seen within the relative abundance of TRFs between habitats than the presence/absence of TRFs. </w:t>
      </w:r>
    </w:p>
    <w:p w:rsidR="00B46350" w:rsidRPr="007A1FCF" w:rsidRDefault="00B46350" w:rsidP="00B46350">
      <w:pPr>
        <w:pStyle w:val="Heading4"/>
        <w:numPr>
          <w:ilvl w:val="3"/>
          <w:numId w:val="1"/>
        </w:numPr>
      </w:pPr>
      <w:r>
        <w:t xml:space="preserve">TRF relative abundance </w:t>
      </w:r>
    </w:p>
    <w:p w:rsidR="00B46350" w:rsidRDefault="00A54D4A" w:rsidP="00B46350">
      <w:r>
        <w:t>OPLS-DA</w:t>
      </w:r>
      <w:r w:rsidR="00B46350" w:rsidRPr="004A67E0">
        <w:t xml:space="preserve"> and subsequent ANOVA tests on the effect of habitat type upon r</w:t>
      </w:r>
      <w:r w:rsidR="00B46350">
        <w:t>elative abundance of fungal TRF</w:t>
      </w:r>
      <w:r w:rsidR="00B46350" w:rsidRPr="004A67E0">
        <w:t>s showed that 12 TRF</w:t>
      </w:r>
      <w:r w:rsidR="00B46350">
        <w:t>s</w:t>
      </w:r>
      <w:r w:rsidR="00B46350" w:rsidRPr="004A67E0">
        <w:t xml:space="preserve"> were significantly aff</w:t>
      </w:r>
      <w:r w:rsidR="00B46350">
        <w:t>ected by habitat type (</w:t>
      </w:r>
      <w:r w:rsidR="00B46350">
        <w:fldChar w:fldCharType="begin"/>
      </w:r>
      <w:r w:rsidR="00B46350">
        <w:instrText xml:space="preserve"> REF _Ref464927967 \h </w:instrText>
      </w:r>
      <w:r w:rsidR="00B46350">
        <w:fldChar w:fldCharType="separate"/>
      </w:r>
      <w:r w:rsidR="00E0714D" w:rsidRPr="00F55C45">
        <w:t xml:space="preserve">Table </w:t>
      </w:r>
      <w:r w:rsidR="00E0714D">
        <w:rPr>
          <w:noProof/>
        </w:rPr>
        <w:t>3</w:t>
      </w:r>
      <w:r w:rsidR="00E0714D" w:rsidRPr="00F55C45">
        <w:t>.</w:t>
      </w:r>
      <w:r w:rsidR="00E0714D">
        <w:rPr>
          <w:noProof/>
        </w:rPr>
        <w:t>3</w:t>
      </w:r>
      <w:r w:rsidR="00B46350">
        <w:fldChar w:fldCharType="end"/>
      </w:r>
      <w:r w:rsidR="00B46350">
        <w:t>). Arable habitats showed a distinct difference in relative abundance of TRFs compared to all other habitat types with arable TRF relative abundance being significantly different to all orchard and woodland habitats for 7 of the 12 TRFs which were found to be affected by habitat and significantly different to at least one other habitat for the remaining 5 (</w:t>
      </w:r>
      <w:r w:rsidR="00B46350">
        <w:fldChar w:fldCharType="begin"/>
      </w:r>
      <w:r w:rsidR="00B46350">
        <w:instrText xml:space="preserve"> REF _Ref463095472 \h  \* MERGEFORMAT </w:instrText>
      </w:r>
      <w:r w:rsidR="00B46350">
        <w:fldChar w:fldCharType="separate"/>
      </w:r>
      <w:r w:rsidR="00E0714D" w:rsidRPr="00F55C45">
        <w:t xml:space="preserve">Figure </w:t>
      </w:r>
      <w:r w:rsidR="00E0714D">
        <w:rPr>
          <w:noProof/>
        </w:rPr>
        <w:t>3.14</w:t>
      </w:r>
      <w:r w:rsidR="00B46350">
        <w:fldChar w:fldCharType="end"/>
      </w:r>
      <w:r w:rsidR="00B46350">
        <w:t xml:space="preserve">, </w:t>
      </w:r>
      <w:r w:rsidR="00B46350">
        <w:fldChar w:fldCharType="begin"/>
      </w:r>
      <w:r w:rsidR="00B46350">
        <w:instrText xml:space="preserve"> REF _Ref463095474 \h  \* MERGEFORMAT </w:instrText>
      </w:r>
      <w:r w:rsidR="00B46350">
        <w:fldChar w:fldCharType="separate"/>
      </w:r>
      <w:r w:rsidR="00E0714D" w:rsidRPr="00F55C45">
        <w:t xml:space="preserve">Figure </w:t>
      </w:r>
      <w:r w:rsidR="00E0714D">
        <w:rPr>
          <w:noProof/>
        </w:rPr>
        <w:t>3.15</w:t>
      </w:r>
      <w:r w:rsidR="00B46350">
        <w:fldChar w:fldCharType="end"/>
      </w:r>
      <w:r w:rsidR="00B46350">
        <w:t>).  Of the three orchard types, arable habitats were found to be most similar to the conventional bush orchard</w:t>
      </w:r>
      <w:r w:rsidR="00F421B0">
        <w:t>s with four TRFs showing no significant difference in</w:t>
      </w:r>
      <w:r w:rsidR="00B46350">
        <w:t xml:space="preserve"> relative abundance (</w:t>
      </w:r>
      <w:proofErr w:type="spellStart"/>
      <w:r w:rsidR="00B46350" w:rsidRPr="0028714C">
        <w:rPr>
          <w:i/>
        </w:rPr>
        <w:t>Hinf</w:t>
      </w:r>
      <w:proofErr w:type="spellEnd"/>
      <w:r w:rsidR="00B46350" w:rsidRPr="0028714C">
        <w:rPr>
          <w:i/>
        </w:rPr>
        <w:t>-</w:t>
      </w:r>
      <w:r w:rsidR="00B46350" w:rsidRPr="00F421B0">
        <w:t xml:space="preserve">I </w:t>
      </w:r>
      <w:r w:rsidR="00B46350">
        <w:t xml:space="preserve">765, and </w:t>
      </w:r>
      <w:r w:rsidR="00DE1AD4">
        <w:rPr>
          <w:i/>
        </w:rPr>
        <w:t>HpyCH4-III</w:t>
      </w:r>
      <w:r w:rsidR="00B46350">
        <w:t xml:space="preserve"> 393, 547 and 699).  In comparison conventional standard orchards had only two TRFs which </w:t>
      </w:r>
      <w:r w:rsidR="00B46350" w:rsidRPr="00D653CB">
        <w:t>showed similar relative abundance to arable habitats (</w:t>
      </w:r>
      <w:proofErr w:type="spellStart"/>
      <w:r w:rsidR="00B46350" w:rsidRPr="00D653CB">
        <w:rPr>
          <w:i/>
        </w:rPr>
        <w:t>Hinf</w:t>
      </w:r>
      <w:proofErr w:type="spellEnd"/>
      <w:r w:rsidR="00B46350" w:rsidRPr="00D653CB">
        <w:rPr>
          <w:i/>
        </w:rPr>
        <w:t>-</w:t>
      </w:r>
      <w:r w:rsidR="00B46350" w:rsidRPr="00D653CB">
        <w:t xml:space="preserve">I 765 and </w:t>
      </w:r>
      <w:r w:rsidR="00DE1AD4" w:rsidRPr="00D653CB">
        <w:rPr>
          <w:i/>
        </w:rPr>
        <w:t>HpyCH4-III</w:t>
      </w:r>
      <w:r w:rsidR="00B46350" w:rsidRPr="00D653CB">
        <w:t>) and organic standard orchards only one TRF with a similar relative abundance to that of arable (</w:t>
      </w:r>
      <w:proofErr w:type="spellStart"/>
      <w:r w:rsidR="00B46350" w:rsidRPr="00D653CB">
        <w:rPr>
          <w:i/>
        </w:rPr>
        <w:t>Hinf</w:t>
      </w:r>
      <w:proofErr w:type="spellEnd"/>
      <w:r w:rsidR="00B46350" w:rsidRPr="00D653CB">
        <w:rPr>
          <w:i/>
        </w:rPr>
        <w:t>-</w:t>
      </w:r>
      <w:r w:rsidR="00B46350" w:rsidRPr="00D653CB">
        <w:t>I 765). Arable and woodland habitats showed the least similarity with all 12 of the TRFs with relative abundance affected by habitat type showing significantly</w:t>
      </w:r>
      <w:r w:rsidR="00B46350">
        <w:t xml:space="preserve"> different relative abundance within these two habitats. </w:t>
      </w:r>
    </w:p>
    <w:p w:rsidR="00B46350" w:rsidRDefault="00B46350" w:rsidP="00B46350">
      <w:r w:rsidRPr="004A67E0">
        <w:t xml:space="preserve">In comparison the three orchard types compared (conventional bush, conventional standard and organic standard) showed </w:t>
      </w:r>
      <w:r>
        <w:t>highly</w:t>
      </w:r>
      <w:r w:rsidRPr="004A67E0">
        <w:t xml:space="preserve"> similar relative abundance</w:t>
      </w:r>
      <w:r>
        <w:t>s</w:t>
      </w:r>
      <w:r w:rsidRPr="004A67E0">
        <w:t xml:space="preserve"> of fungal TR</w:t>
      </w:r>
      <w:r>
        <w:t>Fs with a significant difference</w:t>
      </w:r>
      <w:r w:rsidRPr="004A67E0">
        <w:t xml:space="preserve"> in TRF relative abundance between orchard types only</w:t>
      </w:r>
      <w:r>
        <w:t xml:space="preserve"> found for one TRF; </w:t>
      </w:r>
      <w:r w:rsidR="00DE1AD4">
        <w:rPr>
          <w:i/>
        </w:rPr>
        <w:t>HpyCH4-III</w:t>
      </w:r>
      <w:r>
        <w:t xml:space="preserve"> 699bp (</w:t>
      </w:r>
      <w:r w:rsidR="00950437">
        <w:fldChar w:fldCharType="begin"/>
      </w:r>
      <w:r w:rsidR="00950437">
        <w:instrText xml:space="preserve"> REF _Ref463095472 \h </w:instrText>
      </w:r>
      <w:r w:rsidR="00950437">
        <w:fldChar w:fldCharType="separate"/>
      </w:r>
      <w:r w:rsidR="00E0714D" w:rsidRPr="00F55C45">
        <w:t xml:space="preserve">Figure </w:t>
      </w:r>
      <w:r w:rsidR="00E0714D">
        <w:rPr>
          <w:noProof/>
        </w:rPr>
        <w:t>3</w:t>
      </w:r>
      <w:r w:rsidR="00E0714D">
        <w:t>.</w:t>
      </w:r>
      <w:r w:rsidR="00E0714D">
        <w:rPr>
          <w:noProof/>
        </w:rPr>
        <w:t>14</w:t>
      </w:r>
      <w:r w:rsidR="00950437">
        <w:fldChar w:fldCharType="end"/>
      </w:r>
      <w:r w:rsidRPr="004A67E0">
        <w:t>).</w:t>
      </w:r>
      <w:r>
        <w:t xml:space="preserve"> Conventional bush orchards showed a significantly lower relative abundance of the 699bp TRF when compared to its relative abundance within organic standard orchards.</w:t>
      </w:r>
      <w:r w:rsidR="000E6A60" w:rsidRPr="000E6A60">
        <w:t xml:space="preserve"> </w:t>
      </w:r>
      <w:r w:rsidR="000E6A60">
        <w:t>To check for the effect of extreme values of woodland and arable habitats</w:t>
      </w:r>
      <w:r w:rsidR="00A25236">
        <w:t xml:space="preserve"> TRF relative abundance values</w:t>
      </w:r>
      <w:r w:rsidR="000E6A60">
        <w:t xml:space="preserve"> masking significance of more subtle differences in TRF relative abundance</w:t>
      </w:r>
      <w:r w:rsidR="00A25236">
        <w:t xml:space="preserve"> between the three orchard types</w:t>
      </w:r>
      <w:r w:rsidR="000E6A60">
        <w:t>, ANOVA tests for TRF relative abundance were repeated but with exclusion of woodland and arable sites</w:t>
      </w:r>
      <w:r w:rsidR="00A25236">
        <w:t>.  T</w:t>
      </w:r>
      <w:r w:rsidR="000E6A60">
        <w:t>his analysis also showed a significant difference in TRF relative abundance between</w:t>
      </w:r>
      <w:r w:rsidR="00A25236">
        <w:t xml:space="preserve"> the three orchard types</w:t>
      </w:r>
      <w:r w:rsidR="000E6A60">
        <w:t xml:space="preserve"> for </w:t>
      </w:r>
      <w:r w:rsidR="000E6A60">
        <w:rPr>
          <w:i/>
        </w:rPr>
        <w:t>HpyCH4-III</w:t>
      </w:r>
      <w:r w:rsidR="000E6A60">
        <w:t xml:space="preserve"> 699bp</w:t>
      </w:r>
      <w:r w:rsidR="00A25236">
        <w:t xml:space="preserve"> only.</w:t>
      </w:r>
    </w:p>
    <w:p w:rsidR="00B46350" w:rsidRPr="004A67E0" w:rsidRDefault="00B46350" w:rsidP="00B46350">
      <w:r>
        <w:t>Relative abundance of TRFs within w</w:t>
      </w:r>
      <w:r w:rsidRPr="004A67E0">
        <w:t xml:space="preserve">oodland habitats in general showed similarity </w:t>
      </w:r>
      <w:r>
        <w:t>to</w:t>
      </w:r>
      <w:r w:rsidRPr="004A67E0">
        <w:t xml:space="preserve"> </w:t>
      </w:r>
      <w:r>
        <w:t>those of the three orchard types and was o</w:t>
      </w:r>
      <w:r w:rsidRPr="004A67E0">
        <w:t>nly</w:t>
      </w:r>
      <w:r>
        <w:t xml:space="preserve"> found to be significantly different to </w:t>
      </w:r>
      <w:r w:rsidRPr="004A67E0">
        <w:t>one or more of the orchard types in 2</w:t>
      </w:r>
      <w:r>
        <w:t xml:space="preserve"> (</w:t>
      </w:r>
      <w:r w:rsidR="00DE1AD4">
        <w:rPr>
          <w:i/>
        </w:rPr>
        <w:t>HpyCH4-III</w:t>
      </w:r>
      <w:r>
        <w:t xml:space="preserve"> 393bp and </w:t>
      </w:r>
      <w:r w:rsidR="00DE1AD4">
        <w:rPr>
          <w:i/>
        </w:rPr>
        <w:t>HpyCH4-III</w:t>
      </w:r>
      <w:r>
        <w:t xml:space="preserve"> 547bp) </w:t>
      </w:r>
      <w:r w:rsidRPr="004A67E0">
        <w:t xml:space="preserve"> of the 12</w:t>
      </w:r>
      <w:r>
        <w:t xml:space="preserve"> TRF sizes significantly affected by habitat (</w:t>
      </w:r>
      <w:r>
        <w:fldChar w:fldCharType="begin"/>
      </w:r>
      <w:r>
        <w:instrText xml:space="preserve"> REF _Ref463095472 \h </w:instrText>
      </w:r>
      <w:r>
        <w:fldChar w:fldCharType="separate"/>
      </w:r>
      <w:r w:rsidR="00E0714D" w:rsidRPr="00F55C45">
        <w:t xml:space="preserve">Figure </w:t>
      </w:r>
      <w:r w:rsidR="00E0714D">
        <w:rPr>
          <w:noProof/>
        </w:rPr>
        <w:t>3</w:t>
      </w:r>
      <w:r w:rsidR="00E0714D">
        <w:t>.</w:t>
      </w:r>
      <w:r w:rsidR="00E0714D">
        <w:rPr>
          <w:noProof/>
        </w:rPr>
        <w:t>14</w:t>
      </w:r>
      <w:r>
        <w:fldChar w:fldCharType="end"/>
      </w:r>
      <w:r>
        <w:t>c and e</w:t>
      </w:r>
      <w:r w:rsidRPr="004A67E0">
        <w:t>).</w:t>
      </w:r>
      <w:r>
        <w:t xml:space="preserve"> For the </w:t>
      </w:r>
      <w:r w:rsidR="00DE1AD4">
        <w:rPr>
          <w:i/>
        </w:rPr>
        <w:t>HpyCH4-III</w:t>
      </w:r>
      <w:r>
        <w:t xml:space="preserve"> 393bp fragment relative TRF </w:t>
      </w:r>
      <w:r>
        <w:lastRenderedPageBreak/>
        <w:t xml:space="preserve">abundance within woodlands was significantly lower than that of conventional bush and conventional standard orchards but not significantly different to organic orchards.  Contrastingly relative abundance of the </w:t>
      </w:r>
      <w:r w:rsidR="00DE1AD4">
        <w:rPr>
          <w:i/>
        </w:rPr>
        <w:t>HpyCH4-III</w:t>
      </w:r>
      <w:r>
        <w:t xml:space="preserve"> 547 fragment within woodland was significantly higher than that of all other habitats. Therefore organic standard orchards were most similar to woodlands of the three orchard types in terms of TRF relative abundance. </w:t>
      </w:r>
    </w:p>
    <w:p w:rsidR="00B46350" w:rsidRPr="00F55C45" w:rsidRDefault="00B46350" w:rsidP="003C6D28">
      <w:pPr>
        <w:pStyle w:val="Caption"/>
      </w:pPr>
      <w:bookmarkStart w:id="303" w:name="_Ref463095341"/>
      <w:bookmarkStart w:id="304" w:name="_Ref463689016"/>
      <w:bookmarkStart w:id="305" w:name="_Toc469868576"/>
      <w:r w:rsidRPr="00F55C45">
        <w:t xml:space="preserve">Table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Pr="00F55C45">
        <w:t>.</w:t>
      </w:r>
      <w:r w:rsidR="00C44EF5">
        <w:fldChar w:fldCharType="begin"/>
      </w:r>
      <w:r w:rsidR="00C44EF5">
        <w:instrText xml:space="preserve"> SEQ Table \* ARABIC \s 1 </w:instrText>
      </w:r>
      <w:r w:rsidR="00C44EF5">
        <w:fldChar w:fldCharType="separate"/>
      </w:r>
      <w:r w:rsidR="00E0714D">
        <w:rPr>
          <w:noProof/>
        </w:rPr>
        <w:t>2</w:t>
      </w:r>
      <w:r w:rsidR="00C44EF5">
        <w:rPr>
          <w:noProof/>
        </w:rPr>
        <w:fldChar w:fldCharType="end"/>
      </w:r>
      <w:bookmarkEnd w:id="303"/>
      <w:r w:rsidRPr="00F55C45">
        <w:t xml:space="preserve"> One-way ANOVA results for effect of habitat on TRF richness and Simpson’s reciprocal diversity index. Analysis was </w:t>
      </w:r>
      <w:r w:rsidRPr="003C6D28">
        <w:t>performed</w:t>
      </w:r>
      <w:r w:rsidRPr="00F55C45">
        <w:t xml:space="preserve"> on the TRFs both grouped and separately from restriction with </w:t>
      </w:r>
      <w:proofErr w:type="spellStart"/>
      <w:r w:rsidRPr="00F55C45">
        <w:rPr>
          <w:i/>
        </w:rPr>
        <w:t>Hinf</w:t>
      </w:r>
      <w:proofErr w:type="spellEnd"/>
      <w:r w:rsidRPr="00F55C45">
        <w:rPr>
          <w:i/>
        </w:rPr>
        <w:t>-</w:t>
      </w:r>
      <w:r w:rsidRPr="00F55C45">
        <w:t xml:space="preserve">I and </w:t>
      </w:r>
      <w:r w:rsidR="00DE1AD4">
        <w:rPr>
          <w:i/>
        </w:rPr>
        <w:t>HpyCH4-III</w:t>
      </w:r>
      <w:r w:rsidRPr="00F55C45">
        <w:t>.</w:t>
      </w:r>
      <w:bookmarkEnd w:id="304"/>
      <w:bookmarkEnd w:id="305"/>
    </w:p>
    <w:tbl>
      <w:tblPr>
        <w:tblStyle w:val="TableGrid"/>
        <w:tblpPr w:leftFromText="180" w:rightFromText="180" w:vertAnchor="text" w:horzAnchor="margin" w:tblpXSpec="center" w:tblpY="14"/>
        <w:tblW w:w="0" w:type="auto"/>
        <w:tblLook w:val="04A0" w:firstRow="1" w:lastRow="0" w:firstColumn="1" w:lastColumn="0" w:noHBand="0" w:noVBand="1"/>
      </w:tblPr>
      <w:tblGrid>
        <w:gridCol w:w="2250"/>
        <w:gridCol w:w="3780"/>
        <w:gridCol w:w="236"/>
        <w:gridCol w:w="1105"/>
        <w:gridCol w:w="1108"/>
      </w:tblGrid>
      <w:tr w:rsidR="00B46350" w:rsidRPr="00F55C45" w:rsidTr="003D1BB6">
        <w:trPr>
          <w:trHeight w:val="340"/>
        </w:trPr>
        <w:tc>
          <w:tcPr>
            <w:tcW w:w="2250" w:type="dxa"/>
            <w:tcBorders>
              <w:top w:val="single" w:sz="4" w:space="0" w:color="auto"/>
              <w:left w:val="nil"/>
              <w:bottom w:val="single" w:sz="4" w:space="0" w:color="auto"/>
              <w:right w:val="nil"/>
            </w:tcBorders>
          </w:tcPr>
          <w:p w:rsidR="00B46350" w:rsidRPr="00F55C45" w:rsidRDefault="00B46350" w:rsidP="00B46350">
            <w:pPr>
              <w:spacing w:line="240" w:lineRule="auto"/>
              <w:rPr>
                <w:b/>
                <w:sz w:val="20"/>
                <w:szCs w:val="20"/>
              </w:rPr>
            </w:pPr>
            <w:r w:rsidRPr="00F55C45">
              <w:rPr>
                <w:b/>
                <w:sz w:val="20"/>
                <w:szCs w:val="20"/>
              </w:rPr>
              <w:t>Diversity Measure</w:t>
            </w:r>
          </w:p>
        </w:tc>
        <w:tc>
          <w:tcPr>
            <w:tcW w:w="3780" w:type="dxa"/>
            <w:tcBorders>
              <w:top w:val="single" w:sz="4" w:space="0" w:color="auto"/>
              <w:left w:val="nil"/>
              <w:bottom w:val="single" w:sz="4" w:space="0" w:color="auto"/>
              <w:right w:val="nil"/>
            </w:tcBorders>
          </w:tcPr>
          <w:p w:rsidR="00B46350" w:rsidRPr="00F55C45" w:rsidRDefault="00B46350" w:rsidP="00B46350">
            <w:pPr>
              <w:spacing w:line="240" w:lineRule="auto"/>
              <w:rPr>
                <w:b/>
                <w:sz w:val="20"/>
                <w:szCs w:val="20"/>
              </w:rPr>
            </w:pPr>
            <w:r w:rsidRPr="00F55C45">
              <w:rPr>
                <w:b/>
                <w:sz w:val="20"/>
                <w:szCs w:val="20"/>
              </w:rPr>
              <w:t>Restriction enzymes</w:t>
            </w:r>
          </w:p>
        </w:tc>
        <w:tc>
          <w:tcPr>
            <w:tcW w:w="236" w:type="dxa"/>
            <w:tcBorders>
              <w:top w:val="single" w:sz="4" w:space="0" w:color="auto"/>
              <w:left w:val="nil"/>
              <w:bottom w:val="single" w:sz="4" w:space="0" w:color="auto"/>
              <w:right w:val="nil"/>
            </w:tcBorders>
          </w:tcPr>
          <w:p w:rsidR="00B46350" w:rsidRPr="00F55C45" w:rsidRDefault="00B46350" w:rsidP="00B46350">
            <w:pPr>
              <w:spacing w:line="240" w:lineRule="auto"/>
              <w:rPr>
                <w:b/>
                <w:sz w:val="20"/>
                <w:szCs w:val="20"/>
              </w:rPr>
            </w:pPr>
          </w:p>
        </w:tc>
        <w:tc>
          <w:tcPr>
            <w:tcW w:w="1105" w:type="dxa"/>
            <w:tcBorders>
              <w:top w:val="single" w:sz="4" w:space="0" w:color="auto"/>
              <w:left w:val="nil"/>
              <w:bottom w:val="single" w:sz="4" w:space="0" w:color="auto"/>
              <w:right w:val="nil"/>
            </w:tcBorders>
          </w:tcPr>
          <w:p w:rsidR="00B46350" w:rsidRPr="00F55C45" w:rsidRDefault="00B46350" w:rsidP="00B46350">
            <w:pPr>
              <w:spacing w:line="240" w:lineRule="auto"/>
              <w:rPr>
                <w:b/>
                <w:sz w:val="20"/>
                <w:szCs w:val="20"/>
              </w:rPr>
            </w:pPr>
            <w:r w:rsidRPr="00F55C45">
              <w:rPr>
                <w:b/>
                <w:i/>
                <w:sz w:val="20"/>
                <w:szCs w:val="20"/>
              </w:rPr>
              <w:t>F</w:t>
            </w:r>
            <w:r w:rsidRPr="00F55C45">
              <w:rPr>
                <w:b/>
                <w:sz w:val="20"/>
                <w:szCs w:val="20"/>
                <w:vertAlign w:val="subscript"/>
              </w:rPr>
              <w:t>1,4</w:t>
            </w:r>
          </w:p>
        </w:tc>
        <w:tc>
          <w:tcPr>
            <w:tcW w:w="1108" w:type="dxa"/>
            <w:tcBorders>
              <w:top w:val="single" w:sz="4" w:space="0" w:color="auto"/>
              <w:left w:val="nil"/>
              <w:bottom w:val="single" w:sz="4" w:space="0" w:color="auto"/>
              <w:right w:val="nil"/>
            </w:tcBorders>
          </w:tcPr>
          <w:p w:rsidR="00B46350" w:rsidRPr="00F55C45" w:rsidRDefault="00B46350" w:rsidP="00B46350">
            <w:pPr>
              <w:spacing w:line="240" w:lineRule="auto"/>
              <w:rPr>
                <w:b/>
                <w:i/>
                <w:sz w:val="20"/>
                <w:szCs w:val="20"/>
              </w:rPr>
            </w:pPr>
            <w:r w:rsidRPr="00F55C45">
              <w:rPr>
                <w:b/>
                <w:i/>
                <w:sz w:val="20"/>
                <w:szCs w:val="20"/>
              </w:rPr>
              <w:t>P</w:t>
            </w:r>
          </w:p>
        </w:tc>
      </w:tr>
      <w:tr w:rsidR="00B46350" w:rsidRPr="00F55C45" w:rsidTr="003D1BB6">
        <w:trPr>
          <w:trHeight w:val="340"/>
        </w:trPr>
        <w:tc>
          <w:tcPr>
            <w:tcW w:w="2250" w:type="dxa"/>
            <w:tcBorders>
              <w:top w:val="single" w:sz="4" w:space="0" w:color="auto"/>
              <w:left w:val="nil"/>
              <w:bottom w:val="nil"/>
              <w:right w:val="nil"/>
            </w:tcBorders>
          </w:tcPr>
          <w:p w:rsidR="00B46350" w:rsidRPr="00F55C45" w:rsidRDefault="00B46350" w:rsidP="00B46350">
            <w:pPr>
              <w:spacing w:line="240" w:lineRule="auto"/>
              <w:rPr>
                <w:sz w:val="20"/>
                <w:szCs w:val="20"/>
              </w:rPr>
            </w:pPr>
            <w:r>
              <w:rPr>
                <w:sz w:val="20"/>
                <w:szCs w:val="20"/>
              </w:rPr>
              <w:t>R</w:t>
            </w:r>
            <w:r w:rsidRPr="00F55C45">
              <w:rPr>
                <w:sz w:val="20"/>
                <w:szCs w:val="20"/>
              </w:rPr>
              <w:t>ichness</w:t>
            </w:r>
          </w:p>
        </w:tc>
        <w:tc>
          <w:tcPr>
            <w:tcW w:w="3780" w:type="dxa"/>
            <w:tcBorders>
              <w:top w:val="single" w:sz="4" w:space="0" w:color="auto"/>
              <w:left w:val="nil"/>
              <w:bottom w:val="nil"/>
              <w:right w:val="nil"/>
            </w:tcBorders>
          </w:tcPr>
          <w:p w:rsidR="00B46350" w:rsidRPr="00F55C45" w:rsidRDefault="00B46350" w:rsidP="00B46350">
            <w:pPr>
              <w:spacing w:line="240" w:lineRule="auto"/>
              <w:rPr>
                <w:sz w:val="20"/>
                <w:szCs w:val="20"/>
              </w:rPr>
            </w:pPr>
            <w:proofErr w:type="spellStart"/>
            <w:r w:rsidRPr="00F55C45">
              <w:rPr>
                <w:sz w:val="20"/>
                <w:szCs w:val="20"/>
              </w:rPr>
              <w:t>Hinf</w:t>
            </w:r>
            <w:proofErr w:type="spellEnd"/>
            <w:r w:rsidRPr="00F55C45">
              <w:rPr>
                <w:sz w:val="20"/>
                <w:szCs w:val="20"/>
              </w:rPr>
              <w:t>-</w:t>
            </w:r>
            <w:r w:rsidR="003B1C9D">
              <w:rPr>
                <w:sz w:val="20"/>
                <w:szCs w:val="20"/>
              </w:rPr>
              <w:t>I</w:t>
            </w:r>
            <w:r w:rsidRPr="00F55C45">
              <w:rPr>
                <w:sz w:val="20"/>
                <w:szCs w:val="20"/>
              </w:rPr>
              <w:t xml:space="preserve"> and </w:t>
            </w:r>
            <w:r w:rsidR="00DE1AD4">
              <w:rPr>
                <w:i/>
                <w:sz w:val="20"/>
                <w:szCs w:val="20"/>
              </w:rPr>
              <w:t>HpyCH4-III</w:t>
            </w:r>
            <w:r w:rsidRPr="00F55C45">
              <w:rPr>
                <w:sz w:val="20"/>
                <w:szCs w:val="20"/>
              </w:rPr>
              <w:t xml:space="preserve"> (grouped)</w:t>
            </w:r>
          </w:p>
        </w:tc>
        <w:tc>
          <w:tcPr>
            <w:tcW w:w="236" w:type="dxa"/>
            <w:tcBorders>
              <w:top w:val="single" w:sz="4" w:space="0" w:color="auto"/>
              <w:left w:val="nil"/>
              <w:bottom w:val="nil"/>
              <w:right w:val="nil"/>
            </w:tcBorders>
          </w:tcPr>
          <w:p w:rsidR="00B46350" w:rsidRPr="00F55C45" w:rsidRDefault="00B46350" w:rsidP="00B46350">
            <w:pPr>
              <w:spacing w:line="240" w:lineRule="auto"/>
              <w:rPr>
                <w:b/>
                <w:sz w:val="20"/>
                <w:szCs w:val="20"/>
              </w:rPr>
            </w:pPr>
          </w:p>
        </w:tc>
        <w:tc>
          <w:tcPr>
            <w:tcW w:w="1105" w:type="dxa"/>
            <w:tcBorders>
              <w:top w:val="single" w:sz="4" w:space="0" w:color="auto"/>
              <w:left w:val="nil"/>
              <w:bottom w:val="nil"/>
              <w:right w:val="nil"/>
            </w:tcBorders>
          </w:tcPr>
          <w:p w:rsidR="00B46350" w:rsidRPr="00F55C45" w:rsidRDefault="00B46350" w:rsidP="00B46350">
            <w:pPr>
              <w:spacing w:line="240" w:lineRule="auto"/>
              <w:rPr>
                <w:b/>
                <w:sz w:val="20"/>
                <w:szCs w:val="20"/>
              </w:rPr>
            </w:pPr>
            <w:r w:rsidRPr="00F55C45">
              <w:rPr>
                <w:b/>
                <w:sz w:val="20"/>
                <w:szCs w:val="20"/>
              </w:rPr>
              <w:t>3.56</w:t>
            </w:r>
          </w:p>
        </w:tc>
        <w:tc>
          <w:tcPr>
            <w:tcW w:w="1108" w:type="dxa"/>
            <w:tcBorders>
              <w:top w:val="single" w:sz="4" w:space="0" w:color="auto"/>
              <w:left w:val="nil"/>
              <w:bottom w:val="nil"/>
              <w:right w:val="nil"/>
            </w:tcBorders>
          </w:tcPr>
          <w:p w:rsidR="00B46350" w:rsidRPr="00F55C45" w:rsidRDefault="00B46350" w:rsidP="00B46350">
            <w:pPr>
              <w:spacing w:line="240" w:lineRule="auto"/>
              <w:rPr>
                <w:b/>
                <w:sz w:val="20"/>
                <w:szCs w:val="20"/>
              </w:rPr>
            </w:pPr>
            <w:r w:rsidRPr="00F55C45">
              <w:rPr>
                <w:b/>
                <w:sz w:val="20"/>
                <w:szCs w:val="20"/>
              </w:rPr>
              <w:t>0.009</w:t>
            </w:r>
          </w:p>
        </w:tc>
      </w:tr>
      <w:tr w:rsidR="00B46350" w:rsidRPr="00F55C45" w:rsidTr="003D1BB6">
        <w:trPr>
          <w:trHeight w:val="340"/>
        </w:trPr>
        <w:tc>
          <w:tcPr>
            <w:tcW w:w="2250" w:type="dxa"/>
            <w:tcBorders>
              <w:top w:val="nil"/>
              <w:left w:val="nil"/>
              <w:bottom w:val="nil"/>
              <w:right w:val="nil"/>
            </w:tcBorders>
          </w:tcPr>
          <w:p w:rsidR="00B46350" w:rsidRPr="00F55C45" w:rsidRDefault="00B46350" w:rsidP="00B46350">
            <w:pPr>
              <w:spacing w:line="240" w:lineRule="auto"/>
              <w:rPr>
                <w:i/>
                <w:sz w:val="20"/>
                <w:szCs w:val="20"/>
              </w:rPr>
            </w:pPr>
          </w:p>
        </w:tc>
        <w:tc>
          <w:tcPr>
            <w:tcW w:w="3780" w:type="dxa"/>
            <w:tcBorders>
              <w:top w:val="nil"/>
              <w:left w:val="nil"/>
              <w:bottom w:val="nil"/>
              <w:right w:val="nil"/>
            </w:tcBorders>
          </w:tcPr>
          <w:p w:rsidR="00B46350" w:rsidRPr="00F55C45" w:rsidRDefault="00B46350" w:rsidP="00B46350">
            <w:pPr>
              <w:spacing w:line="240" w:lineRule="auto"/>
              <w:rPr>
                <w:sz w:val="20"/>
                <w:szCs w:val="20"/>
              </w:rPr>
            </w:pPr>
            <w:proofErr w:type="spellStart"/>
            <w:r w:rsidRPr="00F55C45">
              <w:rPr>
                <w:i/>
                <w:sz w:val="20"/>
                <w:szCs w:val="20"/>
              </w:rPr>
              <w:t>Hinf</w:t>
            </w:r>
            <w:proofErr w:type="spellEnd"/>
            <w:r w:rsidRPr="00F55C45">
              <w:rPr>
                <w:sz w:val="20"/>
                <w:szCs w:val="20"/>
              </w:rPr>
              <w:t>-I*</w:t>
            </w:r>
          </w:p>
        </w:tc>
        <w:tc>
          <w:tcPr>
            <w:tcW w:w="236" w:type="dxa"/>
            <w:tcBorders>
              <w:top w:val="nil"/>
              <w:left w:val="nil"/>
              <w:bottom w:val="nil"/>
              <w:right w:val="nil"/>
            </w:tcBorders>
          </w:tcPr>
          <w:p w:rsidR="00B46350" w:rsidRPr="00F55C45" w:rsidRDefault="00B46350" w:rsidP="00B46350">
            <w:pPr>
              <w:spacing w:line="240" w:lineRule="auto"/>
              <w:rPr>
                <w:sz w:val="20"/>
                <w:szCs w:val="20"/>
              </w:rPr>
            </w:pPr>
          </w:p>
        </w:tc>
        <w:tc>
          <w:tcPr>
            <w:tcW w:w="1105" w:type="dxa"/>
            <w:tcBorders>
              <w:top w:val="nil"/>
              <w:left w:val="nil"/>
              <w:bottom w:val="nil"/>
              <w:right w:val="nil"/>
            </w:tcBorders>
          </w:tcPr>
          <w:p w:rsidR="00B46350" w:rsidRPr="00F55C45" w:rsidRDefault="00B46350" w:rsidP="00B46350">
            <w:pPr>
              <w:spacing w:line="240" w:lineRule="auto"/>
              <w:rPr>
                <w:sz w:val="20"/>
                <w:szCs w:val="20"/>
              </w:rPr>
            </w:pPr>
            <w:r w:rsidRPr="00F55C45">
              <w:rPr>
                <w:b/>
                <w:sz w:val="20"/>
                <w:szCs w:val="20"/>
              </w:rPr>
              <w:t>3.42</w:t>
            </w:r>
          </w:p>
        </w:tc>
        <w:tc>
          <w:tcPr>
            <w:tcW w:w="1108" w:type="dxa"/>
            <w:tcBorders>
              <w:top w:val="nil"/>
              <w:left w:val="nil"/>
              <w:bottom w:val="nil"/>
              <w:right w:val="nil"/>
            </w:tcBorders>
          </w:tcPr>
          <w:p w:rsidR="00B46350" w:rsidRPr="00F55C45" w:rsidRDefault="00B46350" w:rsidP="00B46350">
            <w:pPr>
              <w:spacing w:line="240" w:lineRule="auto"/>
              <w:rPr>
                <w:sz w:val="20"/>
                <w:szCs w:val="20"/>
              </w:rPr>
            </w:pPr>
            <w:r w:rsidRPr="00F55C45">
              <w:rPr>
                <w:b/>
                <w:sz w:val="20"/>
                <w:szCs w:val="20"/>
              </w:rPr>
              <w:t>0.012</w:t>
            </w:r>
          </w:p>
        </w:tc>
      </w:tr>
      <w:tr w:rsidR="00B46350" w:rsidRPr="00F55C45" w:rsidTr="003D1BB6">
        <w:trPr>
          <w:trHeight w:val="340"/>
        </w:trPr>
        <w:tc>
          <w:tcPr>
            <w:tcW w:w="2250" w:type="dxa"/>
            <w:tcBorders>
              <w:top w:val="nil"/>
              <w:left w:val="nil"/>
              <w:bottom w:val="single" w:sz="4" w:space="0" w:color="auto"/>
              <w:right w:val="nil"/>
            </w:tcBorders>
          </w:tcPr>
          <w:p w:rsidR="00B46350" w:rsidRPr="00F55C45" w:rsidRDefault="00B46350" w:rsidP="00B46350">
            <w:pPr>
              <w:spacing w:line="240" w:lineRule="auto"/>
              <w:rPr>
                <w:i/>
                <w:sz w:val="20"/>
                <w:szCs w:val="20"/>
              </w:rPr>
            </w:pPr>
          </w:p>
        </w:tc>
        <w:tc>
          <w:tcPr>
            <w:tcW w:w="3780" w:type="dxa"/>
            <w:tcBorders>
              <w:top w:val="nil"/>
              <w:left w:val="nil"/>
              <w:bottom w:val="single" w:sz="4" w:space="0" w:color="auto"/>
              <w:right w:val="nil"/>
            </w:tcBorders>
          </w:tcPr>
          <w:p w:rsidR="00B46350" w:rsidRPr="00F55C45" w:rsidRDefault="00DE1AD4" w:rsidP="00B46350">
            <w:pPr>
              <w:spacing w:line="240" w:lineRule="auto"/>
              <w:rPr>
                <w:sz w:val="20"/>
                <w:szCs w:val="20"/>
              </w:rPr>
            </w:pPr>
            <w:r>
              <w:rPr>
                <w:i/>
                <w:sz w:val="20"/>
                <w:szCs w:val="20"/>
              </w:rPr>
              <w:t>HpyCH4-III</w:t>
            </w:r>
          </w:p>
        </w:tc>
        <w:tc>
          <w:tcPr>
            <w:tcW w:w="236" w:type="dxa"/>
            <w:tcBorders>
              <w:top w:val="nil"/>
              <w:left w:val="nil"/>
              <w:bottom w:val="single" w:sz="4" w:space="0" w:color="auto"/>
              <w:right w:val="nil"/>
            </w:tcBorders>
          </w:tcPr>
          <w:p w:rsidR="00B46350" w:rsidRPr="00F55C45" w:rsidRDefault="00B46350" w:rsidP="00B46350">
            <w:pPr>
              <w:spacing w:line="240" w:lineRule="auto"/>
              <w:rPr>
                <w:sz w:val="20"/>
                <w:szCs w:val="20"/>
              </w:rPr>
            </w:pPr>
          </w:p>
        </w:tc>
        <w:tc>
          <w:tcPr>
            <w:tcW w:w="1105" w:type="dxa"/>
            <w:tcBorders>
              <w:top w:val="nil"/>
              <w:left w:val="nil"/>
              <w:bottom w:val="single" w:sz="4" w:space="0" w:color="auto"/>
              <w:right w:val="nil"/>
            </w:tcBorders>
          </w:tcPr>
          <w:p w:rsidR="00B46350" w:rsidRPr="00F55C45" w:rsidRDefault="00B46350" w:rsidP="00B46350">
            <w:pPr>
              <w:spacing w:line="240" w:lineRule="auto"/>
              <w:rPr>
                <w:sz w:val="20"/>
                <w:szCs w:val="20"/>
              </w:rPr>
            </w:pPr>
            <w:r w:rsidRPr="00F55C45">
              <w:rPr>
                <w:sz w:val="20"/>
                <w:szCs w:val="20"/>
              </w:rPr>
              <w:t>1.39</w:t>
            </w:r>
          </w:p>
        </w:tc>
        <w:tc>
          <w:tcPr>
            <w:tcW w:w="1108" w:type="dxa"/>
            <w:tcBorders>
              <w:top w:val="nil"/>
              <w:left w:val="nil"/>
              <w:bottom w:val="single" w:sz="4" w:space="0" w:color="auto"/>
              <w:right w:val="nil"/>
            </w:tcBorders>
          </w:tcPr>
          <w:p w:rsidR="00B46350" w:rsidRPr="00F55C45" w:rsidRDefault="00B46350" w:rsidP="00B46350">
            <w:pPr>
              <w:spacing w:line="240" w:lineRule="auto"/>
              <w:rPr>
                <w:sz w:val="20"/>
                <w:szCs w:val="20"/>
              </w:rPr>
            </w:pPr>
            <w:r w:rsidRPr="00F55C45">
              <w:rPr>
                <w:sz w:val="20"/>
                <w:szCs w:val="20"/>
              </w:rPr>
              <w:t>0.243</w:t>
            </w:r>
          </w:p>
        </w:tc>
      </w:tr>
      <w:tr w:rsidR="00B46350" w:rsidRPr="00F55C45" w:rsidTr="003D1BB6">
        <w:trPr>
          <w:trHeight w:val="340"/>
        </w:trPr>
        <w:tc>
          <w:tcPr>
            <w:tcW w:w="2250" w:type="dxa"/>
            <w:tcBorders>
              <w:top w:val="single" w:sz="4" w:space="0" w:color="auto"/>
              <w:left w:val="nil"/>
              <w:bottom w:val="nil"/>
              <w:right w:val="nil"/>
            </w:tcBorders>
          </w:tcPr>
          <w:p w:rsidR="00B46350" w:rsidRPr="00F55C45" w:rsidRDefault="00B46350" w:rsidP="00B46350">
            <w:pPr>
              <w:spacing w:line="240" w:lineRule="auto"/>
              <w:rPr>
                <w:sz w:val="20"/>
                <w:szCs w:val="20"/>
              </w:rPr>
            </w:pPr>
            <w:r w:rsidRPr="00F55C45">
              <w:rPr>
                <w:sz w:val="20"/>
                <w:szCs w:val="20"/>
              </w:rPr>
              <w:t>Simpson’s reciprocal diversity index</w:t>
            </w:r>
          </w:p>
        </w:tc>
        <w:tc>
          <w:tcPr>
            <w:tcW w:w="3780" w:type="dxa"/>
            <w:tcBorders>
              <w:top w:val="single" w:sz="4" w:space="0" w:color="auto"/>
              <w:left w:val="nil"/>
              <w:bottom w:val="nil"/>
              <w:right w:val="nil"/>
            </w:tcBorders>
          </w:tcPr>
          <w:p w:rsidR="00B46350" w:rsidRPr="00F55C45" w:rsidRDefault="00B46350" w:rsidP="00B46350">
            <w:pPr>
              <w:spacing w:line="240" w:lineRule="auto"/>
              <w:rPr>
                <w:sz w:val="20"/>
                <w:szCs w:val="20"/>
              </w:rPr>
            </w:pPr>
            <w:r w:rsidRPr="00F55C45">
              <w:rPr>
                <w:sz w:val="20"/>
                <w:szCs w:val="20"/>
              </w:rPr>
              <w:t xml:space="preserve">Hinf-1 and </w:t>
            </w:r>
            <w:r w:rsidR="00DE1AD4">
              <w:rPr>
                <w:i/>
                <w:sz w:val="20"/>
                <w:szCs w:val="20"/>
              </w:rPr>
              <w:t>HpyCH4-III</w:t>
            </w:r>
            <w:r w:rsidRPr="00F55C45">
              <w:rPr>
                <w:sz w:val="20"/>
                <w:szCs w:val="20"/>
              </w:rPr>
              <w:t xml:space="preserve"> (grouped)</w:t>
            </w:r>
          </w:p>
        </w:tc>
        <w:tc>
          <w:tcPr>
            <w:tcW w:w="236" w:type="dxa"/>
            <w:tcBorders>
              <w:top w:val="single" w:sz="4" w:space="0" w:color="auto"/>
              <w:left w:val="nil"/>
              <w:bottom w:val="nil"/>
              <w:right w:val="nil"/>
            </w:tcBorders>
          </w:tcPr>
          <w:p w:rsidR="00B46350" w:rsidRPr="00F55C45" w:rsidRDefault="00B46350" w:rsidP="00B46350">
            <w:pPr>
              <w:spacing w:line="240" w:lineRule="auto"/>
              <w:rPr>
                <w:b/>
                <w:sz w:val="20"/>
                <w:szCs w:val="20"/>
              </w:rPr>
            </w:pPr>
          </w:p>
        </w:tc>
        <w:tc>
          <w:tcPr>
            <w:tcW w:w="1105" w:type="dxa"/>
            <w:tcBorders>
              <w:top w:val="single" w:sz="4" w:space="0" w:color="auto"/>
              <w:left w:val="nil"/>
              <w:bottom w:val="nil"/>
              <w:right w:val="nil"/>
            </w:tcBorders>
          </w:tcPr>
          <w:p w:rsidR="00B46350" w:rsidRPr="00F55C45" w:rsidRDefault="00B46350" w:rsidP="00B46350">
            <w:pPr>
              <w:spacing w:line="240" w:lineRule="auto"/>
              <w:rPr>
                <w:b/>
                <w:sz w:val="20"/>
                <w:szCs w:val="20"/>
              </w:rPr>
            </w:pPr>
            <w:r w:rsidRPr="00F55C45">
              <w:rPr>
                <w:b/>
                <w:sz w:val="20"/>
                <w:szCs w:val="20"/>
              </w:rPr>
              <w:t>5.27</w:t>
            </w:r>
          </w:p>
        </w:tc>
        <w:tc>
          <w:tcPr>
            <w:tcW w:w="1108" w:type="dxa"/>
            <w:tcBorders>
              <w:top w:val="single" w:sz="4" w:space="0" w:color="auto"/>
              <w:left w:val="nil"/>
              <w:bottom w:val="nil"/>
              <w:right w:val="nil"/>
            </w:tcBorders>
          </w:tcPr>
          <w:p w:rsidR="00B46350" w:rsidRPr="00F55C45" w:rsidRDefault="00B46350" w:rsidP="00B46350">
            <w:pPr>
              <w:spacing w:line="240" w:lineRule="auto"/>
              <w:rPr>
                <w:b/>
                <w:sz w:val="20"/>
                <w:szCs w:val="20"/>
              </w:rPr>
            </w:pPr>
            <w:r w:rsidRPr="00F55C45">
              <w:rPr>
                <w:b/>
                <w:sz w:val="20"/>
                <w:szCs w:val="20"/>
              </w:rPr>
              <w:t>0.001</w:t>
            </w:r>
          </w:p>
        </w:tc>
      </w:tr>
      <w:tr w:rsidR="00B46350" w:rsidRPr="00F55C45" w:rsidTr="003D1BB6">
        <w:trPr>
          <w:trHeight w:val="340"/>
        </w:trPr>
        <w:tc>
          <w:tcPr>
            <w:tcW w:w="2250" w:type="dxa"/>
            <w:tcBorders>
              <w:top w:val="nil"/>
              <w:left w:val="nil"/>
              <w:bottom w:val="nil"/>
              <w:right w:val="nil"/>
            </w:tcBorders>
          </w:tcPr>
          <w:p w:rsidR="00B46350" w:rsidRPr="00F55C45" w:rsidRDefault="00B46350" w:rsidP="00B46350">
            <w:pPr>
              <w:spacing w:line="240" w:lineRule="auto"/>
              <w:rPr>
                <w:b/>
                <w:i/>
                <w:sz w:val="20"/>
                <w:szCs w:val="20"/>
              </w:rPr>
            </w:pPr>
          </w:p>
        </w:tc>
        <w:tc>
          <w:tcPr>
            <w:tcW w:w="3780" w:type="dxa"/>
            <w:tcBorders>
              <w:top w:val="nil"/>
              <w:left w:val="nil"/>
              <w:bottom w:val="nil"/>
              <w:right w:val="nil"/>
            </w:tcBorders>
          </w:tcPr>
          <w:p w:rsidR="00B46350" w:rsidRPr="00F55C45" w:rsidRDefault="00B46350" w:rsidP="00B46350">
            <w:pPr>
              <w:spacing w:line="240" w:lineRule="auto"/>
              <w:rPr>
                <w:sz w:val="20"/>
                <w:szCs w:val="20"/>
              </w:rPr>
            </w:pPr>
            <w:proofErr w:type="spellStart"/>
            <w:r w:rsidRPr="00F55C45">
              <w:rPr>
                <w:i/>
                <w:sz w:val="20"/>
                <w:szCs w:val="20"/>
              </w:rPr>
              <w:t>Hinf</w:t>
            </w:r>
            <w:proofErr w:type="spellEnd"/>
            <w:r w:rsidRPr="00F55C45">
              <w:rPr>
                <w:sz w:val="20"/>
                <w:szCs w:val="20"/>
              </w:rPr>
              <w:t>-I</w:t>
            </w:r>
          </w:p>
        </w:tc>
        <w:tc>
          <w:tcPr>
            <w:tcW w:w="236" w:type="dxa"/>
            <w:tcBorders>
              <w:top w:val="nil"/>
              <w:left w:val="nil"/>
              <w:bottom w:val="nil"/>
              <w:right w:val="nil"/>
            </w:tcBorders>
          </w:tcPr>
          <w:p w:rsidR="00B46350" w:rsidRPr="00F55C45" w:rsidRDefault="00B46350" w:rsidP="00B46350">
            <w:pPr>
              <w:spacing w:line="240" w:lineRule="auto"/>
              <w:rPr>
                <w:sz w:val="20"/>
                <w:szCs w:val="20"/>
              </w:rPr>
            </w:pPr>
          </w:p>
        </w:tc>
        <w:tc>
          <w:tcPr>
            <w:tcW w:w="1105" w:type="dxa"/>
            <w:tcBorders>
              <w:top w:val="nil"/>
              <w:left w:val="nil"/>
              <w:bottom w:val="nil"/>
              <w:right w:val="nil"/>
            </w:tcBorders>
          </w:tcPr>
          <w:p w:rsidR="00B46350" w:rsidRPr="00F55C45" w:rsidRDefault="00B46350" w:rsidP="00B46350">
            <w:pPr>
              <w:spacing w:line="240" w:lineRule="auto"/>
              <w:rPr>
                <w:sz w:val="20"/>
                <w:szCs w:val="20"/>
              </w:rPr>
            </w:pPr>
            <w:r w:rsidRPr="00F55C45">
              <w:rPr>
                <w:b/>
                <w:sz w:val="20"/>
                <w:szCs w:val="20"/>
              </w:rPr>
              <w:t>3.86</w:t>
            </w:r>
          </w:p>
        </w:tc>
        <w:tc>
          <w:tcPr>
            <w:tcW w:w="1108" w:type="dxa"/>
            <w:tcBorders>
              <w:top w:val="nil"/>
              <w:left w:val="nil"/>
              <w:bottom w:val="nil"/>
              <w:right w:val="nil"/>
            </w:tcBorders>
          </w:tcPr>
          <w:p w:rsidR="00B46350" w:rsidRPr="00F55C45" w:rsidRDefault="00B46350" w:rsidP="00B46350">
            <w:pPr>
              <w:spacing w:line="240" w:lineRule="auto"/>
              <w:rPr>
                <w:sz w:val="20"/>
                <w:szCs w:val="20"/>
              </w:rPr>
            </w:pPr>
            <w:r w:rsidRPr="00F55C45">
              <w:rPr>
                <w:b/>
                <w:sz w:val="20"/>
                <w:szCs w:val="20"/>
              </w:rPr>
              <w:t>0.006</w:t>
            </w:r>
          </w:p>
        </w:tc>
      </w:tr>
      <w:tr w:rsidR="00B46350" w:rsidRPr="00F55C45" w:rsidTr="003D1BB6">
        <w:trPr>
          <w:trHeight w:val="340"/>
        </w:trPr>
        <w:tc>
          <w:tcPr>
            <w:tcW w:w="2250" w:type="dxa"/>
            <w:tcBorders>
              <w:top w:val="nil"/>
              <w:left w:val="nil"/>
              <w:bottom w:val="single" w:sz="4" w:space="0" w:color="auto"/>
              <w:right w:val="nil"/>
            </w:tcBorders>
          </w:tcPr>
          <w:p w:rsidR="00B46350" w:rsidRPr="00F55C45" w:rsidRDefault="00B46350" w:rsidP="00B46350">
            <w:pPr>
              <w:spacing w:line="240" w:lineRule="auto"/>
              <w:rPr>
                <w:i/>
                <w:sz w:val="20"/>
                <w:szCs w:val="20"/>
              </w:rPr>
            </w:pPr>
          </w:p>
        </w:tc>
        <w:tc>
          <w:tcPr>
            <w:tcW w:w="3780" w:type="dxa"/>
            <w:tcBorders>
              <w:top w:val="nil"/>
              <w:left w:val="nil"/>
              <w:bottom w:val="single" w:sz="4" w:space="0" w:color="auto"/>
              <w:right w:val="nil"/>
            </w:tcBorders>
          </w:tcPr>
          <w:p w:rsidR="00B46350" w:rsidRPr="00F55C45" w:rsidRDefault="00DE1AD4" w:rsidP="00B46350">
            <w:pPr>
              <w:spacing w:line="240" w:lineRule="auto"/>
              <w:rPr>
                <w:sz w:val="20"/>
                <w:szCs w:val="20"/>
              </w:rPr>
            </w:pPr>
            <w:r>
              <w:rPr>
                <w:i/>
                <w:sz w:val="20"/>
                <w:szCs w:val="20"/>
              </w:rPr>
              <w:t>HpyCH4-III</w:t>
            </w:r>
          </w:p>
        </w:tc>
        <w:tc>
          <w:tcPr>
            <w:tcW w:w="236" w:type="dxa"/>
            <w:tcBorders>
              <w:top w:val="nil"/>
              <w:left w:val="nil"/>
              <w:bottom w:val="single" w:sz="4" w:space="0" w:color="auto"/>
              <w:right w:val="nil"/>
            </w:tcBorders>
          </w:tcPr>
          <w:p w:rsidR="00B46350" w:rsidRPr="00F55C45" w:rsidRDefault="00B46350" w:rsidP="00B46350">
            <w:pPr>
              <w:spacing w:line="240" w:lineRule="auto"/>
              <w:rPr>
                <w:b/>
                <w:sz w:val="20"/>
                <w:szCs w:val="20"/>
              </w:rPr>
            </w:pPr>
          </w:p>
        </w:tc>
        <w:tc>
          <w:tcPr>
            <w:tcW w:w="1105" w:type="dxa"/>
            <w:tcBorders>
              <w:top w:val="nil"/>
              <w:left w:val="nil"/>
              <w:bottom w:val="single" w:sz="4" w:space="0" w:color="auto"/>
              <w:right w:val="nil"/>
            </w:tcBorders>
          </w:tcPr>
          <w:p w:rsidR="00B46350" w:rsidRPr="00F55C45" w:rsidRDefault="00B46350" w:rsidP="00B46350">
            <w:pPr>
              <w:spacing w:line="240" w:lineRule="auto"/>
              <w:rPr>
                <w:b/>
                <w:sz w:val="20"/>
                <w:szCs w:val="20"/>
              </w:rPr>
            </w:pPr>
            <w:r w:rsidRPr="00F55C45">
              <w:rPr>
                <w:b/>
                <w:sz w:val="20"/>
                <w:szCs w:val="20"/>
              </w:rPr>
              <w:t>3.44</w:t>
            </w:r>
          </w:p>
        </w:tc>
        <w:tc>
          <w:tcPr>
            <w:tcW w:w="1108" w:type="dxa"/>
            <w:tcBorders>
              <w:top w:val="nil"/>
              <w:left w:val="nil"/>
              <w:bottom w:val="single" w:sz="4" w:space="0" w:color="auto"/>
              <w:right w:val="nil"/>
            </w:tcBorders>
          </w:tcPr>
          <w:p w:rsidR="00B46350" w:rsidRPr="00F55C45" w:rsidRDefault="00B46350" w:rsidP="00B46350">
            <w:pPr>
              <w:spacing w:line="240" w:lineRule="auto"/>
              <w:rPr>
                <w:b/>
                <w:sz w:val="20"/>
                <w:szCs w:val="20"/>
              </w:rPr>
            </w:pPr>
            <w:r w:rsidRPr="00F55C45">
              <w:rPr>
                <w:b/>
                <w:sz w:val="20"/>
                <w:szCs w:val="20"/>
              </w:rPr>
              <w:t>0.011</w:t>
            </w:r>
          </w:p>
        </w:tc>
      </w:tr>
      <w:tr w:rsidR="00B46350" w:rsidRPr="00F55C45" w:rsidTr="003D1BB6">
        <w:trPr>
          <w:trHeight w:val="350"/>
        </w:trPr>
        <w:tc>
          <w:tcPr>
            <w:tcW w:w="8479" w:type="dxa"/>
            <w:gridSpan w:val="5"/>
            <w:tcBorders>
              <w:top w:val="single" w:sz="4" w:space="0" w:color="auto"/>
              <w:left w:val="nil"/>
              <w:bottom w:val="nil"/>
              <w:right w:val="nil"/>
            </w:tcBorders>
          </w:tcPr>
          <w:p w:rsidR="00B46350" w:rsidRPr="00F55C45" w:rsidRDefault="00B46350" w:rsidP="00B46350">
            <w:pPr>
              <w:spacing w:line="240" w:lineRule="auto"/>
              <w:rPr>
                <w:sz w:val="20"/>
                <w:szCs w:val="20"/>
              </w:rPr>
            </w:pPr>
            <w:r w:rsidRPr="00F55C45">
              <w:rPr>
                <w:sz w:val="20"/>
                <w:szCs w:val="20"/>
              </w:rPr>
              <w:t>*values were log transformed prior to analysis to meet test assumptions</w:t>
            </w:r>
          </w:p>
        </w:tc>
      </w:tr>
    </w:tbl>
    <w:p w:rsidR="00B46350" w:rsidRDefault="00B46350" w:rsidP="00B46350">
      <w:bookmarkStart w:id="306" w:name="_Ref463095444"/>
      <w:r>
        <w:br w:type="page"/>
      </w:r>
    </w:p>
    <w:p w:rsidR="00B46350" w:rsidRPr="00F55C45" w:rsidRDefault="00B46350" w:rsidP="003C6D28">
      <w:pPr>
        <w:pStyle w:val="Caption"/>
      </w:pPr>
      <w:bookmarkStart w:id="307" w:name="_Ref464927967"/>
      <w:bookmarkStart w:id="308" w:name="_Toc469868577"/>
      <w:r w:rsidRPr="00F55C45">
        <w:lastRenderedPageBreak/>
        <w:t xml:space="preserve">Table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Pr="00F55C45">
        <w:t>.</w:t>
      </w:r>
      <w:r w:rsidR="00C44EF5">
        <w:fldChar w:fldCharType="begin"/>
      </w:r>
      <w:r w:rsidR="00C44EF5">
        <w:instrText xml:space="preserve"> SEQ Table \* ARABIC \s 1 </w:instrText>
      </w:r>
      <w:r w:rsidR="00C44EF5">
        <w:fldChar w:fldCharType="separate"/>
      </w:r>
      <w:r w:rsidR="00E0714D">
        <w:rPr>
          <w:noProof/>
        </w:rPr>
        <w:t>3</w:t>
      </w:r>
      <w:r w:rsidR="00C44EF5">
        <w:rPr>
          <w:noProof/>
        </w:rPr>
        <w:fldChar w:fldCharType="end"/>
      </w:r>
      <w:bookmarkEnd w:id="306"/>
      <w:bookmarkEnd w:id="307"/>
      <w:r w:rsidRPr="00F55C45">
        <w:t xml:space="preserve"> </w:t>
      </w:r>
      <w:bookmarkStart w:id="309" w:name="OLE_LINK4"/>
      <w:r w:rsidRPr="00895206">
        <w:t>One-</w:t>
      </w:r>
      <w:r w:rsidRPr="003C6D28">
        <w:t>way ANOVA results for effect of habitat type (woodland, conventional bush orchard, conventional standard orchard, organic standard orchard and arable) on AMF community composition as measured by TRF relative abundance</w:t>
      </w:r>
      <w:bookmarkEnd w:id="308"/>
      <w:bookmarkEnd w:id="309"/>
      <w:r w:rsidR="00F421B0">
        <w:t xml:space="preserve"> using two restriction enzymes: </w:t>
      </w:r>
      <w:proofErr w:type="spellStart"/>
      <w:r w:rsidR="00F421B0" w:rsidRPr="00F421B0">
        <w:rPr>
          <w:i/>
        </w:rPr>
        <w:t>Hinf</w:t>
      </w:r>
      <w:proofErr w:type="spellEnd"/>
      <w:r w:rsidR="00F421B0">
        <w:t xml:space="preserve">-I and </w:t>
      </w:r>
      <w:r w:rsidR="00DE1AD4">
        <w:rPr>
          <w:i/>
        </w:rPr>
        <w:t>HpyCH4-III</w:t>
      </w:r>
      <w:r w:rsidR="00F421B0">
        <w:t>.</w:t>
      </w:r>
      <w:r>
        <w:rPr>
          <w:rStyle w:val="Captionlabel"/>
          <w:b/>
          <w:sz w:val="20"/>
          <w:szCs w:val="20"/>
        </w:rPr>
        <w:t xml:space="preserve"> </w:t>
      </w:r>
    </w:p>
    <w:tbl>
      <w:tblPr>
        <w:tblStyle w:val="TableGrid"/>
        <w:tblW w:w="690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gridCol w:w="1560"/>
        <w:gridCol w:w="1559"/>
        <w:gridCol w:w="1800"/>
      </w:tblGrid>
      <w:tr w:rsidR="00B46350" w:rsidRPr="00F55C45" w:rsidTr="003D1BB6">
        <w:trPr>
          <w:trHeight w:val="340"/>
          <w:jc w:val="center"/>
        </w:trPr>
        <w:tc>
          <w:tcPr>
            <w:tcW w:w="1984" w:type="dxa"/>
            <w:tcBorders>
              <w:top w:val="single" w:sz="4" w:space="0" w:color="auto"/>
              <w:bottom w:val="single" w:sz="4" w:space="0" w:color="auto"/>
            </w:tcBorders>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Restriction enzyme</w:t>
            </w:r>
          </w:p>
        </w:tc>
        <w:tc>
          <w:tcPr>
            <w:tcW w:w="1560" w:type="dxa"/>
            <w:tcBorders>
              <w:top w:val="single" w:sz="4" w:space="0" w:color="auto"/>
              <w:bottom w:val="single" w:sz="4" w:space="0" w:color="auto"/>
            </w:tcBorders>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TRF size (</w:t>
            </w:r>
            <w:proofErr w:type="spellStart"/>
            <w:r w:rsidRPr="00F55C45">
              <w:rPr>
                <w:rFonts w:cs="Times New Roman"/>
                <w:b/>
                <w:sz w:val="20"/>
                <w:szCs w:val="20"/>
              </w:rPr>
              <w:t>bp</w:t>
            </w:r>
            <w:proofErr w:type="spellEnd"/>
            <w:r w:rsidRPr="00F55C45">
              <w:rPr>
                <w:rFonts w:cs="Times New Roman"/>
                <w:b/>
                <w:sz w:val="20"/>
                <w:szCs w:val="20"/>
              </w:rPr>
              <w:t>)</w:t>
            </w:r>
          </w:p>
        </w:tc>
        <w:tc>
          <w:tcPr>
            <w:tcW w:w="1559" w:type="dxa"/>
            <w:tcBorders>
              <w:top w:val="single" w:sz="4" w:space="0" w:color="auto"/>
              <w:bottom w:val="single" w:sz="4" w:space="0" w:color="auto"/>
            </w:tcBorders>
          </w:tcPr>
          <w:p w:rsidR="00B46350" w:rsidRPr="00F55C45" w:rsidRDefault="00B46350" w:rsidP="00950437">
            <w:pPr>
              <w:spacing w:line="240" w:lineRule="auto"/>
              <w:jc w:val="center"/>
              <w:rPr>
                <w:rFonts w:cs="Times New Roman"/>
                <w:b/>
                <w:sz w:val="20"/>
                <w:szCs w:val="20"/>
              </w:rPr>
            </w:pPr>
            <w:r w:rsidRPr="00F55C45">
              <w:rPr>
                <w:rFonts w:cs="Times New Roman"/>
                <w:b/>
                <w:i/>
                <w:sz w:val="20"/>
                <w:szCs w:val="20"/>
              </w:rPr>
              <w:t>F</w:t>
            </w:r>
            <w:r w:rsidRPr="00F55C45">
              <w:rPr>
                <w:rFonts w:cs="Times New Roman"/>
                <w:b/>
                <w:sz w:val="20"/>
                <w:szCs w:val="20"/>
                <w:vertAlign w:val="subscript"/>
              </w:rPr>
              <w:t>1,4</w:t>
            </w:r>
          </w:p>
        </w:tc>
        <w:tc>
          <w:tcPr>
            <w:tcW w:w="1800" w:type="dxa"/>
            <w:tcBorders>
              <w:top w:val="single" w:sz="4" w:space="0" w:color="auto"/>
              <w:bottom w:val="single" w:sz="4" w:space="0" w:color="auto"/>
            </w:tcBorders>
          </w:tcPr>
          <w:p w:rsidR="00B46350" w:rsidRPr="00F55C45" w:rsidRDefault="00B46350" w:rsidP="00950437">
            <w:pPr>
              <w:spacing w:line="240" w:lineRule="auto"/>
              <w:jc w:val="center"/>
              <w:rPr>
                <w:rFonts w:cs="Times New Roman"/>
                <w:b/>
                <w:i/>
                <w:sz w:val="20"/>
                <w:szCs w:val="20"/>
              </w:rPr>
            </w:pPr>
            <w:r w:rsidRPr="00F55C45">
              <w:rPr>
                <w:rFonts w:cs="Times New Roman"/>
                <w:b/>
                <w:i/>
                <w:sz w:val="20"/>
                <w:szCs w:val="20"/>
              </w:rPr>
              <w:t>P</w:t>
            </w:r>
          </w:p>
        </w:tc>
      </w:tr>
      <w:tr w:rsidR="00B46350" w:rsidRPr="00F55C45" w:rsidTr="003D1BB6">
        <w:trPr>
          <w:trHeight w:val="340"/>
          <w:jc w:val="center"/>
        </w:trPr>
        <w:tc>
          <w:tcPr>
            <w:tcW w:w="1984" w:type="dxa"/>
            <w:tcBorders>
              <w:top w:val="single" w:sz="4" w:space="0" w:color="auto"/>
            </w:tcBorders>
          </w:tcPr>
          <w:p w:rsidR="00B46350" w:rsidRPr="00F55C45" w:rsidRDefault="00B46350" w:rsidP="00950437">
            <w:pPr>
              <w:spacing w:line="240" w:lineRule="auto"/>
              <w:jc w:val="left"/>
              <w:rPr>
                <w:rFonts w:cs="Times New Roman"/>
                <w:sz w:val="20"/>
                <w:szCs w:val="20"/>
              </w:rPr>
            </w:pPr>
            <w:proofErr w:type="spellStart"/>
            <w:r w:rsidRPr="00F55C45">
              <w:rPr>
                <w:rFonts w:cs="Times New Roman"/>
                <w:i/>
                <w:sz w:val="20"/>
                <w:szCs w:val="20"/>
              </w:rPr>
              <w:t>Hinf</w:t>
            </w:r>
            <w:proofErr w:type="spellEnd"/>
            <w:r w:rsidRPr="00F55C45">
              <w:rPr>
                <w:rFonts w:cs="Times New Roman"/>
                <w:sz w:val="20"/>
                <w:szCs w:val="20"/>
              </w:rPr>
              <w:t>-I</w:t>
            </w:r>
          </w:p>
        </w:tc>
        <w:tc>
          <w:tcPr>
            <w:tcW w:w="1560" w:type="dxa"/>
            <w:tcBorders>
              <w:top w:val="single" w:sz="4" w:space="0" w:color="auto"/>
            </w:tcBorders>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376</w:t>
            </w:r>
          </w:p>
        </w:tc>
        <w:tc>
          <w:tcPr>
            <w:tcW w:w="1559" w:type="dxa"/>
            <w:tcBorders>
              <w:top w:val="single" w:sz="4" w:space="0" w:color="auto"/>
            </w:tcBorders>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1.918</w:t>
            </w:r>
          </w:p>
        </w:tc>
        <w:tc>
          <w:tcPr>
            <w:tcW w:w="1800" w:type="dxa"/>
            <w:tcBorders>
              <w:top w:val="single" w:sz="4" w:space="0" w:color="auto"/>
            </w:tcBorders>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0.112</w:t>
            </w:r>
          </w:p>
        </w:tc>
      </w:tr>
      <w:tr w:rsidR="00B46350" w:rsidRPr="00F55C45" w:rsidTr="003D1BB6">
        <w:trPr>
          <w:trHeight w:val="340"/>
          <w:jc w:val="center"/>
        </w:trPr>
        <w:tc>
          <w:tcPr>
            <w:tcW w:w="1984" w:type="dxa"/>
          </w:tcPr>
          <w:p w:rsidR="00B46350" w:rsidRPr="00F55C45" w:rsidRDefault="00B46350" w:rsidP="00950437">
            <w:pPr>
              <w:spacing w:line="240" w:lineRule="auto"/>
              <w:jc w:val="left"/>
              <w:rPr>
                <w:rFonts w:cs="Times New Roman"/>
                <w:b/>
                <w:sz w:val="20"/>
                <w:szCs w:val="20"/>
              </w:rPr>
            </w:pPr>
          </w:p>
        </w:tc>
        <w:tc>
          <w:tcPr>
            <w:tcW w:w="156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424</w:t>
            </w:r>
          </w:p>
        </w:tc>
        <w:tc>
          <w:tcPr>
            <w:tcW w:w="1559"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7.634</w:t>
            </w:r>
          </w:p>
        </w:tc>
        <w:tc>
          <w:tcPr>
            <w:tcW w:w="180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&lt;0.001</w:t>
            </w:r>
          </w:p>
        </w:tc>
      </w:tr>
      <w:tr w:rsidR="00B46350" w:rsidRPr="00F55C45" w:rsidTr="003D1BB6">
        <w:trPr>
          <w:trHeight w:val="340"/>
          <w:jc w:val="center"/>
        </w:trPr>
        <w:tc>
          <w:tcPr>
            <w:tcW w:w="1984" w:type="dxa"/>
          </w:tcPr>
          <w:p w:rsidR="00B46350" w:rsidRPr="00F55C45" w:rsidRDefault="00B46350" w:rsidP="00950437">
            <w:pPr>
              <w:spacing w:line="240" w:lineRule="auto"/>
              <w:jc w:val="left"/>
              <w:rPr>
                <w:rFonts w:cs="Times New Roman"/>
                <w:sz w:val="20"/>
                <w:szCs w:val="20"/>
              </w:rPr>
            </w:pPr>
          </w:p>
        </w:tc>
        <w:tc>
          <w:tcPr>
            <w:tcW w:w="1560"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512</w:t>
            </w:r>
          </w:p>
        </w:tc>
        <w:tc>
          <w:tcPr>
            <w:tcW w:w="1559"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1.822</w:t>
            </w:r>
          </w:p>
        </w:tc>
        <w:tc>
          <w:tcPr>
            <w:tcW w:w="1800"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0.129</w:t>
            </w:r>
          </w:p>
        </w:tc>
      </w:tr>
      <w:tr w:rsidR="00B46350" w:rsidRPr="00F55C45" w:rsidTr="003D1BB6">
        <w:trPr>
          <w:trHeight w:val="340"/>
          <w:jc w:val="center"/>
        </w:trPr>
        <w:tc>
          <w:tcPr>
            <w:tcW w:w="1984" w:type="dxa"/>
          </w:tcPr>
          <w:p w:rsidR="00B46350" w:rsidRPr="00F55C45" w:rsidRDefault="00B46350" w:rsidP="00950437">
            <w:pPr>
              <w:spacing w:line="240" w:lineRule="auto"/>
              <w:jc w:val="left"/>
              <w:rPr>
                <w:rFonts w:cs="Times New Roman"/>
                <w:b/>
                <w:sz w:val="20"/>
                <w:szCs w:val="20"/>
              </w:rPr>
            </w:pPr>
          </w:p>
        </w:tc>
        <w:tc>
          <w:tcPr>
            <w:tcW w:w="156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518</w:t>
            </w:r>
          </w:p>
        </w:tc>
        <w:tc>
          <w:tcPr>
            <w:tcW w:w="1559"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17.14</w:t>
            </w:r>
          </w:p>
        </w:tc>
        <w:tc>
          <w:tcPr>
            <w:tcW w:w="180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&lt;0.001</w:t>
            </w:r>
          </w:p>
        </w:tc>
      </w:tr>
      <w:tr w:rsidR="00B46350" w:rsidRPr="00F55C45" w:rsidTr="003D1BB6">
        <w:trPr>
          <w:trHeight w:val="340"/>
          <w:jc w:val="center"/>
        </w:trPr>
        <w:tc>
          <w:tcPr>
            <w:tcW w:w="1984" w:type="dxa"/>
          </w:tcPr>
          <w:p w:rsidR="00B46350" w:rsidRPr="00F55C45" w:rsidRDefault="00B46350" w:rsidP="00950437">
            <w:pPr>
              <w:spacing w:line="240" w:lineRule="auto"/>
              <w:jc w:val="left"/>
              <w:rPr>
                <w:rFonts w:cs="Times New Roman"/>
                <w:sz w:val="20"/>
                <w:szCs w:val="20"/>
              </w:rPr>
            </w:pPr>
          </w:p>
        </w:tc>
        <w:tc>
          <w:tcPr>
            <w:tcW w:w="1560"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689</w:t>
            </w:r>
          </w:p>
        </w:tc>
        <w:tc>
          <w:tcPr>
            <w:tcW w:w="1559"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1.399</w:t>
            </w:r>
          </w:p>
        </w:tc>
        <w:tc>
          <w:tcPr>
            <w:tcW w:w="1800"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0.238</w:t>
            </w:r>
          </w:p>
        </w:tc>
      </w:tr>
      <w:tr w:rsidR="00B46350" w:rsidRPr="00F55C45" w:rsidTr="003D1BB6">
        <w:trPr>
          <w:trHeight w:val="340"/>
          <w:jc w:val="center"/>
        </w:trPr>
        <w:tc>
          <w:tcPr>
            <w:tcW w:w="1984" w:type="dxa"/>
          </w:tcPr>
          <w:p w:rsidR="00B46350" w:rsidRPr="00F55C45" w:rsidRDefault="00B46350" w:rsidP="00950437">
            <w:pPr>
              <w:spacing w:line="240" w:lineRule="auto"/>
              <w:jc w:val="left"/>
              <w:rPr>
                <w:rFonts w:cs="Times New Roman"/>
                <w:b/>
                <w:sz w:val="20"/>
                <w:szCs w:val="20"/>
              </w:rPr>
            </w:pPr>
          </w:p>
        </w:tc>
        <w:tc>
          <w:tcPr>
            <w:tcW w:w="156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699</w:t>
            </w:r>
          </w:p>
        </w:tc>
        <w:tc>
          <w:tcPr>
            <w:tcW w:w="1559"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2.466</w:t>
            </w:r>
          </w:p>
        </w:tc>
        <w:tc>
          <w:tcPr>
            <w:tcW w:w="180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0.048</w:t>
            </w:r>
          </w:p>
        </w:tc>
      </w:tr>
      <w:tr w:rsidR="00B46350" w:rsidRPr="00F55C45" w:rsidTr="003D1BB6">
        <w:trPr>
          <w:trHeight w:val="340"/>
          <w:jc w:val="center"/>
        </w:trPr>
        <w:tc>
          <w:tcPr>
            <w:tcW w:w="1984" w:type="dxa"/>
          </w:tcPr>
          <w:p w:rsidR="00B46350" w:rsidRPr="00F55C45" w:rsidRDefault="00B46350" w:rsidP="00950437">
            <w:pPr>
              <w:spacing w:line="240" w:lineRule="auto"/>
              <w:jc w:val="left"/>
              <w:rPr>
                <w:rFonts w:cs="Times New Roman"/>
                <w:sz w:val="20"/>
                <w:szCs w:val="20"/>
              </w:rPr>
            </w:pPr>
          </w:p>
        </w:tc>
        <w:tc>
          <w:tcPr>
            <w:tcW w:w="1560"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704</w:t>
            </w:r>
          </w:p>
        </w:tc>
        <w:tc>
          <w:tcPr>
            <w:tcW w:w="1559"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1.916</w:t>
            </w:r>
          </w:p>
        </w:tc>
        <w:tc>
          <w:tcPr>
            <w:tcW w:w="1800"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0.112</w:t>
            </w:r>
          </w:p>
        </w:tc>
      </w:tr>
      <w:tr w:rsidR="00B46350" w:rsidRPr="00F55C45" w:rsidTr="003D1BB6">
        <w:trPr>
          <w:trHeight w:val="340"/>
          <w:jc w:val="center"/>
        </w:trPr>
        <w:tc>
          <w:tcPr>
            <w:tcW w:w="1984" w:type="dxa"/>
          </w:tcPr>
          <w:p w:rsidR="00B46350" w:rsidRPr="00F55C45" w:rsidRDefault="00B46350" w:rsidP="00950437">
            <w:pPr>
              <w:spacing w:line="240" w:lineRule="auto"/>
              <w:jc w:val="left"/>
              <w:rPr>
                <w:rFonts w:cs="Times New Roman"/>
                <w:sz w:val="20"/>
                <w:szCs w:val="20"/>
              </w:rPr>
            </w:pPr>
          </w:p>
        </w:tc>
        <w:tc>
          <w:tcPr>
            <w:tcW w:w="1560"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723</w:t>
            </w:r>
          </w:p>
        </w:tc>
        <w:tc>
          <w:tcPr>
            <w:tcW w:w="1559"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0.973</w:t>
            </w:r>
          </w:p>
        </w:tc>
        <w:tc>
          <w:tcPr>
            <w:tcW w:w="1800"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0.425</w:t>
            </w:r>
          </w:p>
        </w:tc>
      </w:tr>
      <w:tr w:rsidR="00B46350" w:rsidRPr="00F55C45" w:rsidTr="003D1BB6">
        <w:trPr>
          <w:trHeight w:val="340"/>
          <w:jc w:val="center"/>
        </w:trPr>
        <w:tc>
          <w:tcPr>
            <w:tcW w:w="1984" w:type="dxa"/>
          </w:tcPr>
          <w:p w:rsidR="00B46350" w:rsidRPr="00F55C45" w:rsidRDefault="00B46350" w:rsidP="00950437">
            <w:pPr>
              <w:spacing w:line="240" w:lineRule="auto"/>
              <w:jc w:val="left"/>
              <w:rPr>
                <w:rFonts w:cs="Times New Roman"/>
                <w:b/>
                <w:sz w:val="20"/>
                <w:szCs w:val="20"/>
              </w:rPr>
            </w:pPr>
          </w:p>
        </w:tc>
        <w:tc>
          <w:tcPr>
            <w:tcW w:w="156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765</w:t>
            </w:r>
          </w:p>
        </w:tc>
        <w:tc>
          <w:tcPr>
            <w:tcW w:w="1559"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3.933</w:t>
            </w:r>
          </w:p>
        </w:tc>
        <w:tc>
          <w:tcPr>
            <w:tcW w:w="180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0.004</w:t>
            </w:r>
          </w:p>
        </w:tc>
      </w:tr>
      <w:tr w:rsidR="00B46350" w:rsidRPr="00F55C45" w:rsidTr="003D1BB6">
        <w:trPr>
          <w:trHeight w:val="340"/>
          <w:jc w:val="center"/>
        </w:trPr>
        <w:tc>
          <w:tcPr>
            <w:tcW w:w="1984" w:type="dxa"/>
            <w:tcBorders>
              <w:bottom w:val="single" w:sz="4" w:space="0" w:color="auto"/>
            </w:tcBorders>
          </w:tcPr>
          <w:p w:rsidR="00B46350" w:rsidRPr="00F55C45" w:rsidRDefault="00B46350" w:rsidP="00950437">
            <w:pPr>
              <w:spacing w:line="240" w:lineRule="auto"/>
              <w:jc w:val="left"/>
              <w:rPr>
                <w:rFonts w:cs="Times New Roman"/>
                <w:b/>
                <w:sz w:val="20"/>
                <w:szCs w:val="20"/>
              </w:rPr>
            </w:pPr>
          </w:p>
        </w:tc>
        <w:tc>
          <w:tcPr>
            <w:tcW w:w="1560" w:type="dxa"/>
            <w:tcBorders>
              <w:bottom w:val="single" w:sz="4" w:space="0" w:color="auto"/>
            </w:tcBorders>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771</w:t>
            </w:r>
          </w:p>
        </w:tc>
        <w:tc>
          <w:tcPr>
            <w:tcW w:w="1559" w:type="dxa"/>
            <w:tcBorders>
              <w:bottom w:val="single" w:sz="4" w:space="0" w:color="auto"/>
            </w:tcBorders>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10.12</w:t>
            </w:r>
          </w:p>
        </w:tc>
        <w:tc>
          <w:tcPr>
            <w:tcW w:w="1800" w:type="dxa"/>
            <w:tcBorders>
              <w:bottom w:val="single" w:sz="4" w:space="0" w:color="auto"/>
            </w:tcBorders>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&lt;0.001</w:t>
            </w:r>
          </w:p>
        </w:tc>
      </w:tr>
      <w:tr w:rsidR="00B46350" w:rsidRPr="00F55C45" w:rsidTr="003D1BB6">
        <w:trPr>
          <w:trHeight w:val="340"/>
          <w:jc w:val="center"/>
        </w:trPr>
        <w:tc>
          <w:tcPr>
            <w:tcW w:w="1984" w:type="dxa"/>
            <w:tcBorders>
              <w:top w:val="single" w:sz="4" w:space="0" w:color="auto"/>
            </w:tcBorders>
          </w:tcPr>
          <w:p w:rsidR="00B46350" w:rsidRPr="00F55C45" w:rsidRDefault="00DE1AD4" w:rsidP="00950437">
            <w:pPr>
              <w:spacing w:line="240" w:lineRule="auto"/>
              <w:jc w:val="left"/>
              <w:rPr>
                <w:rFonts w:cs="Times New Roman"/>
                <w:b/>
                <w:sz w:val="20"/>
                <w:szCs w:val="20"/>
              </w:rPr>
            </w:pPr>
            <w:r>
              <w:rPr>
                <w:rFonts w:cs="Times New Roman"/>
                <w:i/>
                <w:sz w:val="20"/>
                <w:szCs w:val="20"/>
              </w:rPr>
              <w:t>HpyCH4-III</w:t>
            </w:r>
          </w:p>
        </w:tc>
        <w:tc>
          <w:tcPr>
            <w:tcW w:w="1560" w:type="dxa"/>
            <w:tcBorders>
              <w:top w:val="single" w:sz="4" w:space="0" w:color="auto"/>
            </w:tcBorders>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340</w:t>
            </w:r>
          </w:p>
        </w:tc>
        <w:tc>
          <w:tcPr>
            <w:tcW w:w="1559" w:type="dxa"/>
            <w:tcBorders>
              <w:top w:val="single" w:sz="4" w:space="0" w:color="auto"/>
            </w:tcBorders>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17.14</w:t>
            </w:r>
          </w:p>
        </w:tc>
        <w:tc>
          <w:tcPr>
            <w:tcW w:w="1800" w:type="dxa"/>
            <w:tcBorders>
              <w:top w:val="single" w:sz="4" w:space="0" w:color="auto"/>
            </w:tcBorders>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&lt;0.001</w:t>
            </w:r>
          </w:p>
        </w:tc>
      </w:tr>
      <w:tr w:rsidR="00B46350" w:rsidRPr="00F55C45" w:rsidTr="003D1BB6">
        <w:trPr>
          <w:trHeight w:val="340"/>
          <w:jc w:val="center"/>
        </w:trPr>
        <w:tc>
          <w:tcPr>
            <w:tcW w:w="1984" w:type="dxa"/>
          </w:tcPr>
          <w:p w:rsidR="00B46350" w:rsidRPr="00F55C45" w:rsidRDefault="00B46350" w:rsidP="00950437">
            <w:pPr>
              <w:spacing w:line="240" w:lineRule="auto"/>
              <w:jc w:val="left"/>
              <w:rPr>
                <w:rFonts w:cs="Times New Roman"/>
                <w:b/>
                <w:sz w:val="20"/>
                <w:szCs w:val="20"/>
              </w:rPr>
            </w:pPr>
          </w:p>
        </w:tc>
        <w:tc>
          <w:tcPr>
            <w:tcW w:w="156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353</w:t>
            </w:r>
          </w:p>
        </w:tc>
        <w:tc>
          <w:tcPr>
            <w:tcW w:w="1559"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4.465</w:t>
            </w:r>
          </w:p>
        </w:tc>
        <w:tc>
          <w:tcPr>
            <w:tcW w:w="180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0.002</w:t>
            </w:r>
          </w:p>
        </w:tc>
      </w:tr>
      <w:tr w:rsidR="00B46350" w:rsidRPr="00F55C45" w:rsidTr="003D1BB6">
        <w:trPr>
          <w:trHeight w:val="340"/>
          <w:jc w:val="center"/>
        </w:trPr>
        <w:tc>
          <w:tcPr>
            <w:tcW w:w="1984" w:type="dxa"/>
          </w:tcPr>
          <w:p w:rsidR="00B46350" w:rsidRPr="00F55C45" w:rsidRDefault="00B46350" w:rsidP="00950437">
            <w:pPr>
              <w:spacing w:line="240" w:lineRule="auto"/>
              <w:jc w:val="left"/>
              <w:rPr>
                <w:rFonts w:cs="Times New Roman"/>
                <w:b/>
                <w:sz w:val="20"/>
                <w:szCs w:val="20"/>
              </w:rPr>
            </w:pPr>
          </w:p>
        </w:tc>
        <w:tc>
          <w:tcPr>
            <w:tcW w:w="156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393</w:t>
            </w:r>
          </w:p>
        </w:tc>
        <w:tc>
          <w:tcPr>
            <w:tcW w:w="1559"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9.331</w:t>
            </w:r>
          </w:p>
        </w:tc>
        <w:tc>
          <w:tcPr>
            <w:tcW w:w="180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&lt;0.001</w:t>
            </w:r>
          </w:p>
        </w:tc>
      </w:tr>
      <w:tr w:rsidR="00B46350" w:rsidRPr="00F55C45" w:rsidTr="003D1BB6">
        <w:trPr>
          <w:trHeight w:val="340"/>
          <w:jc w:val="center"/>
        </w:trPr>
        <w:tc>
          <w:tcPr>
            <w:tcW w:w="1984" w:type="dxa"/>
          </w:tcPr>
          <w:p w:rsidR="00B46350" w:rsidRPr="00F55C45" w:rsidRDefault="00B46350" w:rsidP="00950437">
            <w:pPr>
              <w:spacing w:line="240" w:lineRule="auto"/>
              <w:jc w:val="left"/>
              <w:rPr>
                <w:rFonts w:cs="Times New Roman"/>
                <w:b/>
                <w:sz w:val="20"/>
                <w:szCs w:val="20"/>
              </w:rPr>
            </w:pPr>
          </w:p>
        </w:tc>
        <w:tc>
          <w:tcPr>
            <w:tcW w:w="156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431</w:t>
            </w:r>
          </w:p>
        </w:tc>
        <w:tc>
          <w:tcPr>
            <w:tcW w:w="1559"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7.271</w:t>
            </w:r>
          </w:p>
        </w:tc>
        <w:tc>
          <w:tcPr>
            <w:tcW w:w="180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&lt;0.001</w:t>
            </w:r>
          </w:p>
        </w:tc>
      </w:tr>
      <w:tr w:rsidR="00B46350" w:rsidRPr="00F55C45" w:rsidTr="003D1BB6">
        <w:trPr>
          <w:trHeight w:val="340"/>
          <w:jc w:val="center"/>
        </w:trPr>
        <w:tc>
          <w:tcPr>
            <w:tcW w:w="1984" w:type="dxa"/>
          </w:tcPr>
          <w:p w:rsidR="00B46350" w:rsidRPr="00F55C45" w:rsidRDefault="00B46350" w:rsidP="00950437">
            <w:pPr>
              <w:spacing w:line="240" w:lineRule="auto"/>
              <w:jc w:val="left"/>
              <w:rPr>
                <w:rFonts w:cs="Times New Roman"/>
                <w:b/>
                <w:sz w:val="20"/>
                <w:szCs w:val="20"/>
              </w:rPr>
            </w:pPr>
          </w:p>
        </w:tc>
        <w:tc>
          <w:tcPr>
            <w:tcW w:w="156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547</w:t>
            </w:r>
          </w:p>
        </w:tc>
        <w:tc>
          <w:tcPr>
            <w:tcW w:w="1559"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11.21</w:t>
            </w:r>
          </w:p>
        </w:tc>
        <w:tc>
          <w:tcPr>
            <w:tcW w:w="180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&lt;0.001</w:t>
            </w:r>
          </w:p>
        </w:tc>
      </w:tr>
      <w:tr w:rsidR="00B46350" w:rsidRPr="00F55C45" w:rsidTr="003D1BB6">
        <w:trPr>
          <w:trHeight w:val="340"/>
          <w:jc w:val="center"/>
        </w:trPr>
        <w:tc>
          <w:tcPr>
            <w:tcW w:w="1984" w:type="dxa"/>
          </w:tcPr>
          <w:p w:rsidR="00B46350" w:rsidRPr="00F55C45" w:rsidRDefault="00B46350" w:rsidP="00950437">
            <w:pPr>
              <w:spacing w:line="240" w:lineRule="auto"/>
              <w:jc w:val="left"/>
              <w:rPr>
                <w:rFonts w:cs="Times New Roman"/>
                <w:b/>
                <w:sz w:val="20"/>
                <w:szCs w:val="20"/>
              </w:rPr>
            </w:pPr>
          </w:p>
        </w:tc>
        <w:tc>
          <w:tcPr>
            <w:tcW w:w="156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699</w:t>
            </w:r>
          </w:p>
        </w:tc>
        <w:tc>
          <w:tcPr>
            <w:tcW w:w="1559"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7.461</w:t>
            </w:r>
          </w:p>
        </w:tc>
        <w:tc>
          <w:tcPr>
            <w:tcW w:w="180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&lt;0.001</w:t>
            </w:r>
          </w:p>
        </w:tc>
      </w:tr>
      <w:tr w:rsidR="00B46350" w:rsidRPr="00F55C45" w:rsidTr="003D1BB6">
        <w:trPr>
          <w:trHeight w:val="340"/>
          <w:jc w:val="center"/>
        </w:trPr>
        <w:tc>
          <w:tcPr>
            <w:tcW w:w="1984" w:type="dxa"/>
          </w:tcPr>
          <w:p w:rsidR="00B46350" w:rsidRPr="00F55C45" w:rsidRDefault="00B46350" w:rsidP="00950437">
            <w:pPr>
              <w:spacing w:line="240" w:lineRule="auto"/>
              <w:jc w:val="left"/>
              <w:rPr>
                <w:rFonts w:cs="Times New Roman"/>
                <w:b/>
                <w:sz w:val="20"/>
                <w:szCs w:val="20"/>
              </w:rPr>
            </w:pPr>
          </w:p>
        </w:tc>
        <w:tc>
          <w:tcPr>
            <w:tcW w:w="156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705</w:t>
            </w:r>
          </w:p>
        </w:tc>
        <w:tc>
          <w:tcPr>
            <w:tcW w:w="1559"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12.35</w:t>
            </w:r>
          </w:p>
        </w:tc>
        <w:tc>
          <w:tcPr>
            <w:tcW w:w="1800" w:type="dxa"/>
          </w:tcPr>
          <w:p w:rsidR="00B46350" w:rsidRPr="00F55C45" w:rsidRDefault="00B46350" w:rsidP="00950437">
            <w:pPr>
              <w:spacing w:line="240" w:lineRule="auto"/>
              <w:jc w:val="center"/>
              <w:rPr>
                <w:rFonts w:cs="Times New Roman"/>
                <w:b/>
                <w:sz w:val="20"/>
                <w:szCs w:val="20"/>
              </w:rPr>
            </w:pPr>
            <w:r w:rsidRPr="00F55C45">
              <w:rPr>
                <w:rFonts w:cs="Times New Roman"/>
                <w:b/>
                <w:sz w:val="20"/>
                <w:szCs w:val="20"/>
              </w:rPr>
              <w:t>&lt;0.001</w:t>
            </w:r>
          </w:p>
        </w:tc>
      </w:tr>
      <w:tr w:rsidR="00B46350" w:rsidRPr="00F55C45" w:rsidTr="003D1BB6">
        <w:trPr>
          <w:trHeight w:val="340"/>
          <w:jc w:val="center"/>
        </w:trPr>
        <w:tc>
          <w:tcPr>
            <w:tcW w:w="1984" w:type="dxa"/>
          </w:tcPr>
          <w:p w:rsidR="00B46350" w:rsidRPr="00F55C45" w:rsidRDefault="00B46350" w:rsidP="00950437">
            <w:pPr>
              <w:spacing w:line="240" w:lineRule="auto"/>
              <w:jc w:val="left"/>
              <w:rPr>
                <w:rFonts w:cs="Times New Roman"/>
                <w:sz w:val="20"/>
                <w:szCs w:val="20"/>
              </w:rPr>
            </w:pPr>
          </w:p>
        </w:tc>
        <w:tc>
          <w:tcPr>
            <w:tcW w:w="1560"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744</w:t>
            </w:r>
          </w:p>
        </w:tc>
        <w:tc>
          <w:tcPr>
            <w:tcW w:w="1559"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1.00</w:t>
            </w:r>
          </w:p>
        </w:tc>
        <w:tc>
          <w:tcPr>
            <w:tcW w:w="1800"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0.410</w:t>
            </w:r>
          </w:p>
        </w:tc>
      </w:tr>
      <w:tr w:rsidR="00B46350" w:rsidRPr="00F55C45" w:rsidTr="003D1BB6">
        <w:trPr>
          <w:trHeight w:val="340"/>
          <w:jc w:val="center"/>
        </w:trPr>
        <w:tc>
          <w:tcPr>
            <w:tcW w:w="1984" w:type="dxa"/>
          </w:tcPr>
          <w:p w:rsidR="00B46350" w:rsidRPr="00F55C45" w:rsidRDefault="00B46350" w:rsidP="00950437">
            <w:pPr>
              <w:spacing w:line="240" w:lineRule="auto"/>
              <w:jc w:val="left"/>
              <w:rPr>
                <w:rFonts w:cs="Times New Roman"/>
                <w:sz w:val="20"/>
                <w:szCs w:val="20"/>
              </w:rPr>
            </w:pPr>
          </w:p>
        </w:tc>
        <w:tc>
          <w:tcPr>
            <w:tcW w:w="1560"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764</w:t>
            </w:r>
          </w:p>
        </w:tc>
        <w:tc>
          <w:tcPr>
            <w:tcW w:w="1559"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2.086</w:t>
            </w:r>
          </w:p>
        </w:tc>
        <w:tc>
          <w:tcPr>
            <w:tcW w:w="1800" w:type="dxa"/>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0.086</w:t>
            </w:r>
          </w:p>
        </w:tc>
      </w:tr>
      <w:tr w:rsidR="00B46350" w:rsidRPr="00F55C45" w:rsidTr="003D1BB6">
        <w:trPr>
          <w:trHeight w:val="340"/>
          <w:jc w:val="center"/>
        </w:trPr>
        <w:tc>
          <w:tcPr>
            <w:tcW w:w="1984" w:type="dxa"/>
            <w:tcBorders>
              <w:bottom w:val="single" w:sz="4" w:space="0" w:color="auto"/>
            </w:tcBorders>
          </w:tcPr>
          <w:p w:rsidR="00B46350" w:rsidRPr="00F55C45" w:rsidRDefault="00B46350" w:rsidP="00950437">
            <w:pPr>
              <w:spacing w:line="240" w:lineRule="auto"/>
              <w:jc w:val="left"/>
              <w:rPr>
                <w:rFonts w:cs="Times New Roman"/>
                <w:sz w:val="20"/>
                <w:szCs w:val="20"/>
              </w:rPr>
            </w:pPr>
          </w:p>
        </w:tc>
        <w:tc>
          <w:tcPr>
            <w:tcW w:w="1560" w:type="dxa"/>
            <w:tcBorders>
              <w:bottom w:val="single" w:sz="4" w:space="0" w:color="auto"/>
            </w:tcBorders>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771</w:t>
            </w:r>
          </w:p>
        </w:tc>
        <w:tc>
          <w:tcPr>
            <w:tcW w:w="1559" w:type="dxa"/>
            <w:tcBorders>
              <w:bottom w:val="single" w:sz="4" w:space="0" w:color="auto"/>
            </w:tcBorders>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2.054</w:t>
            </w:r>
          </w:p>
        </w:tc>
        <w:tc>
          <w:tcPr>
            <w:tcW w:w="1800" w:type="dxa"/>
            <w:tcBorders>
              <w:bottom w:val="single" w:sz="4" w:space="0" w:color="auto"/>
            </w:tcBorders>
          </w:tcPr>
          <w:p w:rsidR="00B46350" w:rsidRPr="00F55C45" w:rsidRDefault="00B46350" w:rsidP="00950437">
            <w:pPr>
              <w:spacing w:line="240" w:lineRule="auto"/>
              <w:jc w:val="center"/>
              <w:rPr>
                <w:rFonts w:cs="Times New Roman"/>
                <w:sz w:val="20"/>
                <w:szCs w:val="20"/>
              </w:rPr>
            </w:pPr>
            <w:r w:rsidRPr="00F55C45">
              <w:rPr>
                <w:rFonts w:cs="Times New Roman"/>
                <w:sz w:val="20"/>
                <w:szCs w:val="20"/>
              </w:rPr>
              <w:t>0.091</w:t>
            </w:r>
          </w:p>
        </w:tc>
      </w:tr>
    </w:tbl>
    <w:p w:rsidR="00B46350" w:rsidRDefault="00B46350" w:rsidP="00B46350">
      <w:pPr>
        <w:rPr>
          <w:b/>
          <w:noProof/>
          <w:lang w:eastAsia="en-GB"/>
        </w:rPr>
      </w:pPr>
    </w:p>
    <w:p w:rsidR="00B46350" w:rsidRDefault="00B46350" w:rsidP="00950437">
      <w:pPr>
        <w:rPr>
          <w:b/>
          <w:noProof/>
          <w:lang w:eastAsia="en-GB"/>
        </w:rPr>
        <w:sectPr w:rsidR="00B46350" w:rsidSect="00861E0B">
          <w:pgSz w:w="11906" w:h="16838" w:code="9"/>
          <w:pgMar w:top="1134" w:right="1134" w:bottom="1134" w:left="2268" w:header="709" w:footer="709" w:gutter="0"/>
          <w:cols w:space="708"/>
          <w:docGrid w:linePitch="360"/>
        </w:sectPr>
      </w:pPr>
    </w:p>
    <w:p w:rsidR="00B46350" w:rsidRPr="004616A6" w:rsidRDefault="00B46350" w:rsidP="00B46350">
      <w:pPr>
        <w:jc w:val="center"/>
        <w:rPr>
          <w:b/>
          <w:noProof/>
          <w:lang w:eastAsia="en-GB"/>
        </w:rPr>
      </w:pPr>
      <w:r>
        <w:rPr>
          <w:b/>
          <w:noProof/>
          <w:lang w:eastAsia="en-GB"/>
        </w:rPr>
        <w:lastRenderedPageBreak/>
        <w:drawing>
          <wp:inline distT="0" distB="0" distL="0" distR="0" wp14:anchorId="0BFB0BED" wp14:editId="390527BD">
            <wp:extent cx="7929350" cy="4397389"/>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RFL_LeeK_ALL_Sp_Rich_and_SI.tif"/>
                    <pic:cNvPicPr/>
                  </pic:nvPicPr>
                  <pic:blipFill rotWithShape="1">
                    <a:blip r:embed="rId39" cstate="print">
                      <a:extLst>
                        <a:ext uri="{28A0092B-C50C-407E-A947-70E740481C1C}">
                          <a14:useLocalDpi xmlns:a14="http://schemas.microsoft.com/office/drawing/2010/main" val="0"/>
                        </a:ext>
                      </a:extLst>
                    </a:blip>
                    <a:srcRect l="2265" r="4462" b="4284"/>
                    <a:stretch/>
                  </pic:blipFill>
                  <pic:spPr bwMode="auto">
                    <a:xfrm>
                      <a:off x="0" y="0"/>
                      <a:ext cx="8002139" cy="4437756"/>
                    </a:xfrm>
                    <a:prstGeom prst="rect">
                      <a:avLst/>
                    </a:prstGeom>
                    <a:ln>
                      <a:noFill/>
                    </a:ln>
                    <a:extLst>
                      <a:ext uri="{53640926-AAD7-44D8-BBD7-CCE9431645EC}">
                        <a14:shadowObscured xmlns:a14="http://schemas.microsoft.com/office/drawing/2010/main"/>
                      </a:ext>
                    </a:extLst>
                  </pic:spPr>
                </pic:pic>
              </a:graphicData>
            </a:graphic>
          </wp:inline>
        </w:drawing>
      </w:r>
    </w:p>
    <w:p w:rsidR="00B46350" w:rsidRPr="00F55C45" w:rsidRDefault="00B46350" w:rsidP="003C6D28">
      <w:pPr>
        <w:pStyle w:val="Caption"/>
      </w:pPr>
      <w:bookmarkStart w:id="310" w:name="_Ref464925703"/>
      <w:bookmarkStart w:id="311" w:name="_Ref464925698"/>
      <w:bookmarkStart w:id="312" w:name="_Toc469982777"/>
      <w:r w:rsidRPr="00F55C45">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12</w:t>
      </w:r>
      <w:r w:rsidR="00C44EF5">
        <w:rPr>
          <w:noProof/>
        </w:rPr>
        <w:fldChar w:fldCharType="end"/>
      </w:r>
      <w:bookmarkEnd w:id="310"/>
      <w:r w:rsidRPr="00F55C45">
        <w:t xml:space="preserve"> Mean TRF number per habitat type </w:t>
      </w:r>
      <w:r w:rsidRPr="003C6D28">
        <w:t>calculated</w:t>
      </w:r>
      <w:r w:rsidRPr="00F55C45">
        <w:t xml:space="preserve"> from restriction with (a) both enzymes combined (b) </w:t>
      </w:r>
      <w:proofErr w:type="spellStart"/>
      <w:r w:rsidRPr="00F55C45">
        <w:rPr>
          <w:i/>
        </w:rPr>
        <w:t>Hinf</w:t>
      </w:r>
      <w:proofErr w:type="spellEnd"/>
      <w:r w:rsidRPr="00F55C45">
        <w:t xml:space="preserve">-I, (c) </w:t>
      </w:r>
      <w:r w:rsidR="00DE1AD4">
        <w:rPr>
          <w:i/>
        </w:rPr>
        <w:t>HpyCH4-III</w:t>
      </w:r>
      <w:r w:rsidRPr="00F55C45">
        <w:t xml:space="preserve">. Mean Simpson’s diversity indices calculated from restriction with (d) both enzymes (e) </w:t>
      </w:r>
      <w:proofErr w:type="spellStart"/>
      <w:r w:rsidRPr="00F55C45">
        <w:rPr>
          <w:i/>
        </w:rPr>
        <w:t>Hinf</w:t>
      </w:r>
      <w:proofErr w:type="spellEnd"/>
      <w:r w:rsidRPr="00F55C45">
        <w:t xml:space="preserve">-I, (f) </w:t>
      </w:r>
      <w:r w:rsidR="00DE1AD4">
        <w:t>HpyCH4-III</w:t>
      </w:r>
      <w:r w:rsidRPr="00F55C45">
        <w:t xml:space="preserve">. Error bars show SE of mean (n=25). Habitat codes are as follows; (A; arable, CB; conventional bush orchard, CS; conventional standard orchard, OS; organic standard orchard; W; woodland.). Habitats with the same letter do not differ significantly from one another (Tukey, HSD </w:t>
      </w:r>
      <w:r w:rsidRPr="00F55C45">
        <w:rPr>
          <w:i/>
        </w:rPr>
        <w:t>P</w:t>
      </w:r>
      <w:r w:rsidRPr="00F55C45">
        <w:t>&lt;0.05).</w:t>
      </w:r>
      <w:bookmarkEnd w:id="311"/>
      <w:bookmarkEnd w:id="312"/>
      <w:r w:rsidRPr="00F55C45">
        <w:t xml:space="preserve"> </w:t>
      </w:r>
    </w:p>
    <w:p w:rsidR="00B46350" w:rsidRDefault="00B46350" w:rsidP="00B46350"/>
    <w:p w:rsidR="00B46350" w:rsidRDefault="00B46350" w:rsidP="00B46350">
      <w:pPr>
        <w:pStyle w:val="Caption"/>
        <w:keepNext/>
      </w:pPr>
    </w:p>
    <w:tbl>
      <w:tblPr>
        <w:tblStyle w:val="TableGrid"/>
        <w:tblpPr w:leftFromText="180" w:rightFromText="180" w:vertAnchor="page" w:horzAnchor="margin" w:tblpXSpec="center" w:tblpY="1187"/>
        <w:tblW w:w="12583" w:type="dxa"/>
        <w:tblLayout w:type="fixed"/>
        <w:tblLook w:val="04A0" w:firstRow="1" w:lastRow="0" w:firstColumn="1" w:lastColumn="0" w:noHBand="0" w:noVBand="1"/>
      </w:tblPr>
      <w:tblGrid>
        <w:gridCol w:w="1380"/>
        <w:gridCol w:w="1134"/>
        <w:gridCol w:w="709"/>
        <w:gridCol w:w="855"/>
        <w:gridCol w:w="992"/>
        <w:gridCol w:w="709"/>
        <w:gridCol w:w="884"/>
        <w:gridCol w:w="851"/>
        <w:gridCol w:w="958"/>
        <w:gridCol w:w="709"/>
        <w:gridCol w:w="992"/>
        <w:gridCol w:w="709"/>
        <w:gridCol w:w="992"/>
        <w:gridCol w:w="709"/>
      </w:tblGrid>
      <w:tr w:rsidR="00B46350" w:rsidRPr="00CA4E8C" w:rsidTr="003D1BB6">
        <w:tc>
          <w:tcPr>
            <w:tcW w:w="12583" w:type="dxa"/>
            <w:gridSpan w:val="14"/>
            <w:tcBorders>
              <w:top w:val="nil"/>
              <w:left w:val="nil"/>
              <w:bottom w:val="single" w:sz="4" w:space="0" w:color="auto"/>
              <w:right w:val="nil"/>
            </w:tcBorders>
          </w:tcPr>
          <w:p w:rsidR="00B46350" w:rsidRPr="00F55C45" w:rsidRDefault="00B46350" w:rsidP="00A67251">
            <w:pPr>
              <w:pStyle w:val="Caption"/>
            </w:pPr>
            <w:bookmarkStart w:id="313" w:name="_Ref467851255"/>
            <w:bookmarkStart w:id="314" w:name="_Toc469868578"/>
            <w:r w:rsidRPr="00F55C45">
              <w:t xml:space="preserve">Table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Pr="00F55C45">
              <w:t>.</w:t>
            </w:r>
            <w:r w:rsidR="00C44EF5">
              <w:fldChar w:fldCharType="begin"/>
            </w:r>
            <w:r w:rsidR="00C44EF5">
              <w:instrText xml:space="preserve"> SEQ Table \* ARABIC \s 1 </w:instrText>
            </w:r>
            <w:r w:rsidR="00C44EF5">
              <w:fldChar w:fldCharType="separate"/>
            </w:r>
            <w:r w:rsidR="00E0714D">
              <w:rPr>
                <w:noProof/>
              </w:rPr>
              <w:t>4</w:t>
            </w:r>
            <w:r w:rsidR="00C44EF5">
              <w:rPr>
                <w:noProof/>
              </w:rPr>
              <w:fldChar w:fldCharType="end"/>
            </w:r>
            <w:bookmarkEnd w:id="313"/>
            <w:r w:rsidRPr="00F55C45">
              <w:t xml:space="preserve">. TRFLP </w:t>
            </w:r>
            <w:r>
              <w:t>principal</w:t>
            </w:r>
            <w:r w:rsidRPr="00F55C45">
              <w:t xml:space="preserve"> component </w:t>
            </w:r>
            <w:r w:rsidRPr="003C6D28">
              <w:t>scores</w:t>
            </w:r>
            <w:r w:rsidRPr="00F55C45">
              <w:t xml:space="preserve"> which showed significant differences between the five habitat types. Statistical differences between </w:t>
            </w:r>
            <w:r>
              <w:t>principal</w:t>
            </w:r>
            <w:r w:rsidRPr="00F55C45">
              <w:t xml:space="preserve"> component scores of habitats were calculated using a 1-way ANOVA test with PC score as the response, habitat as the predictor and site as a random factor. Habitats with the same letter do not differ significantly from one another (Tukey HSD, p&lt;0.05). Only results for </w:t>
            </w:r>
            <w:r>
              <w:t>principal</w:t>
            </w:r>
            <w:r w:rsidRPr="00F55C45">
              <w:t xml:space="preserve"> component scores which are significantly affected by habitat are presented.</w:t>
            </w:r>
            <w:bookmarkEnd w:id="314"/>
            <w:r w:rsidR="00A67251">
              <w:t xml:space="preserve"> </w:t>
            </w:r>
            <w:r w:rsidR="003D1BB6">
              <w:t>TRFs</w:t>
            </w:r>
            <w:r w:rsidR="00A67251">
              <w:t xml:space="preserve"> produced from both restriction with </w:t>
            </w:r>
            <w:proofErr w:type="spellStart"/>
            <w:r w:rsidR="00A67251" w:rsidRPr="00A67251">
              <w:rPr>
                <w:i/>
              </w:rPr>
              <w:t>Hinf</w:t>
            </w:r>
            <w:proofErr w:type="spellEnd"/>
            <w:r w:rsidR="00A67251">
              <w:t xml:space="preserve">-I and </w:t>
            </w:r>
            <w:r w:rsidR="00A67251" w:rsidRPr="00A67251">
              <w:rPr>
                <w:i/>
              </w:rPr>
              <w:t>HpyCH4</w:t>
            </w:r>
            <w:r w:rsidR="00A67251">
              <w:t>-III restriction enzymes are presented.</w:t>
            </w:r>
            <w:r w:rsidRPr="00F55C45">
              <w:t xml:space="preserve"> </w:t>
            </w:r>
          </w:p>
        </w:tc>
      </w:tr>
      <w:tr w:rsidR="00B46350" w:rsidRPr="00CA4E8C" w:rsidTr="003D1BB6">
        <w:tc>
          <w:tcPr>
            <w:tcW w:w="1380" w:type="dxa"/>
            <w:tcBorders>
              <w:top w:val="single" w:sz="4" w:space="0" w:color="auto"/>
              <w:left w:val="nil"/>
              <w:bottom w:val="single" w:sz="4" w:space="0" w:color="auto"/>
              <w:right w:val="nil"/>
            </w:tcBorders>
          </w:tcPr>
          <w:p w:rsidR="00B46350" w:rsidRPr="00CA4E8C" w:rsidRDefault="00B46350" w:rsidP="00B46350">
            <w:pPr>
              <w:rPr>
                <w:rFonts w:cs="Times New Roman"/>
                <w:sz w:val="20"/>
                <w:szCs w:val="20"/>
              </w:rPr>
            </w:pPr>
          </w:p>
        </w:tc>
        <w:tc>
          <w:tcPr>
            <w:tcW w:w="1134" w:type="dxa"/>
            <w:tcBorders>
              <w:top w:val="single" w:sz="4" w:space="0" w:color="auto"/>
              <w:left w:val="nil"/>
              <w:bottom w:val="single" w:sz="4" w:space="0" w:color="auto"/>
              <w:right w:val="nil"/>
            </w:tcBorders>
          </w:tcPr>
          <w:p w:rsidR="00B46350" w:rsidRPr="00CA4E8C" w:rsidRDefault="00B46350" w:rsidP="00B46350">
            <w:pPr>
              <w:rPr>
                <w:rFonts w:cs="Times New Roman"/>
                <w:sz w:val="20"/>
                <w:szCs w:val="20"/>
              </w:rPr>
            </w:pPr>
          </w:p>
        </w:tc>
        <w:tc>
          <w:tcPr>
            <w:tcW w:w="709" w:type="dxa"/>
            <w:tcBorders>
              <w:top w:val="single" w:sz="4" w:space="0" w:color="auto"/>
              <w:left w:val="nil"/>
              <w:bottom w:val="single" w:sz="4" w:space="0" w:color="auto"/>
              <w:right w:val="nil"/>
            </w:tcBorders>
          </w:tcPr>
          <w:p w:rsidR="00B46350" w:rsidRPr="00CA4E8C" w:rsidRDefault="00B46350" w:rsidP="00B46350">
            <w:pPr>
              <w:rPr>
                <w:rFonts w:cs="Times New Roman"/>
                <w:sz w:val="20"/>
                <w:szCs w:val="20"/>
              </w:rPr>
            </w:pPr>
          </w:p>
        </w:tc>
        <w:tc>
          <w:tcPr>
            <w:tcW w:w="855" w:type="dxa"/>
            <w:tcBorders>
              <w:top w:val="single" w:sz="4" w:space="0" w:color="auto"/>
              <w:left w:val="nil"/>
              <w:bottom w:val="single" w:sz="4" w:space="0" w:color="auto"/>
              <w:right w:val="nil"/>
            </w:tcBorders>
          </w:tcPr>
          <w:p w:rsidR="00B46350" w:rsidRPr="00CA4E8C" w:rsidRDefault="00B46350" w:rsidP="00B46350">
            <w:pPr>
              <w:rPr>
                <w:rFonts w:cs="Times New Roman"/>
                <w:sz w:val="20"/>
                <w:szCs w:val="20"/>
              </w:rPr>
            </w:pPr>
          </w:p>
        </w:tc>
        <w:tc>
          <w:tcPr>
            <w:tcW w:w="8505" w:type="dxa"/>
            <w:gridSpan w:val="10"/>
            <w:tcBorders>
              <w:top w:val="single" w:sz="4" w:space="0" w:color="auto"/>
              <w:left w:val="nil"/>
              <w:bottom w:val="single" w:sz="4" w:space="0" w:color="auto"/>
              <w:right w:val="nil"/>
            </w:tcBorders>
          </w:tcPr>
          <w:p w:rsidR="00B46350" w:rsidRDefault="00B46350" w:rsidP="00B46350">
            <w:pPr>
              <w:jc w:val="center"/>
              <w:rPr>
                <w:rFonts w:cs="Times New Roman"/>
                <w:sz w:val="20"/>
                <w:szCs w:val="20"/>
              </w:rPr>
            </w:pPr>
            <w:r>
              <w:rPr>
                <w:rFonts w:cs="Times New Roman"/>
                <w:sz w:val="20"/>
                <w:szCs w:val="20"/>
              </w:rPr>
              <w:t>Principal component score mean and (±SE) per habitat</w:t>
            </w:r>
          </w:p>
        </w:tc>
      </w:tr>
      <w:tr w:rsidR="00B46350" w:rsidRPr="00CA4E8C" w:rsidTr="003D1BB6">
        <w:tc>
          <w:tcPr>
            <w:tcW w:w="1380" w:type="dxa"/>
            <w:tcBorders>
              <w:top w:val="single" w:sz="4" w:space="0" w:color="auto"/>
              <w:left w:val="nil"/>
              <w:bottom w:val="single" w:sz="4" w:space="0" w:color="auto"/>
              <w:right w:val="nil"/>
            </w:tcBorders>
          </w:tcPr>
          <w:p w:rsidR="00B46350" w:rsidRDefault="00B46350" w:rsidP="00B46350">
            <w:pPr>
              <w:jc w:val="center"/>
              <w:rPr>
                <w:rFonts w:cs="Times New Roman"/>
                <w:sz w:val="20"/>
                <w:szCs w:val="20"/>
              </w:rPr>
            </w:pPr>
            <w:r>
              <w:rPr>
                <w:rFonts w:cs="Times New Roman"/>
                <w:sz w:val="20"/>
                <w:szCs w:val="20"/>
              </w:rPr>
              <w:t>Data</w:t>
            </w:r>
          </w:p>
          <w:p w:rsidR="00B46350" w:rsidRPr="00CA4E8C" w:rsidRDefault="00B46350" w:rsidP="00B46350">
            <w:pPr>
              <w:jc w:val="center"/>
              <w:rPr>
                <w:rFonts w:cs="Times New Roman"/>
                <w:sz w:val="20"/>
                <w:szCs w:val="20"/>
              </w:rPr>
            </w:pPr>
          </w:p>
        </w:tc>
        <w:tc>
          <w:tcPr>
            <w:tcW w:w="1134" w:type="dxa"/>
            <w:tcBorders>
              <w:top w:val="single" w:sz="4" w:space="0" w:color="auto"/>
              <w:left w:val="nil"/>
              <w:bottom w:val="single" w:sz="4" w:space="0" w:color="auto"/>
              <w:right w:val="nil"/>
            </w:tcBorders>
          </w:tcPr>
          <w:p w:rsidR="00B46350" w:rsidRPr="00CA4E8C" w:rsidRDefault="00B46350" w:rsidP="00B46350">
            <w:pPr>
              <w:jc w:val="center"/>
              <w:rPr>
                <w:rFonts w:cs="Times New Roman"/>
                <w:sz w:val="20"/>
                <w:szCs w:val="20"/>
              </w:rPr>
            </w:pPr>
            <w:r>
              <w:rPr>
                <w:rFonts w:cs="Times New Roman"/>
                <w:sz w:val="20"/>
                <w:szCs w:val="20"/>
              </w:rPr>
              <w:t>PC</w:t>
            </w:r>
          </w:p>
        </w:tc>
        <w:tc>
          <w:tcPr>
            <w:tcW w:w="709" w:type="dxa"/>
            <w:tcBorders>
              <w:top w:val="single" w:sz="4" w:space="0" w:color="auto"/>
              <w:left w:val="nil"/>
              <w:bottom w:val="single" w:sz="4" w:space="0" w:color="auto"/>
              <w:right w:val="nil"/>
            </w:tcBorders>
          </w:tcPr>
          <w:p w:rsidR="00B46350" w:rsidRPr="00CA4E8C" w:rsidRDefault="00B46350" w:rsidP="00B46350">
            <w:pPr>
              <w:jc w:val="center"/>
              <w:rPr>
                <w:rFonts w:cs="Times New Roman"/>
                <w:sz w:val="20"/>
                <w:szCs w:val="20"/>
              </w:rPr>
            </w:pPr>
            <w:r w:rsidRPr="00CA4E8C">
              <w:rPr>
                <w:rFonts w:cs="Times New Roman"/>
                <w:sz w:val="20"/>
                <w:szCs w:val="20"/>
              </w:rPr>
              <w:t>F</w:t>
            </w:r>
            <w:r w:rsidRPr="00CA4E8C">
              <w:rPr>
                <w:rFonts w:cs="Times New Roman"/>
                <w:sz w:val="20"/>
                <w:szCs w:val="20"/>
                <w:vertAlign w:val="subscript"/>
              </w:rPr>
              <w:t>1,4</w:t>
            </w:r>
          </w:p>
        </w:tc>
        <w:tc>
          <w:tcPr>
            <w:tcW w:w="855" w:type="dxa"/>
            <w:tcBorders>
              <w:top w:val="single" w:sz="4" w:space="0" w:color="auto"/>
              <w:left w:val="nil"/>
              <w:bottom w:val="single" w:sz="4" w:space="0" w:color="auto"/>
              <w:right w:val="nil"/>
            </w:tcBorders>
          </w:tcPr>
          <w:p w:rsidR="00B46350" w:rsidRPr="00CA4E8C" w:rsidRDefault="00B46350" w:rsidP="00B46350">
            <w:pPr>
              <w:jc w:val="center"/>
              <w:rPr>
                <w:rFonts w:cs="Times New Roman"/>
                <w:sz w:val="20"/>
                <w:szCs w:val="20"/>
              </w:rPr>
            </w:pPr>
            <w:r w:rsidRPr="00CA4E8C">
              <w:rPr>
                <w:rFonts w:cs="Times New Roman"/>
                <w:sz w:val="20"/>
                <w:szCs w:val="20"/>
              </w:rPr>
              <w:t>P</w:t>
            </w:r>
          </w:p>
        </w:tc>
        <w:tc>
          <w:tcPr>
            <w:tcW w:w="1701" w:type="dxa"/>
            <w:gridSpan w:val="2"/>
            <w:tcBorders>
              <w:top w:val="single" w:sz="4" w:space="0" w:color="auto"/>
              <w:left w:val="nil"/>
              <w:bottom w:val="single" w:sz="4" w:space="0" w:color="auto"/>
              <w:right w:val="nil"/>
            </w:tcBorders>
          </w:tcPr>
          <w:p w:rsidR="00B46350" w:rsidRPr="00CA4E8C" w:rsidRDefault="00B46350" w:rsidP="00B46350">
            <w:pPr>
              <w:jc w:val="center"/>
              <w:rPr>
                <w:rFonts w:cs="Times New Roman"/>
                <w:sz w:val="20"/>
                <w:szCs w:val="20"/>
              </w:rPr>
            </w:pPr>
            <w:r w:rsidRPr="00CA4E8C">
              <w:rPr>
                <w:rFonts w:cs="Times New Roman"/>
                <w:sz w:val="20"/>
                <w:szCs w:val="20"/>
              </w:rPr>
              <w:t>Arable</w:t>
            </w:r>
          </w:p>
        </w:tc>
        <w:tc>
          <w:tcPr>
            <w:tcW w:w="1735" w:type="dxa"/>
            <w:gridSpan w:val="2"/>
            <w:tcBorders>
              <w:top w:val="single" w:sz="4" w:space="0" w:color="auto"/>
              <w:left w:val="nil"/>
              <w:bottom w:val="single" w:sz="4" w:space="0" w:color="auto"/>
              <w:right w:val="nil"/>
            </w:tcBorders>
          </w:tcPr>
          <w:p w:rsidR="00B46350" w:rsidRPr="00CA4E8C" w:rsidRDefault="00B46350" w:rsidP="00B46350">
            <w:pPr>
              <w:jc w:val="center"/>
              <w:rPr>
                <w:rFonts w:cs="Times New Roman"/>
                <w:sz w:val="20"/>
                <w:szCs w:val="20"/>
              </w:rPr>
            </w:pPr>
            <w:r>
              <w:rPr>
                <w:rFonts w:cs="Times New Roman"/>
                <w:sz w:val="20"/>
                <w:szCs w:val="20"/>
              </w:rPr>
              <w:t>Conventional B</w:t>
            </w:r>
            <w:r w:rsidRPr="00CA4E8C">
              <w:rPr>
                <w:rFonts w:cs="Times New Roman"/>
                <w:sz w:val="20"/>
                <w:szCs w:val="20"/>
              </w:rPr>
              <w:t>ush</w:t>
            </w:r>
            <w:r>
              <w:rPr>
                <w:rFonts w:cs="Times New Roman"/>
                <w:sz w:val="20"/>
                <w:szCs w:val="20"/>
              </w:rPr>
              <w:t xml:space="preserve"> orchard</w:t>
            </w:r>
          </w:p>
        </w:tc>
        <w:tc>
          <w:tcPr>
            <w:tcW w:w="1667" w:type="dxa"/>
            <w:gridSpan w:val="2"/>
            <w:tcBorders>
              <w:top w:val="single" w:sz="4" w:space="0" w:color="auto"/>
              <w:left w:val="nil"/>
              <w:bottom w:val="single" w:sz="4" w:space="0" w:color="auto"/>
              <w:right w:val="nil"/>
            </w:tcBorders>
          </w:tcPr>
          <w:p w:rsidR="00B46350" w:rsidRPr="00CA4E8C" w:rsidRDefault="00B46350" w:rsidP="00B46350">
            <w:pPr>
              <w:jc w:val="center"/>
              <w:rPr>
                <w:rFonts w:cs="Times New Roman"/>
                <w:sz w:val="20"/>
                <w:szCs w:val="20"/>
              </w:rPr>
            </w:pPr>
            <w:r w:rsidRPr="00CA4E8C">
              <w:rPr>
                <w:rFonts w:cs="Times New Roman"/>
                <w:sz w:val="20"/>
                <w:szCs w:val="20"/>
              </w:rPr>
              <w:t>Conventional Standard</w:t>
            </w:r>
            <w:r>
              <w:rPr>
                <w:rFonts w:cs="Times New Roman"/>
                <w:sz w:val="20"/>
                <w:szCs w:val="20"/>
              </w:rPr>
              <w:t xml:space="preserve"> Orchard</w:t>
            </w:r>
          </w:p>
        </w:tc>
        <w:tc>
          <w:tcPr>
            <w:tcW w:w="1701" w:type="dxa"/>
            <w:gridSpan w:val="2"/>
            <w:tcBorders>
              <w:top w:val="single" w:sz="4" w:space="0" w:color="auto"/>
              <w:left w:val="nil"/>
              <w:bottom w:val="single" w:sz="4" w:space="0" w:color="auto"/>
              <w:right w:val="nil"/>
            </w:tcBorders>
          </w:tcPr>
          <w:p w:rsidR="00B46350" w:rsidRPr="00CA4E8C" w:rsidRDefault="00B46350" w:rsidP="00B46350">
            <w:pPr>
              <w:jc w:val="center"/>
              <w:rPr>
                <w:rFonts w:cs="Times New Roman"/>
                <w:sz w:val="20"/>
                <w:szCs w:val="20"/>
              </w:rPr>
            </w:pPr>
            <w:r w:rsidRPr="00CA4E8C">
              <w:rPr>
                <w:rFonts w:cs="Times New Roman"/>
                <w:sz w:val="20"/>
                <w:szCs w:val="20"/>
              </w:rPr>
              <w:t>Organic Standard</w:t>
            </w:r>
            <w:r>
              <w:rPr>
                <w:rFonts w:cs="Times New Roman"/>
                <w:sz w:val="20"/>
                <w:szCs w:val="20"/>
              </w:rPr>
              <w:t xml:space="preserve"> Orchard</w:t>
            </w:r>
          </w:p>
        </w:tc>
        <w:tc>
          <w:tcPr>
            <w:tcW w:w="1701" w:type="dxa"/>
            <w:gridSpan w:val="2"/>
            <w:tcBorders>
              <w:top w:val="single" w:sz="4" w:space="0" w:color="auto"/>
              <w:left w:val="nil"/>
              <w:bottom w:val="single" w:sz="4" w:space="0" w:color="auto"/>
              <w:right w:val="nil"/>
            </w:tcBorders>
          </w:tcPr>
          <w:p w:rsidR="00B46350" w:rsidRPr="00CA4E8C" w:rsidRDefault="00B46350" w:rsidP="00B46350">
            <w:pPr>
              <w:jc w:val="center"/>
              <w:rPr>
                <w:rFonts w:cs="Times New Roman"/>
                <w:sz w:val="20"/>
                <w:szCs w:val="20"/>
              </w:rPr>
            </w:pPr>
            <w:r w:rsidRPr="00CA4E8C">
              <w:rPr>
                <w:rFonts w:cs="Times New Roman"/>
                <w:sz w:val="20"/>
                <w:szCs w:val="20"/>
              </w:rPr>
              <w:t>Woodland</w:t>
            </w:r>
          </w:p>
        </w:tc>
      </w:tr>
      <w:tr w:rsidR="00B46350" w:rsidRPr="00CA4E8C" w:rsidTr="003D1BB6">
        <w:trPr>
          <w:trHeight w:val="340"/>
        </w:trPr>
        <w:tc>
          <w:tcPr>
            <w:tcW w:w="1380" w:type="dxa"/>
            <w:vMerge w:val="restart"/>
            <w:tcBorders>
              <w:top w:val="single" w:sz="4" w:space="0" w:color="auto"/>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 xml:space="preserve">TRF </w:t>
            </w:r>
            <w:r w:rsidRPr="00CA4E8C">
              <w:rPr>
                <w:rFonts w:cs="Times New Roman"/>
                <w:sz w:val="20"/>
                <w:szCs w:val="20"/>
              </w:rPr>
              <w:t>Relative abundance</w:t>
            </w:r>
          </w:p>
        </w:tc>
        <w:tc>
          <w:tcPr>
            <w:tcW w:w="1134" w:type="dxa"/>
            <w:tcBorders>
              <w:top w:val="single" w:sz="4" w:space="0" w:color="auto"/>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1</w:t>
            </w:r>
          </w:p>
        </w:tc>
        <w:tc>
          <w:tcPr>
            <w:tcW w:w="709" w:type="dxa"/>
            <w:tcBorders>
              <w:top w:val="single" w:sz="4" w:space="0" w:color="auto"/>
              <w:left w:val="nil"/>
              <w:bottom w:val="nil"/>
              <w:right w:val="nil"/>
            </w:tcBorders>
          </w:tcPr>
          <w:p w:rsidR="00B46350" w:rsidRPr="00CA4E8C" w:rsidRDefault="00B46350" w:rsidP="00B46350">
            <w:pPr>
              <w:rPr>
                <w:rFonts w:cs="Times New Roman"/>
                <w:sz w:val="20"/>
                <w:szCs w:val="20"/>
              </w:rPr>
            </w:pPr>
            <w:r>
              <w:rPr>
                <w:rFonts w:cs="Times New Roman"/>
                <w:sz w:val="20"/>
                <w:szCs w:val="20"/>
              </w:rPr>
              <w:t xml:space="preserve">24.63 </w:t>
            </w:r>
          </w:p>
        </w:tc>
        <w:tc>
          <w:tcPr>
            <w:tcW w:w="855" w:type="dxa"/>
            <w:tcBorders>
              <w:top w:val="single" w:sz="4" w:space="0" w:color="auto"/>
              <w:left w:val="nil"/>
              <w:bottom w:val="nil"/>
              <w:right w:val="nil"/>
            </w:tcBorders>
          </w:tcPr>
          <w:p w:rsidR="00B46350" w:rsidRPr="00CA4E8C" w:rsidRDefault="00B46350" w:rsidP="00B46350">
            <w:pPr>
              <w:jc w:val="right"/>
              <w:rPr>
                <w:rFonts w:cs="Times New Roman"/>
                <w:sz w:val="20"/>
                <w:szCs w:val="20"/>
              </w:rPr>
            </w:pPr>
            <w:r>
              <w:rPr>
                <w:rFonts w:cs="Times New Roman"/>
                <w:sz w:val="20"/>
                <w:szCs w:val="20"/>
              </w:rPr>
              <w:t>&lt;0.001</w:t>
            </w:r>
          </w:p>
        </w:tc>
        <w:tc>
          <w:tcPr>
            <w:tcW w:w="992" w:type="dxa"/>
            <w:tcBorders>
              <w:top w:val="single" w:sz="4" w:space="0" w:color="auto"/>
              <w:left w:val="nil"/>
              <w:bottom w:val="nil"/>
              <w:right w:val="nil"/>
            </w:tcBorders>
          </w:tcPr>
          <w:p w:rsidR="00B46350" w:rsidRPr="001A7645" w:rsidRDefault="00B46350" w:rsidP="00B46350">
            <w:pPr>
              <w:rPr>
                <w:rFonts w:cs="Times New Roman"/>
                <w:sz w:val="20"/>
                <w:szCs w:val="20"/>
              </w:rPr>
            </w:pPr>
            <w:r>
              <w:rPr>
                <w:rFonts w:cs="Times New Roman"/>
                <w:sz w:val="20"/>
                <w:szCs w:val="20"/>
              </w:rPr>
              <w:t>-26.28</w:t>
            </w:r>
            <w:r w:rsidRPr="001A7645">
              <w:rPr>
                <w:rFonts w:cs="Times New Roman"/>
                <w:sz w:val="20"/>
                <w:szCs w:val="20"/>
                <w:vertAlign w:val="superscript"/>
              </w:rPr>
              <w:t xml:space="preserve"> A</w:t>
            </w:r>
            <w:r>
              <w:rPr>
                <w:rFonts w:cs="Times New Roman"/>
                <w:sz w:val="20"/>
                <w:szCs w:val="20"/>
              </w:rPr>
              <w:t xml:space="preserve"> </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(3.42)</w:t>
            </w:r>
          </w:p>
        </w:tc>
        <w:tc>
          <w:tcPr>
            <w:tcW w:w="884" w:type="dxa"/>
            <w:tcBorders>
              <w:top w:val="single" w:sz="4" w:space="0" w:color="auto"/>
              <w:left w:val="nil"/>
              <w:bottom w:val="nil"/>
              <w:right w:val="nil"/>
            </w:tcBorders>
          </w:tcPr>
          <w:p w:rsidR="00B46350" w:rsidRPr="00CA4E8C" w:rsidRDefault="00B46350" w:rsidP="00B46350">
            <w:pPr>
              <w:rPr>
                <w:rFonts w:cs="Times New Roman"/>
                <w:sz w:val="20"/>
                <w:szCs w:val="20"/>
              </w:rPr>
            </w:pPr>
            <w:r>
              <w:rPr>
                <w:rFonts w:cs="Times New Roman"/>
                <w:sz w:val="20"/>
                <w:szCs w:val="20"/>
              </w:rPr>
              <w:t>6.23</w:t>
            </w:r>
            <w:r w:rsidRPr="001A7645">
              <w:rPr>
                <w:rFonts w:cs="Times New Roman"/>
                <w:sz w:val="20"/>
                <w:szCs w:val="20"/>
                <w:vertAlign w:val="superscript"/>
              </w:rPr>
              <w:t xml:space="preserve"> </w:t>
            </w:r>
            <w:r>
              <w:rPr>
                <w:rFonts w:cs="Times New Roman"/>
                <w:sz w:val="20"/>
                <w:szCs w:val="20"/>
                <w:vertAlign w:val="superscript"/>
              </w:rPr>
              <w:t>B</w:t>
            </w:r>
            <w:r>
              <w:rPr>
                <w:rFonts w:cs="Times New Roman"/>
                <w:sz w:val="20"/>
                <w:szCs w:val="20"/>
              </w:rPr>
              <w:t xml:space="preserve"> </w:t>
            </w:r>
          </w:p>
        </w:tc>
        <w:tc>
          <w:tcPr>
            <w:tcW w:w="851"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(3.05)</w:t>
            </w:r>
          </w:p>
        </w:tc>
        <w:tc>
          <w:tcPr>
            <w:tcW w:w="958" w:type="dxa"/>
            <w:tcBorders>
              <w:top w:val="single" w:sz="4" w:space="0" w:color="auto"/>
              <w:left w:val="nil"/>
              <w:bottom w:val="nil"/>
              <w:right w:val="nil"/>
            </w:tcBorders>
          </w:tcPr>
          <w:p w:rsidR="00B46350" w:rsidRPr="00CA4E8C" w:rsidRDefault="00B46350" w:rsidP="00B46350">
            <w:pPr>
              <w:rPr>
                <w:rFonts w:cs="Times New Roman"/>
                <w:sz w:val="20"/>
                <w:szCs w:val="20"/>
              </w:rPr>
            </w:pPr>
            <w:r>
              <w:rPr>
                <w:rFonts w:cs="Times New Roman"/>
                <w:sz w:val="20"/>
                <w:szCs w:val="20"/>
              </w:rPr>
              <w:t>5.55</w:t>
            </w:r>
            <w:r>
              <w:rPr>
                <w:rFonts w:cs="Times New Roman"/>
                <w:sz w:val="20"/>
                <w:szCs w:val="20"/>
                <w:vertAlign w:val="superscript"/>
              </w:rPr>
              <w:t xml:space="preserve"> B</w:t>
            </w:r>
            <w:r>
              <w:rPr>
                <w:rFonts w:cs="Times New Roman"/>
                <w:sz w:val="20"/>
                <w:szCs w:val="20"/>
              </w:rPr>
              <w:t xml:space="preserve"> </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(2.48)</w:t>
            </w:r>
          </w:p>
        </w:tc>
        <w:tc>
          <w:tcPr>
            <w:tcW w:w="992" w:type="dxa"/>
            <w:tcBorders>
              <w:top w:val="single" w:sz="4" w:space="0" w:color="auto"/>
              <w:left w:val="nil"/>
              <w:bottom w:val="nil"/>
              <w:right w:val="nil"/>
            </w:tcBorders>
          </w:tcPr>
          <w:p w:rsidR="00B46350" w:rsidRPr="00CA4E8C" w:rsidRDefault="00B46350" w:rsidP="00B46350">
            <w:pPr>
              <w:rPr>
                <w:rFonts w:cs="Times New Roman"/>
                <w:sz w:val="20"/>
                <w:szCs w:val="20"/>
              </w:rPr>
            </w:pPr>
            <w:r>
              <w:rPr>
                <w:rFonts w:cs="Times New Roman"/>
                <w:sz w:val="20"/>
                <w:szCs w:val="20"/>
              </w:rPr>
              <w:t>4.55</w:t>
            </w:r>
            <w:r>
              <w:rPr>
                <w:rFonts w:cs="Times New Roman"/>
                <w:sz w:val="20"/>
                <w:szCs w:val="20"/>
                <w:vertAlign w:val="superscript"/>
              </w:rPr>
              <w:t xml:space="preserve"> B</w:t>
            </w:r>
            <w:r>
              <w:rPr>
                <w:rFonts w:cs="Times New Roman"/>
                <w:sz w:val="20"/>
                <w:szCs w:val="20"/>
              </w:rPr>
              <w:t xml:space="preserve"> </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(2.36)</w:t>
            </w:r>
          </w:p>
        </w:tc>
        <w:tc>
          <w:tcPr>
            <w:tcW w:w="992" w:type="dxa"/>
            <w:tcBorders>
              <w:top w:val="single" w:sz="4" w:space="0" w:color="auto"/>
              <w:left w:val="nil"/>
              <w:bottom w:val="nil"/>
              <w:right w:val="nil"/>
            </w:tcBorders>
          </w:tcPr>
          <w:p w:rsidR="00B46350" w:rsidRPr="00CA4E8C" w:rsidRDefault="00B46350" w:rsidP="00B46350">
            <w:pPr>
              <w:rPr>
                <w:rFonts w:cs="Times New Roman"/>
                <w:sz w:val="20"/>
                <w:szCs w:val="20"/>
              </w:rPr>
            </w:pPr>
            <w:r>
              <w:rPr>
                <w:rFonts w:cs="Times New Roman"/>
                <w:sz w:val="20"/>
                <w:szCs w:val="20"/>
              </w:rPr>
              <w:t>9.93</w:t>
            </w:r>
            <w:r>
              <w:rPr>
                <w:rFonts w:cs="Times New Roman"/>
                <w:sz w:val="20"/>
                <w:szCs w:val="20"/>
                <w:vertAlign w:val="superscript"/>
              </w:rPr>
              <w:t xml:space="preserve"> B</w:t>
            </w:r>
            <w:r>
              <w:rPr>
                <w:rFonts w:cs="Times New Roman"/>
                <w:sz w:val="20"/>
                <w:szCs w:val="20"/>
              </w:rPr>
              <w:t xml:space="preserve"> </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(3.16)</w:t>
            </w:r>
          </w:p>
        </w:tc>
      </w:tr>
      <w:tr w:rsidR="00B46350" w:rsidRPr="00CA4E8C" w:rsidTr="003D1BB6">
        <w:trPr>
          <w:trHeight w:val="340"/>
        </w:trPr>
        <w:tc>
          <w:tcPr>
            <w:tcW w:w="1380" w:type="dxa"/>
            <w:vMerge/>
            <w:tcBorders>
              <w:top w:val="nil"/>
              <w:left w:val="nil"/>
              <w:bottom w:val="nil"/>
              <w:right w:val="nil"/>
            </w:tcBorders>
          </w:tcPr>
          <w:p w:rsidR="00B46350" w:rsidRPr="00CA4E8C" w:rsidRDefault="00B46350" w:rsidP="00B46350">
            <w:pPr>
              <w:jc w:val="center"/>
              <w:rPr>
                <w:rFonts w:cs="Times New Roman"/>
                <w:sz w:val="20"/>
                <w:szCs w:val="20"/>
              </w:rPr>
            </w:pPr>
          </w:p>
        </w:tc>
        <w:tc>
          <w:tcPr>
            <w:tcW w:w="1134"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2</w:t>
            </w:r>
          </w:p>
        </w:tc>
        <w:tc>
          <w:tcPr>
            <w:tcW w:w="709" w:type="dxa"/>
            <w:tcBorders>
              <w:top w:val="nil"/>
              <w:left w:val="nil"/>
              <w:bottom w:val="nil"/>
              <w:right w:val="nil"/>
            </w:tcBorders>
          </w:tcPr>
          <w:p w:rsidR="00B46350" w:rsidRPr="00CA4E8C" w:rsidRDefault="00B46350" w:rsidP="00B46350">
            <w:pPr>
              <w:rPr>
                <w:rFonts w:cs="Times New Roman"/>
                <w:sz w:val="20"/>
                <w:szCs w:val="20"/>
              </w:rPr>
            </w:pPr>
            <w:r>
              <w:rPr>
                <w:rFonts w:cs="Times New Roman"/>
                <w:sz w:val="20"/>
                <w:szCs w:val="20"/>
              </w:rPr>
              <w:t>2.78</w:t>
            </w:r>
          </w:p>
        </w:tc>
        <w:tc>
          <w:tcPr>
            <w:tcW w:w="855" w:type="dxa"/>
            <w:tcBorders>
              <w:top w:val="nil"/>
              <w:left w:val="nil"/>
              <w:bottom w:val="nil"/>
              <w:right w:val="nil"/>
            </w:tcBorders>
          </w:tcPr>
          <w:p w:rsidR="00B46350" w:rsidRPr="00CA4E8C" w:rsidRDefault="00B46350" w:rsidP="00B46350">
            <w:pPr>
              <w:jc w:val="right"/>
              <w:rPr>
                <w:rFonts w:cs="Times New Roman"/>
                <w:sz w:val="20"/>
                <w:szCs w:val="20"/>
              </w:rPr>
            </w:pPr>
            <w:r>
              <w:rPr>
                <w:rFonts w:cs="Times New Roman"/>
                <w:sz w:val="20"/>
                <w:szCs w:val="20"/>
              </w:rPr>
              <w:t>0.031</w:t>
            </w:r>
          </w:p>
        </w:tc>
        <w:tc>
          <w:tcPr>
            <w:tcW w:w="992" w:type="dxa"/>
            <w:tcBorders>
              <w:top w:val="nil"/>
              <w:left w:val="nil"/>
              <w:bottom w:val="nil"/>
              <w:right w:val="nil"/>
            </w:tcBorders>
          </w:tcPr>
          <w:p w:rsidR="00B46350" w:rsidRPr="00CA4E8C" w:rsidRDefault="00B46350" w:rsidP="00B46350">
            <w:pPr>
              <w:rPr>
                <w:rFonts w:cs="Times New Roman"/>
                <w:sz w:val="20"/>
                <w:szCs w:val="20"/>
              </w:rPr>
            </w:pPr>
            <w:r>
              <w:rPr>
                <w:rFonts w:cs="Times New Roman"/>
                <w:sz w:val="20"/>
                <w:szCs w:val="20"/>
              </w:rPr>
              <w:t>1.69</w:t>
            </w:r>
            <w:r w:rsidRPr="001A7645">
              <w:rPr>
                <w:rFonts w:cs="Times New Roman"/>
                <w:sz w:val="20"/>
                <w:szCs w:val="20"/>
                <w:vertAlign w:val="superscript"/>
              </w:rPr>
              <w:t>A</w:t>
            </w:r>
            <w:r>
              <w:rPr>
                <w:rFonts w:cs="Times New Roman"/>
                <w:sz w:val="20"/>
                <w:szCs w:val="20"/>
                <w:vertAlign w:val="superscript"/>
              </w:rPr>
              <w:t>B</w:t>
            </w:r>
            <w:r>
              <w:rPr>
                <w:rFonts w:cs="Times New Roman"/>
                <w:sz w:val="20"/>
                <w:szCs w:val="20"/>
              </w:rPr>
              <w:t xml:space="preserve"> </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(2.81)</w:t>
            </w:r>
          </w:p>
        </w:tc>
        <w:tc>
          <w:tcPr>
            <w:tcW w:w="884" w:type="dxa"/>
            <w:tcBorders>
              <w:top w:val="nil"/>
              <w:left w:val="nil"/>
              <w:bottom w:val="nil"/>
              <w:right w:val="nil"/>
            </w:tcBorders>
          </w:tcPr>
          <w:p w:rsidR="00B46350" w:rsidRPr="00CA4E8C" w:rsidRDefault="00B46350" w:rsidP="00B46350">
            <w:pPr>
              <w:rPr>
                <w:rFonts w:cs="Times New Roman"/>
                <w:sz w:val="20"/>
                <w:szCs w:val="20"/>
              </w:rPr>
            </w:pPr>
            <w:r>
              <w:rPr>
                <w:rFonts w:cs="Times New Roman"/>
                <w:sz w:val="20"/>
                <w:szCs w:val="20"/>
              </w:rPr>
              <w:t>-5.96</w:t>
            </w:r>
            <w:r w:rsidRPr="001A7645">
              <w:rPr>
                <w:rFonts w:cs="Times New Roman"/>
                <w:sz w:val="20"/>
                <w:szCs w:val="20"/>
                <w:vertAlign w:val="superscript"/>
              </w:rPr>
              <w:t>A</w:t>
            </w:r>
            <w:r>
              <w:rPr>
                <w:rFonts w:cs="Times New Roman"/>
                <w:sz w:val="20"/>
                <w:szCs w:val="20"/>
              </w:rPr>
              <w:t xml:space="preserve"> </w:t>
            </w:r>
          </w:p>
        </w:tc>
        <w:tc>
          <w:tcPr>
            <w:tcW w:w="851"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(2.44)</w:t>
            </w:r>
          </w:p>
        </w:tc>
        <w:tc>
          <w:tcPr>
            <w:tcW w:w="958" w:type="dxa"/>
            <w:tcBorders>
              <w:top w:val="nil"/>
              <w:left w:val="nil"/>
              <w:bottom w:val="nil"/>
              <w:right w:val="nil"/>
            </w:tcBorders>
          </w:tcPr>
          <w:p w:rsidR="00B46350" w:rsidRPr="00CA4E8C" w:rsidRDefault="00B46350" w:rsidP="00B46350">
            <w:pPr>
              <w:rPr>
                <w:rFonts w:cs="Times New Roman"/>
                <w:sz w:val="20"/>
                <w:szCs w:val="20"/>
              </w:rPr>
            </w:pPr>
            <w:r>
              <w:rPr>
                <w:rFonts w:cs="Times New Roman"/>
                <w:sz w:val="20"/>
                <w:szCs w:val="20"/>
              </w:rPr>
              <w:t>-0.30</w:t>
            </w:r>
            <w:r w:rsidRPr="001A7645">
              <w:rPr>
                <w:rFonts w:cs="Times New Roman"/>
                <w:sz w:val="20"/>
                <w:szCs w:val="20"/>
                <w:vertAlign w:val="superscript"/>
              </w:rPr>
              <w:t>A</w:t>
            </w:r>
            <w:r>
              <w:rPr>
                <w:rFonts w:cs="Times New Roman"/>
                <w:sz w:val="20"/>
                <w:szCs w:val="20"/>
                <w:vertAlign w:val="superscript"/>
              </w:rPr>
              <w:t>B</w:t>
            </w:r>
            <w:r>
              <w:rPr>
                <w:rFonts w:cs="Times New Roman"/>
                <w:sz w:val="20"/>
                <w:szCs w:val="20"/>
              </w:rPr>
              <w:t xml:space="preserve"> </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(2.92)</w:t>
            </w:r>
          </w:p>
        </w:tc>
        <w:tc>
          <w:tcPr>
            <w:tcW w:w="992" w:type="dxa"/>
            <w:tcBorders>
              <w:top w:val="nil"/>
              <w:left w:val="nil"/>
              <w:bottom w:val="nil"/>
              <w:right w:val="nil"/>
            </w:tcBorders>
          </w:tcPr>
          <w:p w:rsidR="00B46350" w:rsidRPr="00CA4E8C" w:rsidRDefault="00B46350" w:rsidP="00B46350">
            <w:pPr>
              <w:rPr>
                <w:rFonts w:cs="Times New Roman"/>
                <w:sz w:val="20"/>
                <w:szCs w:val="20"/>
              </w:rPr>
            </w:pPr>
            <w:r>
              <w:rPr>
                <w:rFonts w:cs="Times New Roman"/>
                <w:sz w:val="20"/>
                <w:szCs w:val="20"/>
              </w:rPr>
              <w:t>-1.18</w:t>
            </w:r>
            <w:r w:rsidRPr="001A7645">
              <w:rPr>
                <w:rFonts w:cs="Times New Roman"/>
                <w:sz w:val="20"/>
                <w:szCs w:val="20"/>
                <w:vertAlign w:val="superscript"/>
              </w:rPr>
              <w:t>A</w:t>
            </w:r>
            <w:r>
              <w:rPr>
                <w:rFonts w:cs="Times New Roman"/>
                <w:sz w:val="20"/>
                <w:szCs w:val="20"/>
                <w:vertAlign w:val="superscript"/>
              </w:rPr>
              <w:t>B</w:t>
            </w:r>
            <w:r>
              <w:rPr>
                <w:rFonts w:cs="Times New Roman"/>
                <w:sz w:val="20"/>
                <w:szCs w:val="20"/>
              </w:rPr>
              <w:t xml:space="preserve"> </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(2.63)</w:t>
            </w:r>
          </w:p>
        </w:tc>
        <w:tc>
          <w:tcPr>
            <w:tcW w:w="992" w:type="dxa"/>
            <w:tcBorders>
              <w:top w:val="nil"/>
              <w:left w:val="nil"/>
              <w:bottom w:val="nil"/>
              <w:right w:val="nil"/>
            </w:tcBorders>
          </w:tcPr>
          <w:p w:rsidR="00B46350" w:rsidRPr="00CA4E8C" w:rsidRDefault="00B46350" w:rsidP="00B46350">
            <w:pPr>
              <w:rPr>
                <w:rFonts w:cs="Times New Roman"/>
                <w:sz w:val="20"/>
                <w:szCs w:val="20"/>
              </w:rPr>
            </w:pPr>
            <w:r>
              <w:rPr>
                <w:rFonts w:cs="Times New Roman"/>
                <w:sz w:val="20"/>
                <w:szCs w:val="20"/>
              </w:rPr>
              <w:t>5.75</w:t>
            </w:r>
            <w:r>
              <w:rPr>
                <w:rFonts w:cs="Times New Roman"/>
                <w:sz w:val="20"/>
                <w:szCs w:val="20"/>
                <w:vertAlign w:val="superscript"/>
              </w:rPr>
              <w:t>B</w:t>
            </w:r>
            <w:r>
              <w:rPr>
                <w:rFonts w:cs="Times New Roman"/>
                <w:sz w:val="20"/>
                <w:szCs w:val="20"/>
              </w:rPr>
              <w:t xml:space="preserve"> </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(2.77)</w:t>
            </w:r>
          </w:p>
        </w:tc>
      </w:tr>
      <w:tr w:rsidR="00B46350" w:rsidRPr="00CA4E8C" w:rsidTr="003D1BB6">
        <w:trPr>
          <w:trHeight w:val="340"/>
        </w:trPr>
        <w:tc>
          <w:tcPr>
            <w:tcW w:w="1380" w:type="dxa"/>
            <w:vMerge/>
            <w:tcBorders>
              <w:top w:val="nil"/>
              <w:left w:val="nil"/>
              <w:bottom w:val="nil"/>
              <w:right w:val="nil"/>
            </w:tcBorders>
          </w:tcPr>
          <w:p w:rsidR="00B46350" w:rsidRPr="00CA4E8C" w:rsidRDefault="00B46350" w:rsidP="00B46350">
            <w:pPr>
              <w:jc w:val="center"/>
              <w:rPr>
                <w:rFonts w:cs="Times New Roman"/>
                <w:sz w:val="20"/>
                <w:szCs w:val="20"/>
              </w:rPr>
            </w:pPr>
          </w:p>
        </w:tc>
        <w:tc>
          <w:tcPr>
            <w:tcW w:w="1134"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4</w:t>
            </w:r>
          </w:p>
        </w:tc>
        <w:tc>
          <w:tcPr>
            <w:tcW w:w="709" w:type="dxa"/>
            <w:tcBorders>
              <w:top w:val="nil"/>
              <w:left w:val="nil"/>
              <w:bottom w:val="nil"/>
              <w:right w:val="nil"/>
            </w:tcBorders>
          </w:tcPr>
          <w:p w:rsidR="00B46350" w:rsidRPr="00CA4E8C" w:rsidRDefault="00B46350" w:rsidP="00B46350">
            <w:pPr>
              <w:rPr>
                <w:rFonts w:cs="Times New Roman"/>
                <w:sz w:val="20"/>
                <w:szCs w:val="20"/>
              </w:rPr>
            </w:pPr>
            <w:r>
              <w:rPr>
                <w:rFonts w:cs="Times New Roman"/>
                <w:sz w:val="20"/>
                <w:szCs w:val="20"/>
              </w:rPr>
              <w:t>4.52</w:t>
            </w:r>
          </w:p>
        </w:tc>
        <w:tc>
          <w:tcPr>
            <w:tcW w:w="855" w:type="dxa"/>
            <w:tcBorders>
              <w:top w:val="nil"/>
              <w:left w:val="nil"/>
              <w:bottom w:val="nil"/>
              <w:right w:val="nil"/>
            </w:tcBorders>
          </w:tcPr>
          <w:p w:rsidR="00B46350" w:rsidRPr="00CA4E8C" w:rsidRDefault="00B46350" w:rsidP="00B46350">
            <w:pPr>
              <w:jc w:val="right"/>
              <w:rPr>
                <w:rFonts w:cs="Times New Roman"/>
                <w:sz w:val="20"/>
                <w:szCs w:val="20"/>
              </w:rPr>
            </w:pPr>
            <w:r>
              <w:rPr>
                <w:rFonts w:cs="Times New Roman"/>
                <w:sz w:val="20"/>
                <w:szCs w:val="20"/>
              </w:rPr>
              <w:t>0.002</w:t>
            </w:r>
          </w:p>
        </w:tc>
        <w:tc>
          <w:tcPr>
            <w:tcW w:w="992" w:type="dxa"/>
            <w:tcBorders>
              <w:top w:val="nil"/>
              <w:left w:val="nil"/>
              <w:bottom w:val="nil"/>
              <w:right w:val="nil"/>
            </w:tcBorders>
          </w:tcPr>
          <w:p w:rsidR="00B46350" w:rsidRPr="00CA4E8C" w:rsidRDefault="00B46350" w:rsidP="00B46350">
            <w:pPr>
              <w:rPr>
                <w:rFonts w:cs="Times New Roman"/>
                <w:sz w:val="20"/>
                <w:szCs w:val="20"/>
              </w:rPr>
            </w:pPr>
            <w:r>
              <w:rPr>
                <w:rFonts w:cs="Times New Roman"/>
                <w:sz w:val="20"/>
                <w:szCs w:val="20"/>
              </w:rPr>
              <w:t>5.90</w:t>
            </w:r>
            <w:r>
              <w:rPr>
                <w:rFonts w:cs="Times New Roman"/>
                <w:sz w:val="20"/>
                <w:szCs w:val="20"/>
                <w:vertAlign w:val="superscript"/>
              </w:rPr>
              <w:t>B</w:t>
            </w:r>
            <w:r>
              <w:rPr>
                <w:rFonts w:cs="Times New Roman"/>
                <w:sz w:val="20"/>
                <w:szCs w:val="20"/>
              </w:rPr>
              <w:t xml:space="preserve"> </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(1.96)</w:t>
            </w:r>
          </w:p>
        </w:tc>
        <w:tc>
          <w:tcPr>
            <w:tcW w:w="884" w:type="dxa"/>
            <w:tcBorders>
              <w:top w:val="nil"/>
              <w:left w:val="nil"/>
              <w:bottom w:val="nil"/>
              <w:right w:val="nil"/>
            </w:tcBorders>
          </w:tcPr>
          <w:p w:rsidR="00B46350" w:rsidRPr="00CA4E8C" w:rsidRDefault="00B46350" w:rsidP="00B46350">
            <w:pPr>
              <w:rPr>
                <w:rFonts w:cs="Times New Roman"/>
                <w:sz w:val="20"/>
                <w:szCs w:val="20"/>
              </w:rPr>
            </w:pPr>
            <w:r>
              <w:rPr>
                <w:rFonts w:cs="Times New Roman"/>
                <w:sz w:val="20"/>
                <w:szCs w:val="20"/>
              </w:rPr>
              <w:t>1.98</w:t>
            </w:r>
            <w:r w:rsidRPr="001A7645">
              <w:rPr>
                <w:rFonts w:cs="Times New Roman"/>
                <w:sz w:val="20"/>
                <w:szCs w:val="20"/>
                <w:vertAlign w:val="superscript"/>
              </w:rPr>
              <w:t>A</w:t>
            </w:r>
            <w:r>
              <w:rPr>
                <w:rFonts w:cs="Times New Roman"/>
                <w:sz w:val="20"/>
                <w:szCs w:val="20"/>
                <w:vertAlign w:val="superscript"/>
              </w:rPr>
              <w:t>B</w:t>
            </w:r>
            <w:r>
              <w:rPr>
                <w:rFonts w:cs="Times New Roman"/>
                <w:sz w:val="20"/>
                <w:szCs w:val="20"/>
              </w:rPr>
              <w:t xml:space="preserve"> </w:t>
            </w:r>
          </w:p>
        </w:tc>
        <w:tc>
          <w:tcPr>
            <w:tcW w:w="851"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(1.84)</w:t>
            </w:r>
          </w:p>
        </w:tc>
        <w:tc>
          <w:tcPr>
            <w:tcW w:w="958" w:type="dxa"/>
            <w:tcBorders>
              <w:top w:val="nil"/>
              <w:left w:val="nil"/>
              <w:bottom w:val="nil"/>
              <w:right w:val="nil"/>
            </w:tcBorders>
          </w:tcPr>
          <w:p w:rsidR="00B46350" w:rsidRPr="00CA4E8C" w:rsidRDefault="00B46350" w:rsidP="00B46350">
            <w:pPr>
              <w:rPr>
                <w:rFonts w:cs="Times New Roman"/>
                <w:sz w:val="20"/>
                <w:szCs w:val="20"/>
              </w:rPr>
            </w:pPr>
            <w:r>
              <w:rPr>
                <w:rFonts w:cs="Times New Roman"/>
                <w:sz w:val="20"/>
                <w:szCs w:val="20"/>
              </w:rPr>
              <w:t>-1.55</w:t>
            </w:r>
            <w:r w:rsidRPr="001A7645">
              <w:rPr>
                <w:rFonts w:cs="Times New Roman"/>
                <w:sz w:val="20"/>
                <w:szCs w:val="20"/>
                <w:vertAlign w:val="superscript"/>
              </w:rPr>
              <w:t>A</w:t>
            </w:r>
            <w:r>
              <w:rPr>
                <w:rFonts w:cs="Times New Roman"/>
                <w:sz w:val="20"/>
                <w:szCs w:val="20"/>
                <w:vertAlign w:val="superscript"/>
              </w:rPr>
              <w:t>B</w:t>
            </w:r>
            <w:r>
              <w:rPr>
                <w:rFonts w:cs="Times New Roman"/>
                <w:sz w:val="20"/>
                <w:szCs w:val="20"/>
              </w:rPr>
              <w:t xml:space="preserve"> </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(1.74)</w:t>
            </w:r>
          </w:p>
        </w:tc>
        <w:tc>
          <w:tcPr>
            <w:tcW w:w="992" w:type="dxa"/>
            <w:tcBorders>
              <w:top w:val="nil"/>
              <w:left w:val="nil"/>
              <w:bottom w:val="nil"/>
              <w:right w:val="nil"/>
            </w:tcBorders>
          </w:tcPr>
          <w:p w:rsidR="00B46350" w:rsidRPr="00CA4E8C" w:rsidRDefault="00B46350" w:rsidP="00B46350">
            <w:pPr>
              <w:rPr>
                <w:rFonts w:cs="Times New Roman"/>
                <w:sz w:val="20"/>
                <w:szCs w:val="20"/>
              </w:rPr>
            </w:pPr>
            <w:r>
              <w:rPr>
                <w:rFonts w:cs="Times New Roman"/>
                <w:sz w:val="20"/>
                <w:szCs w:val="20"/>
              </w:rPr>
              <w:t>-1.65</w:t>
            </w:r>
            <w:r w:rsidRPr="001A7645">
              <w:rPr>
                <w:rFonts w:cs="Times New Roman"/>
                <w:sz w:val="20"/>
                <w:szCs w:val="20"/>
                <w:vertAlign w:val="superscript"/>
              </w:rPr>
              <w:t>A</w:t>
            </w:r>
            <w:r>
              <w:rPr>
                <w:rFonts w:cs="Times New Roman"/>
                <w:sz w:val="20"/>
                <w:szCs w:val="20"/>
              </w:rPr>
              <w:t xml:space="preserve"> </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(1.60)</w:t>
            </w:r>
          </w:p>
        </w:tc>
        <w:tc>
          <w:tcPr>
            <w:tcW w:w="992" w:type="dxa"/>
            <w:tcBorders>
              <w:top w:val="nil"/>
              <w:left w:val="nil"/>
              <w:bottom w:val="nil"/>
              <w:right w:val="nil"/>
            </w:tcBorders>
          </w:tcPr>
          <w:p w:rsidR="00B46350" w:rsidRPr="00CA4E8C" w:rsidRDefault="00B46350" w:rsidP="00B46350">
            <w:pPr>
              <w:rPr>
                <w:rFonts w:cs="Times New Roman"/>
                <w:sz w:val="20"/>
                <w:szCs w:val="20"/>
              </w:rPr>
            </w:pPr>
            <w:r>
              <w:rPr>
                <w:rFonts w:cs="Times New Roman"/>
                <w:sz w:val="20"/>
                <w:szCs w:val="20"/>
              </w:rPr>
              <w:t>-4.67</w:t>
            </w:r>
            <w:r w:rsidRPr="001A7645">
              <w:rPr>
                <w:rFonts w:cs="Times New Roman"/>
                <w:sz w:val="20"/>
                <w:szCs w:val="20"/>
                <w:vertAlign w:val="superscript"/>
              </w:rPr>
              <w:t>A</w:t>
            </w:r>
            <w:r>
              <w:rPr>
                <w:rFonts w:cs="Times New Roman"/>
                <w:sz w:val="20"/>
                <w:szCs w:val="20"/>
              </w:rPr>
              <w:t xml:space="preserve"> </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(2.71)</w:t>
            </w:r>
          </w:p>
        </w:tc>
      </w:tr>
      <w:tr w:rsidR="00B46350" w:rsidRPr="00CA4E8C" w:rsidTr="003D1BB6">
        <w:trPr>
          <w:trHeight w:val="340"/>
        </w:trPr>
        <w:tc>
          <w:tcPr>
            <w:tcW w:w="1380" w:type="dxa"/>
            <w:vMerge/>
            <w:tcBorders>
              <w:top w:val="nil"/>
              <w:left w:val="nil"/>
              <w:bottom w:val="single" w:sz="4" w:space="0" w:color="auto"/>
              <w:right w:val="nil"/>
            </w:tcBorders>
          </w:tcPr>
          <w:p w:rsidR="00B46350" w:rsidRPr="00CA4E8C" w:rsidRDefault="00B46350" w:rsidP="00B46350">
            <w:pPr>
              <w:jc w:val="center"/>
              <w:rPr>
                <w:rFonts w:cs="Times New Roman"/>
                <w:sz w:val="20"/>
                <w:szCs w:val="20"/>
              </w:rPr>
            </w:pPr>
          </w:p>
        </w:tc>
        <w:tc>
          <w:tcPr>
            <w:tcW w:w="1134" w:type="dxa"/>
            <w:tcBorders>
              <w:top w:val="nil"/>
              <w:left w:val="nil"/>
              <w:bottom w:val="single" w:sz="4" w:space="0" w:color="auto"/>
              <w:right w:val="nil"/>
            </w:tcBorders>
          </w:tcPr>
          <w:p w:rsidR="00B46350" w:rsidRDefault="00B46350" w:rsidP="00B46350">
            <w:pPr>
              <w:jc w:val="center"/>
              <w:rPr>
                <w:rFonts w:cs="Times New Roman"/>
                <w:sz w:val="20"/>
                <w:szCs w:val="20"/>
              </w:rPr>
            </w:pPr>
            <w:r>
              <w:rPr>
                <w:rFonts w:cs="Times New Roman"/>
                <w:sz w:val="20"/>
                <w:szCs w:val="20"/>
              </w:rPr>
              <w:t>5</w:t>
            </w:r>
          </w:p>
          <w:p w:rsidR="00B46350" w:rsidRPr="00CA4E8C" w:rsidRDefault="00B46350" w:rsidP="00B46350">
            <w:pPr>
              <w:jc w:val="center"/>
              <w:rPr>
                <w:rFonts w:cs="Times New Roman"/>
                <w:sz w:val="20"/>
                <w:szCs w:val="20"/>
              </w:rPr>
            </w:pPr>
          </w:p>
        </w:tc>
        <w:tc>
          <w:tcPr>
            <w:tcW w:w="709" w:type="dxa"/>
            <w:tcBorders>
              <w:top w:val="nil"/>
              <w:left w:val="nil"/>
              <w:bottom w:val="single" w:sz="4" w:space="0" w:color="auto"/>
              <w:right w:val="nil"/>
            </w:tcBorders>
          </w:tcPr>
          <w:p w:rsidR="00B46350" w:rsidRPr="00CA4E8C" w:rsidRDefault="00B46350" w:rsidP="00B46350">
            <w:pPr>
              <w:rPr>
                <w:rFonts w:cs="Times New Roman"/>
                <w:sz w:val="20"/>
                <w:szCs w:val="20"/>
              </w:rPr>
            </w:pPr>
            <w:r>
              <w:rPr>
                <w:rFonts w:cs="Times New Roman"/>
                <w:sz w:val="20"/>
                <w:szCs w:val="20"/>
              </w:rPr>
              <w:t>6.09</w:t>
            </w:r>
          </w:p>
        </w:tc>
        <w:tc>
          <w:tcPr>
            <w:tcW w:w="855" w:type="dxa"/>
            <w:tcBorders>
              <w:top w:val="nil"/>
              <w:left w:val="nil"/>
              <w:bottom w:val="single" w:sz="4" w:space="0" w:color="auto"/>
              <w:right w:val="nil"/>
            </w:tcBorders>
          </w:tcPr>
          <w:p w:rsidR="00B46350" w:rsidRPr="00CA4E8C" w:rsidRDefault="00B46350" w:rsidP="00B46350">
            <w:pPr>
              <w:jc w:val="right"/>
              <w:rPr>
                <w:rFonts w:cs="Times New Roman"/>
                <w:sz w:val="20"/>
                <w:szCs w:val="20"/>
              </w:rPr>
            </w:pPr>
            <w:r>
              <w:rPr>
                <w:rFonts w:cs="Times New Roman"/>
                <w:sz w:val="20"/>
                <w:szCs w:val="20"/>
              </w:rPr>
              <w:t>&lt;0.001</w:t>
            </w:r>
          </w:p>
        </w:tc>
        <w:tc>
          <w:tcPr>
            <w:tcW w:w="992" w:type="dxa"/>
            <w:tcBorders>
              <w:top w:val="nil"/>
              <w:left w:val="nil"/>
              <w:bottom w:val="single" w:sz="4" w:space="0" w:color="auto"/>
              <w:right w:val="nil"/>
            </w:tcBorders>
          </w:tcPr>
          <w:p w:rsidR="00B46350" w:rsidRPr="00CA4E8C" w:rsidRDefault="00B46350" w:rsidP="00B46350">
            <w:pPr>
              <w:rPr>
                <w:rFonts w:cs="Times New Roman"/>
                <w:sz w:val="20"/>
                <w:szCs w:val="20"/>
              </w:rPr>
            </w:pPr>
            <w:r>
              <w:rPr>
                <w:rFonts w:cs="Times New Roman"/>
                <w:sz w:val="20"/>
                <w:szCs w:val="20"/>
              </w:rPr>
              <w:t>-2.20</w:t>
            </w:r>
            <w:r>
              <w:rPr>
                <w:rFonts w:cs="Times New Roman"/>
                <w:sz w:val="20"/>
                <w:szCs w:val="20"/>
                <w:vertAlign w:val="superscript"/>
              </w:rPr>
              <w:t>A</w:t>
            </w:r>
            <w:r>
              <w:rPr>
                <w:rFonts w:cs="Times New Roman"/>
                <w:sz w:val="20"/>
                <w:szCs w:val="20"/>
              </w:rPr>
              <w:t xml:space="preserve"> </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(1.61)</w:t>
            </w:r>
          </w:p>
        </w:tc>
        <w:tc>
          <w:tcPr>
            <w:tcW w:w="884" w:type="dxa"/>
            <w:tcBorders>
              <w:top w:val="nil"/>
              <w:left w:val="nil"/>
              <w:bottom w:val="single" w:sz="4" w:space="0" w:color="auto"/>
              <w:right w:val="nil"/>
            </w:tcBorders>
          </w:tcPr>
          <w:p w:rsidR="00B46350" w:rsidRPr="00CA4E8C" w:rsidRDefault="00B46350" w:rsidP="00B46350">
            <w:pPr>
              <w:rPr>
                <w:rFonts w:cs="Times New Roman"/>
                <w:sz w:val="20"/>
                <w:szCs w:val="20"/>
              </w:rPr>
            </w:pPr>
            <w:r>
              <w:rPr>
                <w:rFonts w:cs="Times New Roman"/>
                <w:sz w:val="20"/>
                <w:szCs w:val="20"/>
              </w:rPr>
              <w:t>5.14</w:t>
            </w:r>
            <w:r>
              <w:rPr>
                <w:rFonts w:cs="Times New Roman"/>
                <w:sz w:val="20"/>
                <w:szCs w:val="20"/>
                <w:vertAlign w:val="superscript"/>
              </w:rPr>
              <w:t>B</w:t>
            </w:r>
            <w:r>
              <w:rPr>
                <w:rFonts w:cs="Times New Roman"/>
                <w:sz w:val="20"/>
                <w:szCs w:val="20"/>
              </w:rPr>
              <w:t xml:space="preserve"> </w:t>
            </w:r>
          </w:p>
        </w:tc>
        <w:tc>
          <w:tcPr>
            <w:tcW w:w="851"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(1.14)</w:t>
            </w:r>
          </w:p>
        </w:tc>
        <w:tc>
          <w:tcPr>
            <w:tcW w:w="958" w:type="dxa"/>
            <w:tcBorders>
              <w:top w:val="nil"/>
              <w:left w:val="nil"/>
              <w:bottom w:val="single" w:sz="4" w:space="0" w:color="auto"/>
              <w:right w:val="nil"/>
            </w:tcBorders>
          </w:tcPr>
          <w:p w:rsidR="00B46350" w:rsidRPr="00CA4E8C" w:rsidRDefault="00B46350" w:rsidP="00B46350">
            <w:pPr>
              <w:rPr>
                <w:rFonts w:cs="Times New Roman"/>
                <w:sz w:val="20"/>
                <w:szCs w:val="20"/>
              </w:rPr>
            </w:pPr>
            <w:r>
              <w:rPr>
                <w:rFonts w:cs="Times New Roman"/>
                <w:sz w:val="20"/>
                <w:szCs w:val="20"/>
              </w:rPr>
              <w:t>-2.33</w:t>
            </w:r>
            <w:r>
              <w:rPr>
                <w:rFonts w:cs="Times New Roman"/>
                <w:sz w:val="20"/>
                <w:szCs w:val="20"/>
                <w:vertAlign w:val="superscript"/>
              </w:rPr>
              <w:t>A</w:t>
            </w:r>
            <w:r>
              <w:rPr>
                <w:rFonts w:cs="Times New Roman"/>
                <w:sz w:val="20"/>
                <w:szCs w:val="20"/>
              </w:rPr>
              <w:t xml:space="preserve"> </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(1.13)</w:t>
            </w:r>
          </w:p>
        </w:tc>
        <w:tc>
          <w:tcPr>
            <w:tcW w:w="992" w:type="dxa"/>
            <w:tcBorders>
              <w:top w:val="nil"/>
              <w:left w:val="nil"/>
              <w:bottom w:val="single" w:sz="4" w:space="0" w:color="auto"/>
              <w:right w:val="nil"/>
            </w:tcBorders>
          </w:tcPr>
          <w:p w:rsidR="00B46350" w:rsidRPr="00CA4E8C" w:rsidRDefault="00B46350" w:rsidP="00B46350">
            <w:pPr>
              <w:rPr>
                <w:rFonts w:cs="Times New Roman"/>
                <w:sz w:val="20"/>
                <w:szCs w:val="20"/>
              </w:rPr>
            </w:pPr>
            <w:r>
              <w:rPr>
                <w:rFonts w:cs="Times New Roman"/>
                <w:sz w:val="20"/>
                <w:szCs w:val="20"/>
              </w:rPr>
              <w:t>1.15</w:t>
            </w:r>
            <w:r>
              <w:rPr>
                <w:rFonts w:cs="Times New Roman"/>
                <w:sz w:val="20"/>
                <w:szCs w:val="20"/>
                <w:vertAlign w:val="superscript"/>
              </w:rPr>
              <w:t>AB</w:t>
            </w:r>
            <w:r>
              <w:rPr>
                <w:rFonts w:cs="Times New Roman"/>
                <w:sz w:val="20"/>
                <w:szCs w:val="20"/>
              </w:rPr>
              <w:t xml:space="preserve"> </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(1.37)</w:t>
            </w:r>
          </w:p>
        </w:tc>
        <w:tc>
          <w:tcPr>
            <w:tcW w:w="992" w:type="dxa"/>
            <w:tcBorders>
              <w:top w:val="nil"/>
              <w:left w:val="nil"/>
              <w:bottom w:val="single" w:sz="4" w:space="0" w:color="auto"/>
              <w:right w:val="nil"/>
            </w:tcBorders>
          </w:tcPr>
          <w:p w:rsidR="00B46350" w:rsidRPr="00CA4E8C" w:rsidRDefault="00B46350" w:rsidP="00B46350">
            <w:pPr>
              <w:rPr>
                <w:rFonts w:cs="Times New Roman"/>
                <w:sz w:val="20"/>
                <w:szCs w:val="20"/>
              </w:rPr>
            </w:pPr>
            <w:r>
              <w:rPr>
                <w:rFonts w:cs="Times New Roman"/>
                <w:sz w:val="20"/>
                <w:szCs w:val="20"/>
              </w:rPr>
              <w:t>-1.76</w:t>
            </w:r>
            <w:r>
              <w:rPr>
                <w:rFonts w:cs="Times New Roman"/>
                <w:sz w:val="20"/>
                <w:szCs w:val="20"/>
                <w:vertAlign w:val="superscript"/>
              </w:rPr>
              <w:t>A</w:t>
            </w:r>
            <w:r>
              <w:rPr>
                <w:rFonts w:cs="Times New Roman"/>
                <w:sz w:val="20"/>
                <w:szCs w:val="20"/>
              </w:rPr>
              <w:t xml:space="preserve"> </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(1.30)</w:t>
            </w:r>
          </w:p>
        </w:tc>
      </w:tr>
      <w:tr w:rsidR="00B46350" w:rsidRPr="00CA4E8C" w:rsidTr="003D1BB6">
        <w:trPr>
          <w:trHeight w:val="340"/>
        </w:trPr>
        <w:tc>
          <w:tcPr>
            <w:tcW w:w="1380" w:type="dxa"/>
            <w:vMerge w:val="restart"/>
            <w:tcBorders>
              <w:top w:val="single" w:sz="4" w:space="0" w:color="auto"/>
              <w:left w:val="nil"/>
              <w:bottom w:val="nil"/>
              <w:right w:val="nil"/>
            </w:tcBorders>
          </w:tcPr>
          <w:p w:rsidR="00B46350" w:rsidRPr="00CA3CAC" w:rsidRDefault="00B46350" w:rsidP="00B46350">
            <w:pPr>
              <w:jc w:val="center"/>
              <w:rPr>
                <w:rFonts w:cs="Times New Roman"/>
                <w:sz w:val="20"/>
                <w:szCs w:val="20"/>
              </w:rPr>
            </w:pPr>
            <w:r>
              <w:rPr>
                <w:rFonts w:cs="Times New Roman"/>
                <w:sz w:val="20"/>
                <w:szCs w:val="20"/>
              </w:rPr>
              <w:t xml:space="preserve">TRF </w:t>
            </w:r>
            <w:r w:rsidRPr="00CA3CAC">
              <w:rPr>
                <w:rFonts w:cs="Times New Roman"/>
                <w:sz w:val="20"/>
                <w:szCs w:val="20"/>
              </w:rPr>
              <w:t>Presence absence</w:t>
            </w:r>
          </w:p>
        </w:tc>
        <w:tc>
          <w:tcPr>
            <w:tcW w:w="1134" w:type="dxa"/>
            <w:tcBorders>
              <w:top w:val="single" w:sz="4" w:space="0" w:color="auto"/>
              <w:left w:val="nil"/>
              <w:bottom w:val="nil"/>
              <w:right w:val="nil"/>
            </w:tcBorders>
          </w:tcPr>
          <w:p w:rsidR="00B46350" w:rsidRDefault="00B46350" w:rsidP="00B46350">
            <w:pPr>
              <w:jc w:val="center"/>
              <w:rPr>
                <w:rFonts w:cs="Times New Roman"/>
                <w:sz w:val="20"/>
                <w:szCs w:val="20"/>
              </w:rPr>
            </w:pPr>
            <w:r>
              <w:rPr>
                <w:rFonts w:cs="Times New Roman"/>
                <w:sz w:val="20"/>
                <w:szCs w:val="20"/>
              </w:rPr>
              <w:t>2</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2.38</w:t>
            </w:r>
          </w:p>
        </w:tc>
        <w:tc>
          <w:tcPr>
            <w:tcW w:w="855" w:type="dxa"/>
            <w:tcBorders>
              <w:top w:val="single" w:sz="4" w:space="0" w:color="auto"/>
              <w:left w:val="nil"/>
              <w:bottom w:val="nil"/>
              <w:right w:val="nil"/>
            </w:tcBorders>
          </w:tcPr>
          <w:p w:rsidR="00B46350" w:rsidRDefault="00B46350" w:rsidP="00B46350">
            <w:pPr>
              <w:jc w:val="right"/>
              <w:rPr>
                <w:rFonts w:cs="Times New Roman"/>
                <w:sz w:val="20"/>
                <w:szCs w:val="20"/>
              </w:rPr>
            </w:pPr>
            <w:r>
              <w:rPr>
                <w:rFonts w:cs="Times New Roman"/>
                <w:sz w:val="20"/>
                <w:szCs w:val="20"/>
              </w:rPr>
              <w:t>0.050</w:t>
            </w:r>
            <w:r w:rsidR="00A67251">
              <w:rPr>
                <w:rFonts w:cs="Times New Roman"/>
                <w:sz w:val="20"/>
                <w:szCs w:val="20"/>
              </w:rPr>
              <w:t>*</w:t>
            </w:r>
          </w:p>
        </w:tc>
        <w:tc>
          <w:tcPr>
            <w:tcW w:w="992"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0.07</w:t>
            </w:r>
            <w:r>
              <w:rPr>
                <w:rFonts w:cs="Times New Roman"/>
                <w:sz w:val="20"/>
                <w:szCs w:val="20"/>
                <w:vertAlign w:val="superscript"/>
              </w:rPr>
              <w:t>A</w:t>
            </w:r>
            <w:r>
              <w:rPr>
                <w:rFonts w:cs="Times New Roman"/>
                <w:sz w:val="20"/>
                <w:szCs w:val="20"/>
              </w:rPr>
              <w:t xml:space="preserve"> </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(0.01)</w:t>
            </w:r>
          </w:p>
        </w:tc>
        <w:tc>
          <w:tcPr>
            <w:tcW w:w="884"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0.05</w:t>
            </w:r>
            <w:r>
              <w:rPr>
                <w:rFonts w:cs="Times New Roman"/>
                <w:sz w:val="20"/>
                <w:szCs w:val="20"/>
                <w:vertAlign w:val="superscript"/>
              </w:rPr>
              <w:t>A</w:t>
            </w:r>
            <w:r>
              <w:rPr>
                <w:rFonts w:cs="Times New Roman"/>
                <w:sz w:val="20"/>
                <w:szCs w:val="20"/>
              </w:rPr>
              <w:t xml:space="preserve"> </w:t>
            </w:r>
          </w:p>
        </w:tc>
        <w:tc>
          <w:tcPr>
            <w:tcW w:w="851"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(0.01)</w:t>
            </w:r>
          </w:p>
        </w:tc>
        <w:tc>
          <w:tcPr>
            <w:tcW w:w="958"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-0.14</w:t>
            </w:r>
            <w:r>
              <w:rPr>
                <w:rFonts w:cs="Times New Roman"/>
                <w:sz w:val="20"/>
                <w:szCs w:val="20"/>
                <w:vertAlign w:val="superscript"/>
              </w:rPr>
              <w:t>A</w:t>
            </w:r>
            <w:r>
              <w:rPr>
                <w:rFonts w:cs="Times New Roman"/>
                <w:sz w:val="20"/>
                <w:szCs w:val="20"/>
              </w:rPr>
              <w:t xml:space="preserve"> </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(0.09)</w:t>
            </w:r>
          </w:p>
        </w:tc>
        <w:tc>
          <w:tcPr>
            <w:tcW w:w="992"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-0.01</w:t>
            </w:r>
            <w:r>
              <w:rPr>
                <w:rFonts w:cs="Times New Roman"/>
                <w:sz w:val="20"/>
                <w:szCs w:val="20"/>
                <w:vertAlign w:val="superscript"/>
              </w:rPr>
              <w:t>A</w:t>
            </w:r>
            <w:r>
              <w:rPr>
                <w:rFonts w:cs="Times New Roman"/>
                <w:sz w:val="20"/>
                <w:szCs w:val="20"/>
              </w:rPr>
              <w:t xml:space="preserve"> </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(0.07)</w:t>
            </w:r>
          </w:p>
        </w:tc>
        <w:tc>
          <w:tcPr>
            <w:tcW w:w="992"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0.02</w:t>
            </w:r>
            <w:r>
              <w:rPr>
                <w:rFonts w:cs="Times New Roman"/>
                <w:sz w:val="20"/>
                <w:szCs w:val="20"/>
                <w:vertAlign w:val="superscript"/>
              </w:rPr>
              <w:t>A</w:t>
            </w:r>
            <w:r>
              <w:rPr>
                <w:rFonts w:cs="Times New Roman"/>
                <w:sz w:val="20"/>
                <w:szCs w:val="20"/>
              </w:rPr>
              <w:t xml:space="preserve"> </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(0.03)</w:t>
            </w:r>
          </w:p>
        </w:tc>
      </w:tr>
      <w:tr w:rsidR="00B46350" w:rsidRPr="00CA4E8C" w:rsidTr="003D1BB6">
        <w:trPr>
          <w:trHeight w:val="340"/>
        </w:trPr>
        <w:tc>
          <w:tcPr>
            <w:tcW w:w="1380" w:type="dxa"/>
            <w:vMerge/>
            <w:tcBorders>
              <w:top w:val="nil"/>
              <w:left w:val="nil"/>
              <w:bottom w:val="single" w:sz="4" w:space="0" w:color="auto"/>
              <w:right w:val="nil"/>
            </w:tcBorders>
          </w:tcPr>
          <w:p w:rsidR="00B46350" w:rsidRPr="00CA3CAC" w:rsidRDefault="00B46350" w:rsidP="00B46350">
            <w:pPr>
              <w:jc w:val="center"/>
              <w:rPr>
                <w:rFonts w:cs="Times New Roman"/>
                <w:sz w:val="20"/>
                <w:szCs w:val="20"/>
              </w:rPr>
            </w:pPr>
          </w:p>
        </w:tc>
        <w:tc>
          <w:tcPr>
            <w:tcW w:w="1134" w:type="dxa"/>
            <w:tcBorders>
              <w:top w:val="nil"/>
              <w:left w:val="nil"/>
              <w:bottom w:val="single" w:sz="4" w:space="0" w:color="auto"/>
              <w:right w:val="nil"/>
            </w:tcBorders>
          </w:tcPr>
          <w:p w:rsidR="00B46350" w:rsidRDefault="00B46350" w:rsidP="00B46350">
            <w:pPr>
              <w:jc w:val="center"/>
              <w:rPr>
                <w:rFonts w:cs="Times New Roman"/>
                <w:sz w:val="20"/>
                <w:szCs w:val="20"/>
              </w:rPr>
            </w:pPr>
            <w:r>
              <w:rPr>
                <w:rFonts w:cs="Times New Roman"/>
                <w:sz w:val="20"/>
                <w:szCs w:val="20"/>
              </w:rPr>
              <w:t>4</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4.35</w:t>
            </w:r>
          </w:p>
        </w:tc>
        <w:tc>
          <w:tcPr>
            <w:tcW w:w="855" w:type="dxa"/>
            <w:tcBorders>
              <w:top w:val="nil"/>
              <w:left w:val="nil"/>
              <w:bottom w:val="single" w:sz="4" w:space="0" w:color="auto"/>
              <w:right w:val="nil"/>
            </w:tcBorders>
          </w:tcPr>
          <w:p w:rsidR="00B46350" w:rsidRDefault="00B46350" w:rsidP="00B46350">
            <w:pPr>
              <w:jc w:val="right"/>
              <w:rPr>
                <w:rFonts w:cs="Times New Roman"/>
                <w:sz w:val="20"/>
                <w:szCs w:val="20"/>
              </w:rPr>
            </w:pPr>
            <w:r>
              <w:rPr>
                <w:rFonts w:cs="Times New Roman"/>
                <w:sz w:val="20"/>
                <w:szCs w:val="20"/>
              </w:rPr>
              <w:t>0.003</w:t>
            </w:r>
          </w:p>
        </w:tc>
        <w:tc>
          <w:tcPr>
            <w:tcW w:w="992"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0.133</w:t>
            </w:r>
            <w:r>
              <w:rPr>
                <w:rFonts w:cs="Times New Roman"/>
                <w:sz w:val="20"/>
                <w:szCs w:val="20"/>
                <w:vertAlign w:val="superscript"/>
              </w:rPr>
              <w:t>B</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(0.07)</w:t>
            </w:r>
          </w:p>
        </w:tc>
        <w:tc>
          <w:tcPr>
            <w:tcW w:w="884"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-0.04</w:t>
            </w:r>
            <w:r>
              <w:rPr>
                <w:rFonts w:cs="Times New Roman"/>
                <w:sz w:val="20"/>
                <w:szCs w:val="20"/>
                <w:vertAlign w:val="superscript"/>
              </w:rPr>
              <w:t>A</w:t>
            </w:r>
            <w:r>
              <w:rPr>
                <w:rFonts w:cs="Times New Roman"/>
                <w:sz w:val="20"/>
                <w:szCs w:val="20"/>
              </w:rPr>
              <w:t xml:space="preserve"> </w:t>
            </w:r>
          </w:p>
        </w:tc>
        <w:tc>
          <w:tcPr>
            <w:tcW w:w="851"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(0.00)</w:t>
            </w:r>
          </w:p>
        </w:tc>
        <w:tc>
          <w:tcPr>
            <w:tcW w:w="958"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-0.01</w:t>
            </w:r>
            <w:r>
              <w:rPr>
                <w:rFonts w:cs="Times New Roman"/>
                <w:sz w:val="20"/>
                <w:szCs w:val="20"/>
                <w:vertAlign w:val="superscript"/>
              </w:rPr>
              <w:t>A</w:t>
            </w:r>
            <w:r>
              <w:rPr>
                <w:rFonts w:cs="Times New Roman"/>
                <w:sz w:val="20"/>
                <w:szCs w:val="20"/>
              </w:rPr>
              <w:t xml:space="preserve"> </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(0.03)</w:t>
            </w:r>
          </w:p>
        </w:tc>
        <w:tc>
          <w:tcPr>
            <w:tcW w:w="992"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-0.02</w:t>
            </w:r>
            <w:r>
              <w:rPr>
                <w:rFonts w:cs="Times New Roman"/>
                <w:sz w:val="20"/>
                <w:szCs w:val="20"/>
                <w:vertAlign w:val="superscript"/>
              </w:rPr>
              <w:t>A</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(0.00)</w:t>
            </w:r>
          </w:p>
        </w:tc>
        <w:tc>
          <w:tcPr>
            <w:tcW w:w="992"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-0.03</w:t>
            </w:r>
            <w:r>
              <w:rPr>
                <w:rFonts w:cs="Times New Roman"/>
                <w:sz w:val="20"/>
                <w:szCs w:val="20"/>
                <w:vertAlign w:val="superscript"/>
              </w:rPr>
              <w:t>A</w:t>
            </w:r>
            <w:r>
              <w:rPr>
                <w:rFonts w:cs="Times New Roman"/>
                <w:sz w:val="20"/>
                <w:szCs w:val="20"/>
              </w:rPr>
              <w:t xml:space="preserve"> </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(0.01)</w:t>
            </w:r>
          </w:p>
        </w:tc>
      </w:tr>
    </w:tbl>
    <w:p w:rsidR="00B46350" w:rsidRPr="00C31B1F" w:rsidRDefault="00B46350" w:rsidP="00B46350">
      <w:pPr>
        <w:sectPr w:rsidR="00B46350" w:rsidRPr="00C31B1F" w:rsidSect="00B46350">
          <w:pgSz w:w="16838" w:h="11906" w:orient="landscape" w:code="9"/>
          <w:pgMar w:top="2268" w:right="1134" w:bottom="1134" w:left="1134" w:header="709" w:footer="709" w:gutter="0"/>
          <w:cols w:space="708"/>
          <w:docGrid w:linePitch="360"/>
        </w:sectPr>
      </w:pPr>
    </w:p>
    <w:p w:rsidR="00B46350" w:rsidRPr="00A67251" w:rsidRDefault="00E0714D" w:rsidP="00A67251">
      <w:pPr>
        <w:jc w:val="center"/>
      </w:pPr>
      <w:r>
        <w:rPr>
          <w:noProof/>
          <w:lang w:eastAsia="en-GB"/>
        </w:rPr>
        <w:lastRenderedPageBreak/>
        <w:drawing>
          <wp:inline distT="0" distB="0" distL="0" distR="0">
            <wp:extent cx="5400040" cy="751078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Thesis corrections Fig 3.13.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00040" cy="7510780"/>
                    </a:xfrm>
                    <a:prstGeom prst="rect">
                      <a:avLst/>
                    </a:prstGeom>
                  </pic:spPr>
                </pic:pic>
              </a:graphicData>
            </a:graphic>
          </wp:inline>
        </w:drawing>
      </w:r>
    </w:p>
    <w:p w:rsidR="00B46350" w:rsidRPr="009154FF" w:rsidRDefault="00B46350" w:rsidP="003C6D28">
      <w:pPr>
        <w:pStyle w:val="Caption"/>
      </w:pPr>
      <w:bookmarkStart w:id="315" w:name="_Ref469866517"/>
      <w:bookmarkStart w:id="316" w:name="_Toc469982778"/>
      <w:r w:rsidRPr="00F55C45">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13</w:t>
      </w:r>
      <w:r w:rsidR="00C44EF5">
        <w:rPr>
          <w:noProof/>
        </w:rPr>
        <w:fldChar w:fldCharType="end"/>
      </w:r>
      <w:bookmarkEnd w:id="315"/>
      <w:r w:rsidRPr="00F55C45">
        <w:t xml:space="preserve"> PCA scores which were </w:t>
      </w:r>
      <w:r w:rsidRPr="003C6D28">
        <w:t>significantly</w:t>
      </w:r>
      <w:r w:rsidRPr="00F55C45">
        <w:t xml:space="preserve"> affected by habitat type for (a) and (b) TRF relative abundance, (d) TRF presence/absence. PCA analysis showed that TRF relative abundance was more strongly effected by habitat type than TRF presence/absence. Percentage variation in data explained by </w:t>
      </w:r>
      <w:r>
        <w:t>principal</w:t>
      </w:r>
      <w:r w:rsidRPr="00F55C45">
        <w:t xml:space="preserve"> components from analysis of (c) relative abundance data and (e) TRF presence/absence. Habitat types are as follows; A; Arable, CB; conventional bush orchard, CS; conventional standard orchard, OS; organic standard orchard, W; woodland. </w:t>
      </w:r>
      <w:r w:rsidR="003D1BB6">
        <w:t xml:space="preserve">TRF data is </w:t>
      </w:r>
      <w:r w:rsidR="00A67251">
        <w:t xml:space="preserve">from both restriction with </w:t>
      </w:r>
      <w:r w:rsidR="003D1BB6">
        <w:t xml:space="preserve">both </w:t>
      </w:r>
      <w:proofErr w:type="spellStart"/>
      <w:r w:rsidR="00A67251" w:rsidRPr="00A67251">
        <w:rPr>
          <w:i/>
        </w:rPr>
        <w:t>Hinf</w:t>
      </w:r>
      <w:proofErr w:type="spellEnd"/>
      <w:r w:rsidR="00A67251">
        <w:t xml:space="preserve">-I and </w:t>
      </w:r>
      <w:r w:rsidR="00A67251" w:rsidRPr="00A67251">
        <w:rPr>
          <w:i/>
        </w:rPr>
        <w:t>HpyCH4</w:t>
      </w:r>
      <w:r w:rsidR="00A67251">
        <w:t>-III restriction enzymes</w:t>
      </w:r>
      <w:bookmarkEnd w:id="316"/>
      <w:r w:rsidR="00A67251">
        <w:t xml:space="preserve"> </w:t>
      </w:r>
    </w:p>
    <w:p w:rsidR="00B46350" w:rsidRPr="007A1FCF" w:rsidRDefault="00B46350" w:rsidP="00B46350">
      <w:r>
        <w:rPr>
          <w:noProof/>
          <w:lang w:eastAsia="en-GB"/>
        </w:rPr>
        <w:lastRenderedPageBreak/>
        <w:drawing>
          <wp:inline distT="0" distB="0" distL="0" distR="0" wp14:anchorId="580D1C53" wp14:editId="0A046EA7">
            <wp:extent cx="4896000" cy="79200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3.2 Hinf rel abund TRF leek.ti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96000" cy="7920000"/>
                    </a:xfrm>
                    <a:prstGeom prst="rect">
                      <a:avLst/>
                    </a:prstGeom>
                  </pic:spPr>
                </pic:pic>
              </a:graphicData>
            </a:graphic>
          </wp:inline>
        </w:drawing>
      </w:r>
    </w:p>
    <w:p w:rsidR="00B46350" w:rsidRPr="00F55C45" w:rsidRDefault="00B46350" w:rsidP="003C6D28">
      <w:pPr>
        <w:pStyle w:val="Caption"/>
      </w:pPr>
      <w:bookmarkStart w:id="317" w:name="_Ref463095472"/>
      <w:bookmarkStart w:id="318" w:name="_Toc469982779"/>
      <w:r w:rsidRPr="00F55C45">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14</w:t>
      </w:r>
      <w:r w:rsidR="00C44EF5">
        <w:rPr>
          <w:noProof/>
        </w:rPr>
        <w:fldChar w:fldCharType="end"/>
      </w:r>
      <w:bookmarkEnd w:id="317"/>
      <w:r w:rsidRPr="00F55C45">
        <w:t xml:space="preserve"> </w:t>
      </w:r>
      <w:bookmarkStart w:id="319" w:name="OLE_LINK2"/>
      <w:r w:rsidRPr="00F55C45">
        <w:t>Average relative abundance of terminal restriction fragments (T</w:t>
      </w:r>
      <w:r w:rsidR="007A30D0">
        <w:t>RF</w:t>
      </w:r>
      <w:r w:rsidRPr="00F55C45">
        <w:t xml:space="preserve">) per habitat type. Habitat codes; A = Arable, CB = </w:t>
      </w:r>
      <w:r w:rsidRPr="003C6D28">
        <w:t>Conventional</w:t>
      </w:r>
      <w:r w:rsidRPr="00F55C45">
        <w:t xml:space="preserve"> bush orchard, CS = Conventional standard orchard, OS = Organic standard orchard, W = woodland. Error bars show SE of mean (n = 25). Treatments with the same letter do not differ significantly from one another (Tukey HSD, </w:t>
      </w:r>
      <w:r w:rsidRPr="00F55C45">
        <w:rPr>
          <w:i/>
        </w:rPr>
        <w:t>P</w:t>
      </w:r>
      <w:r w:rsidRPr="00F55C45">
        <w:t>&lt;0.05).</w:t>
      </w:r>
      <w:bookmarkEnd w:id="319"/>
      <w:r w:rsidR="00A67251">
        <w:t xml:space="preserve"> </w:t>
      </w:r>
      <w:r w:rsidR="003D1BB6">
        <w:t>TRFs</w:t>
      </w:r>
      <w:r w:rsidR="00A67251">
        <w:t xml:space="preserve"> produced from both restriction with </w:t>
      </w:r>
      <w:proofErr w:type="spellStart"/>
      <w:r w:rsidR="00A67251" w:rsidRPr="00A67251">
        <w:rPr>
          <w:i/>
        </w:rPr>
        <w:t>Hinf</w:t>
      </w:r>
      <w:proofErr w:type="spellEnd"/>
      <w:r w:rsidR="00A67251">
        <w:t xml:space="preserve">-I and </w:t>
      </w:r>
      <w:r w:rsidR="00A67251" w:rsidRPr="00A67251">
        <w:rPr>
          <w:i/>
        </w:rPr>
        <w:t>HpyCH4</w:t>
      </w:r>
      <w:r w:rsidR="00A67251">
        <w:t>-III restriction enzymes are presented</w:t>
      </w:r>
      <w:bookmarkEnd w:id="318"/>
    </w:p>
    <w:p w:rsidR="00B46350" w:rsidRDefault="00B46350" w:rsidP="00B46350">
      <w:r>
        <w:rPr>
          <w:noProof/>
          <w:lang w:eastAsia="en-GB"/>
        </w:rPr>
        <w:lastRenderedPageBreak/>
        <w:drawing>
          <wp:inline distT="0" distB="0" distL="0" distR="0" wp14:anchorId="6715AF9E" wp14:editId="45FF2E05">
            <wp:extent cx="5400040" cy="655891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3.3 Hinf rel abund TRF leek .ti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00040" cy="6558915"/>
                    </a:xfrm>
                    <a:prstGeom prst="rect">
                      <a:avLst/>
                    </a:prstGeom>
                  </pic:spPr>
                </pic:pic>
              </a:graphicData>
            </a:graphic>
          </wp:inline>
        </w:drawing>
      </w:r>
    </w:p>
    <w:p w:rsidR="00B46350" w:rsidRPr="00F55C45" w:rsidRDefault="00B46350" w:rsidP="003C6D28">
      <w:pPr>
        <w:pStyle w:val="Caption"/>
      </w:pPr>
      <w:bookmarkStart w:id="320" w:name="_Ref463095474"/>
      <w:bookmarkStart w:id="321" w:name="_Toc469982780"/>
      <w:r w:rsidRPr="00F55C45">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15</w:t>
      </w:r>
      <w:r w:rsidR="00C44EF5">
        <w:rPr>
          <w:noProof/>
        </w:rPr>
        <w:fldChar w:fldCharType="end"/>
      </w:r>
      <w:bookmarkEnd w:id="320"/>
      <w:r w:rsidRPr="00F55C45">
        <w:t xml:space="preserve"> Average relative abundance of </w:t>
      </w:r>
      <w:r w:rsidRPr="003C6D28">
        <w:t>terminal</w:t>
      </w:r>
      <w:r w:rsidRPr="00F55C45">
        <w:t xml:space="preserve"> restriction fragments (TRF) per habitat type. Habitat codes; A = Arable, CB = Conventional bush orchard, CS = Conventional standard orchard, OS = Organic standard orchard, W = woodland. Error bars show SE of mean (n = 25). Treatments with the same letter do not differ significantly from one another (Tukey HSD, </w:t>
      </w:r>
      <w:r w:rsidRPr="00F55C45">
        <w:rPr>
          <w:i/>
        </w:rPr>
        <w:t>P</w:t>
      </w:r>
      <w:r w:rsidRPr="00F55C45">
        <w:t>&lt;0.05).</w:t>
      </w:r>
      <w:r w:rsidR="00A67251" w:rsidRPr="00A67251">
        <w:t xml:space="preserve"> </w:t>
      </w:r>
      <w:r w:rsidR="003D1BB6">
        <w:t>TRFs</w:t>
      </w:r>
      <w:r w:rsidR="00A67251">
        <w:t xml:space="preserve"> produced from both restriction with </w:t>
      </w:r>
      <w:proofErr w:type="spellStart"/>
      <w:r w:rsidR="00A67251" w:rsidRPr="00A67251">
        <w:rPr>
          <w:i/>
        </w:rPr>
        <w:t>Hinf</w:t>
      </w:r>
      <w:proofErr w:type="spellEnd"/>
      <w:r w:rsidR="00A67251">
        <w:t xml:space="preserve">-I and </w:t>
      </w:r>
      <w:r w:rsidR="00A67251" w:rsidRPr="00A67251">
        <w:rPr>
          <w:i/>
        </w:rPr>
        <w:t>HpyCH4</w:t>
      </w:r>
      <w:r w:rsidR="00A67251">
        <w:t>-III restriction enzymes are presented</w:t>
      </w:r>
      <w:bookmarkEnd w:id="321"/>
    </w:p>
    <w:p w:rsidR="00B46350" w:rsidRDefault="00B46350" w:rsidP="00B46350">
      <w:r>
        <w:br w:type="page"/>
      </w:r>
    </w:p>
    <w:p w:rsidR="00B46350" w:rsidRDefault="00B46350" w:rsidP="00B46350">
      <w:pPr>
        <w:pStyle w:val="Heading3"/>
      </w:pPr>
      <w:bookmarkStart w:id="322" w:name="_Toc464758690"/>
      <w:bookmarkStart w:id="323" w:name="_Toc469855048"/>
      <w:bookmarkStart w:id="324" w:name="_Toc469856048"/>
      <w:bookmarkStart w:id="325" w:name="_Toc469931957"/>
      <w:bookmarkStart w:id="326" w:name="_Toc469982278"/>
      <w:r>
        <w:lastRenderedPageBreak/>
        <w:t>Characterisation and comparison of AMF communities found within three orchard management types, woodland and arable using Illumina Sequencing</w:t>
      </w:r>
      <w:bookmarkEnd w:id="322"/>
      <w:bookmarkEnd w:id="323"/>
      <w:bookmarkEnd w:id="324"/>
      <w:bookmarkEnd w:id="325"/>
      <w:bookmarkEnd w:id="326"/>
    </w:p>
    <w:p w:rsidR="00B46350" w:rsidRDefault="00B46350" w:rsidP="00B46350">
      <w:pPr>
        <w:pStyle w:val="Heading4"/>
        <w:numPr>
          <w:ilvl w:val="3"/>
          <w:numId w:val="1"/>
        </w:numPr>
      </w:pPr>
      <w:r>
        <w:t xml:space="preserve">Richness and Simpson’s diversity </w:t>
      </w:r>
    </w:p>
    <w:p w:rsidR="00B46350" w:rsidRDefault="00B46350" w:rsidP="003C6D28">
      <w:r>
        <w:t>One-way ANOVA tests for the effect of habitat type (woodland, conventional bush orchard, conventional standard orchard and arable) on OTU richness using sequence read data rarefied to a depth of 1500 reads showed a significant effect of habitat type upon OTU richness (ANOVA (</w:t>
      </w:r>
      <w:r w:rsidRPr="00842FEB">
        <w:rPr>
          <w:i/>
        </w:rPr>
        <w:t>F</w:t>
      </w:r>
      <w:r w:rsidRPr="002869C8">
        <w:rPr>
          <w:vertAlign w:val="subscript"/>
        </w:rPr>
        <w:t>1,4</w:t>
      </w:r>
      <w:r>
        <w:rPr>
          <w:vertAlign w:val="subscript"/>
        </w:rPr>
        <w:t xml:space="preserve"> </w:t>
      </w:r>
      <w:r>
        <w:t xml:space="preserve">=2.80, </w:t>
      </w:r>
      <w:r w:rsidRPr="00842FEB">
        <w:rPr>
          <w:i/>
        </w:rPr>
        <w:t>P</w:t>
      </w:r>
      <w:r>
        <w:t>=0.034) (</w:t>
      </w:r>
      <w:r>
        <w:fldChar w:fldCharType="begin"/>
      </w:r>
      <w:r>
        <w:instrText xml:space="preserve"> REF _Ref466116809 \h </w:instrText>
      </w:r>
      <w:r>
        <w:fldChar w:fldCharType="separate"/>
      </w:r>
      <w:r w:rsidR="00E0714D" w:rsidRPr="00F55C45">
        <w:t xml:space="preserve">Figure </w:t>
      </w:r>
      <w:r w:rsidR="00E0714D">
        <w:rPr>
          <w:noProof/>
        </w:rPr>
        <w:t>3</w:t>
      </w:r>
      <w:r w:rsidR="00E0714D">
        <w:t>.</w:t>
      </w:r>
      <w:r w:rsidR="00E0714D">
        <w:rPr>
          <w:noProof/>
        </w:rPr>
        <w:t>16</w:t>
      </w:r>
      <w:r>
        <w:fldChar w:fldCharType="end"/>
      </w:r>
      <w:r>
        <w:t>a). On average OTU richness was highest in conventional standard orchards (mean of 34 OTUs) and lowest in arable (mean of 27 OTUs). CB =28, OS =31, W = 32.  There was no significant effect of habitat type upon Simpson’s diversity index (</w:t>
      </w:r>
      <w:r w:rsidRPr="00842FEB">
        <w:rPr>
          <w:i/>
        </w:rPr>
        <w:t>F</w:t>
      </w:r>
      <w:r w:rsidRPr="002869C8">
        <w:rPr>
          <w:vertAlign w:val="subscript"/>
        </w:rPr>
        <w:t>1</w:t>
      </w:r>
      <w:proofErr w:type="gramStart"/>
      <w:r w:rsidRPr="002869C8">
        <w:rPr>
          <w:vertAlign w:val="subscript"/>
        </w:rPr>
        <w:t>,4</w:t>
      </w:r>
      <w:proofErr w:type="gramEnd"/>
      <w:r>
        <w:rPr>
          <w:vertAlign w:val="subscript"/>
        </w:rPr>
        <w:t xml:space="preserve"> </w:t>
      </w:r>
      <w:r>
        <w:t xml:space="preserve">=2.07, </w:t>
      </w:r>
      <w:r w:rsidRPr="00842FEB">
        <w:rPr>
          <w:i/>
        </w:rPr>
        <w:t>P</w:t>
      </w:r>
      <w:r>
        <w:t>=0.097) (</w:t>
      </w:r>
      <w:r>
        <w:fldChar w:fldCharType="begin"/>
      </w:r>
      <w:r>
        <w:instrText xml:space="preserve"> REF _Ref466116809 \h </w:instrText>
      </w:r>
      <w:r>
        <w:fldChar w:fldCharType="separate"/>
      </w:r>
      <w:r w:rsidR="00E0714D" w:rsidRPr="00F55C45">
        <w:t xml:space="preserve">Figure </w:t>
      </w:r>
      <w:r w:rsidR="00E0714D">
        <w:rPr>
          <w:noProof/>
        </w:rPr>
        <w:t>3</w:t>
      </w:r>
      <w:r w:rsidR="00E0714D">
        <w:t>.</w:t>
      </w:r>
      <w:r w:rsidR="00E0714D">
        <w:rPr>
          <w:noProof/>
        </w:rPr>
        <w:t>16</w:t>
      </w:r>
      <w:r>
        <w:fldChar w:fldCharType="end"/>
      </w:r>
      <w:r>
        <w:t xml:space="preserve">b). </w:t>
      </w:r>
    </w:p>
    <w:p w:rsidR="00B46350" w:rsidRDefault="00B46350" w:rsidP="00B46350"/>
    <w:p w:rsidR="00B46350" w:rsidRDefault="00B46350" w:rsidP="00B46350">
      <w:r>
        <w:rPr>
          <w:noProof/>
          <w:lang w:eastAsia="en-GB"/>
        </w:rPr>
        <w:drawing>
          <wp:inline distT="0" distB="0" distL="0" distR="0" wp14:anchorId="699545B0" wp14:editId="1E9F62E8">
            <wp:extent cx="5400040" cy="22117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p_richness_simpsons_rarefied_data_reverse_reads.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0040" cy="2211705"/>
                    </a:xfrm>
                    <a:prstGeom prst="rect">
                      <a:avLst/>
                    </a:prstGeom>
                  </pic:spPr>
                </pic:pic>
              </a:graphicData>
            </a:graphic>
          </wp:inline>
        </w:drawing>
      </w:r>
      <w:r>
        <w:t xml:space="preserve"> </w:t>
      </w:r>
    </w:p>
    <w:p w:rsidR="00B46350" w:rsidRDefault="00B46350" w:rsidP="00B46350"/>
    <w:p w:rsidR="00B46350" w:rsidRPr="00F55C45" w:rsidRDefault="00B46350" w:rsidP="003C6D28">
      <w:pPr>
        <w:pStyle w:val="Caption"/>
      </w:pPr>
      <w:bookmarkStart w:id="327" w:name="_Ref466116809"/>
      <w:bookmarkStart w:id="328" w:name="_Toc469982781"/>
      <w:r w:rsidRPr="00F55C45">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16</w:t>
      </w:r>
      <w:r w:rsidR="00C44EF5">
        <w:rPr>
          <w:noProof/>
        </w:rPr>
        <w:fldChar w:fldCharType="end"/>
      </w:r>
      <w:bookmarkEnd w:id="327"/>
      <w:r w:rsidRPr="00F55C45">
        <w:t xml:space="preserve"> (a) Mean OTU richness per habitat and (b) Mean Simpson’s diversity indices per habitat. Both OTU richness and Simpson’s diversity indices were calculated using sampling depth of reverse reads rarefied to 1,500 reads. </w:t>
      </w:r>
      <w:r w:rsidRPr="003C6D28">
        <w:t>Habitat</w:t>
      </w:r>
      <w:r w:rsidRPr="00F55C45">
        <w:t xml:space="preserve"> codes are as follows: A; arable, CB; conventional bush orchard, CS; conventional standard orchard, OS; organic standard orchard; W; woodland). Error bars show SE of mean (A; n=9, CB; n=14, CS; n=14, OS; n=9, W; n=14).</w:t>
      </w:r>
      <w:r w:rsidR="00A67251">
        <w:t xml:space="preserve"> Reduced sample sizes per habitat are due to exclusion of all samples with fewer than 1,500 reads from</w:t>
      </w:r>
      <w:r w:rsidR="003D1BB6">
        <w:t xml:space="preserve"> this</w:t>
      </w:r>
      <w:r w:rsidR="00A67251">
        <w:t xml:space="preserve"> analysis.</w:t>
      </w:r>
      <w:bookmarkEnd w:id="328"/>
    </w:p>
    <w:p w:rsidR="00B46350" w:rsidRDefault="00B46350" w:rsidP="00B46350">
      <w:pPr>
        <w:pStyle w:val="Heading4"/>
        <w:numPr>
          <w:ilvl w:val="3"/>
          <w:numId w:val="1"/>
        </w:numPr>
      </w:pPr>
      <w:r>
        <w:t>Community composition analysis</w:t>
      </w:r>
    </w:p>
    <w:p w:rsidR="00B46350" w:rsidRDefault="00B46350" w:rsidP="00B46350">
      <w:r w:rsidRPr="00451925">
        <w:t>Princip</w:t>
      </w:r>
      <w:r>
        <w:t>a</w:t>
      </w:r>
      <w:r w:rsidRPr="00451925">
        <w:t>l component analysis of OTU relative abundance showed a significant effect of habitat for PC1</w:t>
      </w:r>
      <w:r>
        <w:t>, PC2, PC4, PC5, PC6 and PC9</w:t>
      </w:r>
      <w:r w:rsidRPr="00451925">
        <w:t xml:space="preserve"> </w:t>
      </w:r>
      <w:r>
        <w:t>(</w:t>
      </w:r>
      <w:r w:rsidR="00950437">
        <w:fldChar w:fldCharType="begin"/>
      </w:r>
      <w:r w:rsidR="00950437">
        <w:instrText xml:space="preserve"> REF _Ref466126057 \h </w:instrText>
      </w:r>
      <w:r w:rsidR="00950437">
        <w:fldChar w:fldCharType="separate"/>
      </w:r>
      <w:r w:rsidR="00E0714D" w:rsidRPr="00F55C45">
        <w:t xml:space="preserve">Figure </w:t>
      </w:r>
      <w:r w:rsidR="00E0714D">
        <w:rPr>
          <w:noProof/>
        </w:rPr>
        <w:t>3</w:t>
      </w:r>
      <w:r w:rsidR="00E0714D">
        <w:t>.</w:t>
      </w:r>
      <w:r w:rsidR="00E0714D">
        <w:rPr>
          <w:noProof/>
        </w:rPr>
        <w:t>17</w:t>
      </w:r>
      <w:r w:rsidR="00950437">
        <w:fldChar w:fldCharType="end"/>
      </w:r>
      <w:r>
        <w:t>a, b, c) which combined explain 66% of the data variation (</w:t>
      </w:r>
      <w:r>
        <w:fldChar w:fldCharType="begin"/>
      </w:r>
      <w:r>
        <w:instrText xml:space="preserve"> REF _Ref466126057 \h </w:instrText>
      </w:r>
      <w:r>
        <w:fldChar w:fldCharType="separate"/>
      </w:r>
      <w:r w:rsidR="00E0714D" w:rsidRPr="00F55C45">
        <w:t xml:space="preserve">Figure </w:t>
      </w:r>
      <w:r w:rsidR="00E0714D">
        <w:rPr>
          <w:noProof/>
        </w:rPr>
        <w:t>3</w:t>
      </w:r>
      <w:r w:rsidR="00E0714D">
        <w:t>.</w:t>
      </w:r>
      <w:r w:rsidR="00E0714D">
        <w:rPr>
          <w:noProof/>
        </w:rPr>
        <w:t>17</w:t>
      </w:r>
      <w:r>
        <w:fldChar w:fldCharType="end"/>
      </w:r>
      <w:r>
        <w:t>b).  PC scores of orchards were highly similar with differences only reported between conventional bush orchards and conventional standard orchards for PC1 (</w:t>
      </w:r>
      <w:r>
        <w:fldChar w:fldCharType="begin"/>
      </w:r>
      <w:r>
        <w:instrText xml:space="preserve"> REF _Ref467850796 \h </w:instrText>
      </w:r>
      <w:r>
        <w:fldChar w:fldCharType="separate"/>
      </w:r>
      <w:r w:rsidR="00E0714D">
        <w:t xml:space="preserve">Table </w:t>
      </w:r>
      <w:r w:rsidR="00E0714D">
        <w:rPr>
          <w:noProof/>
        </w:rPr>
        <w:t>3</w:t>
      </w:r>
      <w:r w:rsidR="00E0714D">
        <w:t>.</w:t>
      </w:r>
      <w:r w:rsidR="00E0714D">
        <w:rPr>
          <w:noProof/>
        </w:rPr>
        <w:t>5</w:t>
      </w:r>
      <w:r>
        <w:fldChar w:fldCharType="end"/>
      </w:r>
      <w:r>
        <w:t>). In comparison significant differences were found between the principal component scores of orchards and woodland habitats for PC2 and PC4. Arable habitats showed greater dissimilarity from orchard types with significant differences reported for principal component scores 1, 6 and 9 (</w:t>
      </w:r>
      <w:r>
        <w:fldChar w:fldCharType="begin"/>
      </w:r>
      <w:r>
        <w:instrText xml:space="preserve"> REF _Ref467850796 \h </w:instrText>
      </w:r>
      <w:r>
        <w:fldChar w:fldCharType="separate"/>
      </w:r>
      <w:r w:rsidR="00E0714D">
        <w:t xml:space="preserve">Table </w:t>
      </w:r>
      <w:r w:rsidR="00E0714D">
        <w:rPr>
          <w:noProof/>
        </w:rPr>
        <w:t>3</w:t>
      </w:r>
      <w:r w:rsidR="00E0714D">
        <w:t>.</w:t>
      </w:r>
      <w:r w:rsidR="00E0714D">
        <w:rPr>
          <w:noProof/>
        </w:rPr>
        <w:t>5</w:t>
      </w:r>
      <w:r>
        <w:fldChar w:fldCharType="end"/>
      </w:r>
      <w:r>
        <w:t>).</w:t>
      </w:r>
    </w:p>
    <w:p w:rsidR="00B46350" w:rsidRDefault="00B46350" w:rsidP="00B46350">
      <w:r w:rsidRPr="007E656D">
        <w:lastRenderedPageBreak/>
        <w:t>Princip</w:t>
      </w:r>
      <w:r>
        <w:t>a</w:t>
      </w:r>
      <w:r w:rsidRPr="007E656D">
        <w:t xml:space="preserve">l component analysis of OTU presence and absence data also showed habitat significantly </w:t>
      </w:r>
      <w:r>
        <w:t>affected PC1, PC2, PC3, PC4, PC5 and PC7 scores which together account for 40.56 % of the variation in the data (</w:t>
      </w:r>
      <w:r>
        <w:fldChar w:fldCharType="begin"/>
      </w:r>
      <w:r>
        <w:instrText xml:space="preserve"> REF _Ref467850796 \h </w:instrText>
      </w:r>
      <w:r>
        <w:fldChar w:fldCharType="separate"/>
      </w:r>
      <w:r w:rsidR="00E0714D">
        <w:t xml:space="preserve">Table </w:t>
      </w:r>
      <w:r w:rsidR="00E0714D">
        <w:rPr>
          <w:noProof/>
        </w:rPr>
        <w:t>3</w:t>
      </w:r>
      <w:r w:rsidR="00E0714D">
        <w:t>.</w:t>
      </w:r>
      <w:r w:rsidR="00E0714D">
        <w:rPr>
          <w:noProof/>
        </w:rPr>
        <w:t>5</w:t>
      </w:r>
      <w:r>
        <w:fldChar w:fldCharType="end"/>
      </w:r>
      <w:r>
        <w:t xml:space="preserve">, </w:t>
      </w:r>
      <w:r>
        <w:fldChar w:fldCharType="begin"/>
      </w:r>
      <w:r>
        <w:instrText xml:space="preserve"> REF _Ref465010156 \h </w:instrText>
      </w:r>
      <w:r>
        <w:fldChar w:fldCharType="separate"/>
      </w:r>
      <w:r w:rsidR="00E0714D" w:rsidRPr="00F55C45">
        <w:t xml:space="preserve">Figure </w:t>
      </w:r>
      <w:r w:rsidR="00E0714D">
        <w:rPr>
          <w:noProof/>
        </w:rPr>
        <w:t>3</w:t>
      </w:r>
      <w:r w:rsidR="00E0714D">
        <w:t>.</w:t>
      </w:r>
      <w:r w:rsidR="00E0714D">
        <w:rPr>
          <w:noProof/>
        </w:rPr>
        <w:t>18</w:t>
      </w:r>
      <w:r>
        <w:fldChar w:fldCharType="end"/>
      </w:r>
      <w:r>
        <w:t xml:space="preserve">). Post hoc Tukey HSD tests on all principal components significantly affected by habitat showed significant differences between conventional bush and conventional standard orchards PC1 scores and PC5 scores (Tukey HSD, </w:t>
      </w:r>
      <w:r w:rsidRPr="00AC2FB9">
        <w:rPr>
          <w:i/>
        </w:rPr>
        <w:t>P</w:t>
      </w:r>
      <w:r>
        <w:t>&lt;0.05) but no other differences between orchards types were found. In comparison to woodlands orchards showed significant different in principal component scores for PC1, PC2 and PC3 (</w:t>
      </w:r>
      <w:r>
        <w:fldChar w:fldCharType="begin"/>
      </w:r>
      <w:r>
        <w:instrText xml:space="preserve"> REF _Ref467850796 \h </w:instrText>
      </w:r>
      <w:r>
        <w:fldChar w:fldCharType="separate"/>
      </w:r>
      <w:r w:rsidR="00E0714D">
        <w:t xml:space="preserve">Table </w:t>
      </w:r>
      <w:r w:rsidR="00E0714D">
        <w:rPr>
          <w:noProof/>
        </w:rPr>
        <w:t>3</w:t>
      </w:r>
      <w:r w:rsidR="00E0714D">
        <w:t>.</w:t>
      </w:r>
      <w:r w:rsidR="00E0714D">
        <w:rPr>
          <w:noProof/>
        </w:rPr>
        <w:t>5</w:t>
      </w:r>
      <w:r>
        <w:fldChar w:fldCharType="end"/>
      </w:r>
      <w:r>
        <w:t xml:space="preserve">) which combined account for under 31% of the variation in the data. Significant differences between principal component scores of orchards and arable were reported for PC1, PC5 and PC7 under 25% of data variation. </w:t>
      </w:r>
    </w:p>
    <w:p w:rsidR="00B46350" w:rsidRDefault="00B46350" w:rsidP="00B46350">
      <w:pPr>
        <w:pStyle w:val="Heading4"/>
        <w:numPr>
          <w:ilvl w:val="3"/>
          <w:numId w:val="1"/>
        </w:numPr>
      </w:pPr>
      <w:r>
        <w:t>OTU relative abundance</w:t>
      </w:r>
    </w:p>
    <w:p w:rsidR="00B46350" w:rsidRDefault="00A54D4A" w:rsidP="00B46350">
      <w:r>
        <w:t>OPLS-DA</w:t>
      </w:r>
      <w:r w:rsidR="00B46350">
        <w:t xml:space="preserve"> analysis and subsequent ANOVA tests showed 14/79 OTUs had significant differences in relative abundance between habitat types (</w:t>
      </w:r>
      <w:r w:rsidR="00B46350">
        <w:fldChar w:fldCharType="begin"/>
      </w:r>
      <w:r w:rsidR="00B46350">
        <w:instrText xml:space="preserve"> REF _Ref465066792 \h </w:instrText>
      </w:r>
      <w:r w:rsidR="00B46350">
        <w:fldChar w:fldCharType="separate"/>
      </w:r>
      <w:r w:rsidR="00E0714D" w:rsidRPr="003C6D28">
        <w:t xml:space="preserve">Table </w:t>
      </w:r>
      <w:r w:rsidR="00E0714D">
        <w:rPr>
          <w:noProof/>
        </w:rPr>
        <w:t>3</w:t>
      </w:r>
      <w:r w:rsidR="00E0714D" w:rsidRPr="003C6D28">
        <w:t>.</w:t>
      </w:r>
      <w:r w:rsidR="00E0714D">
        <w:rPr>
          <w:noProof/>
        </w:rPr>
        <w:t>6</w:t>
      </w:r>
      <w:r w:rsidR="00B46350">
        <w:fldChar w:fldCharType="end"/>
      </w:r>
      <w:r w:rsidR="00B46350">
        <w:t xml:space="preserve">, </w:t>
      </w:r>
      <w:r w:rsidR="00B46350">
        <w:fldChar w:fldCharType="begin"/>
      </w:r>
      <w:r w:rsidR="00B46350">
        <w:instrText xml:space="preserve"> REF _Ref466197868 \h </w:instrText>
      </w:r>
      <w:r w:rsidR="00B46350">
        <w:fldChar w:fldCharType="separate"/>
      </w:r>
      <w:r w:rsidR="00E0714D" w:rsidRPr="00F55C45">
        <w:t xml:space="preserve">Figure </w:t>
      </w:r>
      <w:r w:rsidR="00E0714D">
        <w:rPr>
          <w:noProof/>
        </w:rPr>
        <w:t>3</w:t>
      </w:r>
      <w:r w:rsidR="00E0714D">
        <w:t>.</w:t>
      </w:r>
      <w:r w:rsidR="00E0714D">
        <w:rPr>
          <w:noProof/>
        </w:rPr>
        <w:t>19</w:t>
      </w:r>
      <w:r w:rsidR="00B46350">
        <w:fldChar w:fldCharType="end"/>
      </w:r>
      <w:r w:rsidR="00B46350">
        <w:t>).</w:t>
      </w:r>
      <w:r w:rsidR="00C048F1">
        <w:t xml:space="preserve"> (OPLS-DA loading plots</w:t>
      </w:r>
      <w:r w:rsidR="00FA1EAB">
        <w:t xml:space="preserve"> for sequencing data </w:t>
      </w:r>
      <w:proofErr w:type="spellStart"/>
      <w:r w:rsidR="00FA1EAB">
        <w:t>anlysis</w:t>
      </w:r>
      <w:proofErr w:type="spellEnd"/>
      <w:r w:rsidR="00C048F1">
        <w:t xml:space="preserve"> are presented in Appendix B.2). </w:t>
      </w:r>
      <w:r w:rsidR="00B46350">
        <w:t>A clear difference was seen between woodland and arable habitats which showed significant differences in OTU relative abundance for 11/14 OTUs (</w:t>
      </w:r>
      <w:r w:rsidR="00B46350">
        <w:fldChar w:fldCharType="begin"/>
      </w:r>
      <w:r w:rsidR="00B46350">
        <w:instrText xml:space="preserve"> REF _Ref466197868 \h </w:instrText>
      </w:r>
      <w:r w:rsidR="00B46350">
        <w:fldChar w:fldCharType="separate"/>
      </w:r>
      <w:r w:rsidR="00E0714D" w:rsidRPr="00F55C45">
        <w:t xml:space="preserve">Figure </w:t>
      </w:r>
      <w:r w:rsidR="00E0714D">
        <w:rPr>
          <w:noProof/>
        </w:rPr>
        <w:t>3</w:t>
      </w:r>
      <w:r w:rsidR="00E0714D">
        <w:t>.</w:t>
      </w:r>
      <w:r w:rsidR="00E0714D">
        <w:rPr>
          <w:noProof/>
        </w:rPr>
        <w:t>19</w:t>
      </w:r>
      <w:r w:rsidR="00B46350">
        <w:fldChar w:fldCharType="end"/>
      </w:r>
      <w:r w:rsidR="00B46350">
        <w:t>).</w:t>
      </w:r>
    </w:p>
    <w:p w:rsidR="00B46350" w:rsidRDefault="00B46350" w:rsidP="00B46350">
      <w:r>
        <w:t xml:space="preserve">The three orchard management types showed a high level of similarity in OTU relative abundance with no differences in relative abundance of any OTUs found between conventional standard and organic standard orchards. Differences between conventional bush orchards and conventional standard orchards </w:t>
      </w:r>
      <w:proofErr w:type="spellStart"/>
      <w:r>
        <w:t>weres</w:t>
      </w:r>
      <w:proofErr w:type="spellEnd"/>
      <w:r>
        <w:t xml:space="preserve"> shown in relative abundance of OTU 4 and OTU 7 (</w:t>
      </w:r>
      <w:r>
        <w:fldChar w:fldCharType="begin"/>
      </w:r>
      <w:r>
        <w:instrText xml:space="preserve"> REF _Ref466197868 \h </w:instrText>
      </w:r>
      <w:r>
        <w:fldChar w:fldCharType="separate"/>
      </w:r>
      <w:r w:rsidR="00E0714D" w:rsidRPr="00F55C45">
        <w:t xml:space="preserve">Figure </w:t>
      </w:r>
      <w:r w:rsidR="00E0714D">
        <w:rPr>
          <w:noProof/>
        </w:rPr>
        <w:t>3</w:t>
      </w:r>
      <w:r w:rsidR="00E0714D">
        <w:t>.</w:t>
      </w:r>
      <w:r w:rsidR="00E0714D">
        <w:rPr>
          <w:noProof/>
        </w:rPr>
        <w:t>19</w:t>
      </w:r>
      <w:r>
        <w:fldChar w:fldCharType="end"/>
      </w:r>
      <w:r w:rsidR="00192CC7">
        <w:t>c</w:t>
      </w:r>
      <w:r>
        <w:t xml:space="preserve"> and e) and between conventional bush orchards compared to both conventional standard orchard and organic standard orchards for relative abundance of OTU 32 (</w:t>
      </w:r>
      <w:r>
        <w:fldChar w:fldCharType="begin"/>
      </w:r>
      <w:r>
        <w:instrText xml:space="preserve"> REF _Ref466197868 \h </w:instrText>
      </w:r>
      <w:r>
        <w:fldChar w:fldCharType="separate"/>
      </w:r>
      <w:r w:rsidR="00E0714D" w:rsidRPr="00F55C45">
        <w:t xml:space="preserve">Figure </w:t>
      </w:r>
      <w:r w:rsidR="00E0714D">
        <w:rPr>
          <w:noProof/>
        </w:rPr>
        <w:t>3</w:t>
      </w:r>
      <w:r w:rsidR="00E0714D">
        <w:t>.</w:t>
      </w:r>
      <w:r w:rsidR="00E0714D">
        <w:rPr>
          <w:noProof/>
        </w:rPr>
        <w:t>19</w:t>
      </w:r>
      <w:r>
        <w:fldChar w:fldCharType="end"/>
      </w:r>
      <w:r>
        <w:t xml:space="preserve">m). </w:t>
      </w:r>
    </w:p>
    <w:p w:rsidR="00B46350" w:rsidRDefault="00B46350" w:rsidP="00B46350">
      <w:r>
        <w:t>A general trend of orchards showing intermediate relative abundance between arable and woodland habitats was shown. Differences between arable and orchard OTU relative abundances were as follows; conventional bush orchards (four OTUs: 7, 5, 25, 34), conventional standard orchards (five OTUs: 3, 4, 25, 32, 34) and organic standard orchards (two OTUs: 25, 34).  Differences between woodland and orchards OTU relative abundance were as follows; conventional bush orchards (Six OTUs: 4, 7, 8, 9, 10, 19), conventional standard orchards (six OTUs: 1, 5, 8, 9, 10, 19), organic standard orchards (three OTUs; 9, 10, 19).</w:t>
      </w:r>
    </w:p>
    <w:p w:rsidR="00B46350" w:rsidRDefault="00B46350" w:rsidP="00B46350">
      <w:pPr>
        <w:sectPr w:rsidR="00B46350" w:rsidSect="00B46350">
          <w:pgSz w:w="11906" w:h="16838" w:code="9"/>
          <w:pgMar w:top="1134" w:right="1134" w:bottom="1134" w:left="2268" w:header="709" w:footer="709" w:gutter="0"/>
          <w:cols w:space="708"/>
          <w:docGrid w:linePitch="360"/>
        </w:sectPr>
      </w:pPr>
    </w:p>
    <w:p w:rsidR="00B46350" w:rsidRDefault="00B46350" w:rsidP="00B46350">
      <w:pPr>
        <w:pStyle w:val="Caption"/>
        <w:keepNext/>
      </w:pPr>
    </w:p>
    <w:tbl>
      <w:tblPr>
        <w:tblStyle w:val="TableGrid"/>
        <w:tblpPr w:leftFromText="180" w:rightFromText="180" w:vertAnchor="page" w:horzAnchor="margin" w:tblpXSpec="center" w:tblpY="2294"/>
        <w:tblW w:w="11732" w:type="dxa"/>
        <w:tblLayout w:type="fixed"/>
        <w:tblLook w:val="04A0" w:firstRow="1" w:lastRow="0" w:firstColumn="1" w:lastColumn="0" w:noHBand="0" w:noVBand="1"/>
      </w:tblPr>
      <w:tblGrid>
        <w:gridCol w:w="1134"/>
        <w:gridCol w:w="567"/>
        <w:gridCol w:w="671"/>
        <w:gridCol w:w="855"/>
        <w:gridCol w:w="992"/>
        <w:gridCol w:w="709"/>
        <w:gridCol w:w="992"/>
        <w:gridCol w:w="709"/>
        <w:gridCol w:w="992"/>
        <w:gridCol w:w="709"/>
        <w:gridCol w:w="992"/>
        <w:gridCol w:w="709"/>
        <w:gridCol w:w="992"/>
        <w:gridCol w:w="709"/>
      </w:tblGrid>
      <w:tr w:rsidR="00B46350" w:rsidRPr="00CA4E8C" w:rsidTr="00B46350">
        <w:tc>
          <w:tcPr>
            <w:tcW w:w="11732" w:type="dxa"/>
            <w:gridSpan w:val="14"/>
            <w:tcBorders>
              <w:top w:val="nil"/>
              <w:left w:val="nil"/>
              <w:bottom w:val="single" w:sz="4" w:space="0" w:color="auto"/>
              <w:right w:val="nil"/>
            </w:tcBorders>
          </w:tcPr>
          <w:p w:rsidR="00B46350" w:rsidRPr="003C6D28" w:rsidRDefault="00B46350" w:rsidP="003C6D28">
            <w:pPr>
              <w:pStyle w:val="Caption"/>
            </w:pPr>
            <w:bookmarkStart w:id="329" w:name="_Ref467850796"/>
            <w:bookmarkStart w:id="330" w:name="_Toc469868579"/>
            <w:r>
              <w:t xml:space="preserve">Table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t>.</w:t>
            </w:r>
            <w:r w:rsidR="00C44EF5">
              <w:fldChar w:fldCharType="begin"/>
            </w:r>
            <w:r w:rsidR="00C44EF5">
              <w:instrText xml:space="preserve"> SEQ Table \* ARABIC \s 1 </w:instrText>
            </w:r>
            <w:r w:rsidR="00C44EF5">
              <w:fldChar w:fldCharType="separate"/>
            </w:r>
            <w:r w:rsidR="00E0714D">
              <w:rPr>
                <w:noProof/>
              </w:rPr>
              <w:t>5</w:t>
            </w:r>
            <w:r w:rsidR="00C44EF5">
              <w:rPr>
                <w:noProof/>
              </w:rPr>
              <w:fldChar w:fldCharType="end"/>
            </w:r>
            <w:bookmarkEnd w:id="329"/>
            <w:r>
              <w:t xml:space="preserve"> </w:t>
            </w:r>
            <w:r w:rsidRPr="0064192E">
              <w:t xml:space="preserve">Reverse sequence </w:t>
            </w:r>
            <w:r>
              <w:t>principal</w:t>
            </w:r>
            <w:r w:rsidRPr="0064192E">
              <w:t xml:space="preserve"> </w:t>
            </w:r>
            <w:r w:rsidRPr="003C6D28">
              <w:t>component</w:t>
            </w:r>
            <w:r w:rsidRPr="0064192E">
              <w:t xml:space="preserve"> scores which showed significant differences between the five habitat types. Statistical differences between </w:t>
            </w:r>
            <w:r>
              <w:t>principal</w:t>
            </w:r>
            <w:r w:rsidRPr="0064192E">
              <w:t xml:space="preserve"> component scores of habitats were calculated using a one-way ANOVA test with PC score as the response, habitat as the predictor and site as a random factor. Habitats with the same letter do not differ significantly from one another (Tukey HSD, p&lt;0.05). Only results for </w:t>
            </w:r>
            <w:r>
              <w:t>principal</w:t>
            </w:r>
            <w:r w:rsidRPr="0064192E">
              <w:t xml:space="preserve"> component scores which are significantly affected by habitat are presented.</w:t>
            </w:r>
            <w:bookmarkEnd w:id="330"/>
            <w:r>
              <w:t xml:space="preserve"> </w:t>
            </w:r>
          </w:p>
        </w:tc>
      </w:tr>
      <w:tr w:rsidR="00B46350" w:rsidRPr="00CA4E8C" w:rsidTr="00B46350">
        <w:tc>
          <w:tcPr>
            <w:tcW w:w="1134" w:type="dxa"/>
            <w:tcBorders>
              <w:top w:val="single" w:sz="4" w:space="0" w:color="auto"/>
              <w:left w:val="nil"/>
              <w:bottom w:val="single" w:sz="4" w:space="0" w:color="auto"/>
              <w:right w:val="nil"/>
            </w:tcBorders>
          </w:tcPr>
          <w:p w:rsidR="00B46350" w:rsidRPr="00CA4E8C" w:rsidRDefault="00B46350" w:rsidP="00B46350">
            <w:pPr>
              <w:rPr>
                <w:rFonts w:cs="Times New Roman"/>
                <w:sz w:val="20"/>
                <w:szCs w:val="20"/>
              </w:rPr>
            </w:pPr>
          </w:p>
        </w:tc>
        <w:tc>
          <w:tcPr>
            <w:tcW w:w="567" w:type="dxa"/>
            <w:tcBorders>
              <w:top w:val="single" w:sz="4" w:space="0" w:color="auto"/>
              <w:left w:val="nil"/>
              <w:bottom w:val="single" w:sz="4" w:space="0" w:color="auto"/>
              <w:right w:val="nil"/>
            </w:tcBorders>
          </w:tcPr>
          <w:p w:rsidR="00B46350" w:rsidRPr="00CA4E8C" w:rsidRDefault="00B46350" w:rsidP="00B46350">
            <w:pPr>
              <w:rPr>
                <w:rFonts w:cs="Times New Roman"/>
                <w:sz w:val="20"/>
                <w:szCs w:val="20"/>
              </w:rPr>
            </w:pPr>
          </w:p>
        </w:tc>
        <w:tc>
          <w:tcPr>
            <w:tcW w:w="671" w:type="dxa"/>
            <w:tcBorders>
              <w:top w:val="single" w:sz="4" w:space="0" w:color="auto"/>
              <w:left w:val="nil"/>
              <w:bottom w:val="single" w:sz="4" w:space="0" w:color="auto"/>
              <w:right w:val="nil"/>
            </w:tcBorders>
          </w:tcPr>
          <w:p w:rsidR="00B46350" w:rsidRPr="00CA4E8C" w:rsidRDefault="00B46350" w:rsidP="00B46350">
            <w:pPr>
              <w:rPr>
                <w:rFonts w:cs="Times New Roman"/>
                <w:sz w:val="20"/>
                <w:szCs w:val="20"/>
              </w:rPr>
            </w:pPr>
          </w:p>
        </w:tc>
        <w:tc>
          <w:tcPr>
            <w:tcW w:w="855" w:type="dxa"/>
            <w:tcBorders>
              <w:top w:val="single" w:sz="4" w:space="0" w:color="auto"/>
              <w:left w:val="nil"/>
              <w:bottom w:val="single" w:sz="4" w:space="0" w:color="auto"/>
              <w:right w:val="nil"/>
            </w:tcBorders>
          </w:tcPr>
          <w:p w:rsidR="00B46350" w:rsidRPr="00CA4E8C" w:rsidRDefault="00B46350" w:rsidP="00B46350">
            <w:pPr>
              <w:rPr>
                <w:rFonts w:cs="Times New Roman"/>
                <w:sz w:val="20"/>
                <w:szCs w:val="20"/>
              </w:rPr>
            </w:pPr>
          </w:p>
        </w:tc>
        <w:tc>
          <w:tcPr>
            <w:tcW w:w="8505" w:type="dxa"/>
            <w:gridSpan w:val="10"/>
            <w:tcBorders>
              <w:top w:val="single" w:sz="4" w:space="0" w:color="auto"/>
              <w:left w:val="nil"/>
              <w:bottom w:val="single" w:sz="4" w:space="0" w:color="auto"/>
              <w:right w:val="nil"/>
            </w:tcBorders>
          </w:tcPr>
          <w:p w:rsidR="00B46350" w:rsidRDefault="00B46350" w:rsidP="00B46350">
            <w:pPr>
              <w:jc w:val="center"/>
              <w:rPr>
                <w:rFonts w:cs="Times New Roman"/>
                <w:sz w:val="20"/>
                <w:szCs w:val="20"/>
              </w:rPr>
            </w:pPr>
            <w:r>
              <w:rPr>
                <w:rFonts w:cs="Times New Roman"/>
                <w:sz w:val="20"/>
                <w:szCs w:val="20"/>
              </w:rPr>
              <w:t>Principal component score mean and (±SE) per habitat</w:t>
            </w:r>
          </w:p>
        </w:tc>
      </w:tr>
      <w:tr w:rsidR="00B46350" w:rsidRPr="00CA4E8C" w:rsidTr="00B46350">
        <w:tc>
          <w:tcPr>
            <w:tcW w:w="1134" w:type="dxa"/>
            <w:tcBorders>
              <w:top w:val="single" w:sz="4" w:space="0" w:color="auto"/>
              <w:left w:val="nil"/>
              <w:bottom w:val="single" w:sz="4" w:space="0" w:color="auto"/>
              <w:right w:val="nil"/>
            </w:tcBorders>
          </w:tcPr>
          <w:p w:rsidR="00B46350" w:rsidRDefault="00B46350" w:rsidP="00B46350">
            <w:pPr>
              <w:jc w:val="center"/>
              <w:rPr>
                <w:rFonts w:cs="Times New Roman"/>
                <w:sz w:val="20"/>
                <w:szCs w:val="20"/>
              </w:rPr>
            </w:pPr>
            <w:r>
              <w:rPr>
                <w:rFonts w:cs="Times New Roman"/>
                <w:sz w:val="20"/>
                <w:szCs w:val="20"/>
              </w:rPr>
              <w:t>Data</w:t>
            </w:r>
          </w:p>
          <w:p w:rsidR="00B46350" w:rsidRPr="00CA4E8C" w:rsidRDefault="00B46350" w:rsidP="00B46350">
            <w:pPr>
              <w:jc w:val="center"/>
              <w:rPr>
                <w:rFonts w:cs="Times New Roman"/>
                <w:sz w:val="20"/>
                <w:szCs w:val="20"/>
              </w:rPr>
            </w:pPr>
          </w:p>
        </w:tc>
        <w:tc>
          <w:tcPr>
            <w:tcW w:w="567" w:type="dxa"/>
            <w:tcBorders>
              <w:top w:val="single" w:sz="4" w:space="0" w:color="auto"/>
              <w:left w:val="nil"/>
              <w:bottom w:val="single" w:sz="4" w:space="0" w:color="auto"/>
              <w:right w:val="nil"/>
            </w:tcBorders>
          </w:tcPr>
          <w:p w:rsidR="00B46350" w:rsidRPr="00CA4E8C" w:rsidRDefault="00B46350" w:rsidP="00B46350">
            <w:pPr>
              <w:jc w:val="center"/>
              <w:rPr>
                <w:rFonts w:cs="Times New Roman"/>
                <w:sz w:val="20"/>
                <w:szCs w:val="20"/>
              </w:rPr>
            </w:pPr>
            <w:r>
              <w:rPr>
                <w:rFonts w:cs="Times New Roman"/>
                <w:sz w:val="20"/>
                <w:szCs w:val="20"/>
              </w:rPr>
              <w:t>PC</w:t>
            </w:r>
          </w:p>
        </w:tc>
        <w:tc>
          <w:tcPr>
            <w:tcW w:w="671" w:type="dxa"/>
            <w:tcBorders>
              <w:top w:val="single" w:sz="4" w:space="0" w:color="auto"/>
              <w:left w:val="nil"/>
              <w:bottom w:val="single" w:sz="4" w:space="0" w:color="auto"/>
              <w:right w:val="nil"/>
            </w:tcBorders>
          </w:tcPr>
          <w:p w:rsidR="00B46350" w:rsidRPr="00CA4E8C" w:rsidRDefault="00B46350" w:rsidP="00B46350">
            <w:pPr>
              <w:jc w:val="center"/>
              <w:rPr>
                <w:rFonts w:cs="Times New Roman"/>
                <w:sz w:val="20"/>
                <w:szCs w:val="20"/>
              </w:rPr>
            </w:pPr>
            <w:r w:rsidRPr="00CA4E8C">
              <w:rPr>
                <w:rFonts w:cs="Times New Roman"/>
                <w:sz w:val="20"/>
                <w:szCs w:val="20"/>
              </w:rPr>
              <w:t>F</w:t>
            </w:r>
            <w:r w:rsidRPr="00CA4E8C">
              <w:rPr>
                <w:rFonts w:cs="Times New Roman"/>
                <w:sz w:val="20"/>
                <w:szCs w:val="20"/>
                <w:vertAlign w:val="subscript"/>
              </w:rPr>
              <w:t>1,4</w:t>
            </w:r>
          </w:p>
        </w:tc>
        <w:tc>
          <w:tcPr>
            <w:tcW w:w="855" w:type="dxa"/>
            <w:tcBorders>
              <w:top w:val="single" w:sz="4" w:space="0" w:color="auto"/>
              <w:left w:val="nil"/>
              <w:bottom w:val="single" w:sz="4" w:space="0" w:color="auto"/>
              <w:right w:val="nil"/>
            </w:tcBorders>
          </w:tcPr>
          <w:p w:rsidR="00B46350" w:rsidRPr="00CA4E8C" w:rsidRDefault="00B46350" w:rsidP="00B46350">
            <w:pPr>
              <w:jc w:val="center"/>
              <w:rPr>
                <w:rFonts w:cs="Times New Roman"/>
                <w:sz w:val="20"/>
                <w:szCs w:val="20"/>
              </w:rPr>
            </w:pPr>
            <w:r w:rsidRPr="00CA4E8C">
              <w:rPr>
                <w:rFonts w:cs="Times New Roman"/>
                <w:sz w:val="20"/>
                <w:szCs w:val="20"/>
              </w:rPr>
              <w:t>P</w:t>
            </w:r>
          </w:p>
        </w:tc>
        <w:tc>
          <w:tcPr>
            <w:tcW w:w="1701" w:type="dxa"/>
            <w:gridSpan w:val="2"/>
            <w:tcBorders>
              <w:top w:val="single" w:sz="4" w:space="0" w:color="auto"/>
              <w:left w:val="nil"/>
              <w:bottom w:val="single" w:sz="4" w:space="0" w:color="auto"/>
              <w:right w:val="nil"/>
            </w:tcBorders>
          </w:tcPr>
          <w:p w:rsidR="00B46350" w:rsidRPr="00CA4E8C" w:rsidRDefault="00B46350" w:rsidP="00B46350">
            <w:pPr>
              <w:jc w:val="center"/>
              <w:rPr>
                <w:rFonts w:cs="Times New Roman"/>
                <w:sz w:val="20"/>
                <w:szCs w:val="20"/>
              </w:rPr>
            </w:pPr>
            <w:r w:rsidRPr="00CA4E8C">
              <w:rPr>
                <w:rFonts w:cs="Times New Roman"/>
                <w:sz w:val="20"/>
                <w:szCs w:val="20"/>
              </w:rPr>
              <w:t>Arable</w:t>
            </w:r>
          </w:p>
        </w:tc>
        <w:tc>
          <w:tcPr>
            <w:tcW w:w="1701" w:type="dxa"/>
            <w:gridSpan w:val="2"/>
            <w:tcBorders>
              <w:top w:val="single" w:sz="4" w:space="0" w:color="auto"/>
              <w:left w:val="nil"/>
              <w:bottom w:val="single" w:sz="4" w:space="0" w:color="auto"/>
              <w:right w:val="nil"/>
            </w:tcBorders>
          </w:tcPr>
          <w:p w:rsidR="00B46350" w:rsidRPr="00CA4E8C" w:rsidRDefault="00B46350" w:rsidP="00B46350">
            <w:pPr>
              <w:jc w:val="center"/>
              <w:rPr>
                <w:rFonts w:cs="Times New Roman"/>
                <w:sz w:val="20"/>
                <w:szCs w:val="20"/>
              </w:rPr>
            </w:pPr>
            <w:r>
              <w:rPr>
                <w:rFonts w:cs="Times New Roman"/>
                <w:sz w:val="20"/>
                <w:szCs w:val="20"/>
              </w:rPr>
              <w:t>Conventional B</w:t>
            </w:r>
            <w:r w:rsidRPr="00CA4E8C">
              <w:rPr>
                <w:rFonts w:cs="Times New Roman"/>
                <w:sz w:val="20"/>
                <w:szCs w:val="20"/>
              </w:rPr>
              <w:t>ush</w:t>
            </w:r>
            <w:r>
              <w:rPr>
                <w:rFonts w:cs="Times New Roman"/>
                <w:sz w:val="20"/>
                <w:szCs w:val="20"/>
              </w:rPr>
              <w:t xml:space="preserve"> orchard</w:t>
            </w:r>
          </w:p>
        </w:tc>
        <w:tc>
          <w:tcPr>
            <w:tcW w:w="1701" w:type="dxa"/>
            <w:gridSpan w:val="2"/>
            <w:tcBorders>
              <w:top w:val="single" w:sz="4" w:space="0" w:color="auto"/>
              <w:left w:val="nil"/>
              <w:bottom w:val="single" w:sz="4" w:space="0" w:color="auto"/>
              <w:right w:val="nil"/>
            </w:tcBorders>
          </w:tcPr>
          <w:p w:rsidR="00B46350" w:rsidRPr="00CA4E8C" w:rsidRDefault="00B46350" w:rsidP="00B46350">
            <w:pPr>
              <w:jc w:val="center"/>
              <w:rPr>
                <w:rFonts w:cs="Times New Roman"/>
                <w:sz w:val="20"/>
                <w:szCs w:val="20"/>
              </w:rPr>
            </w:pPr>
            <w:r w:rsidRPr="00CA4E8C">
              <w:rPr>
                <w:rFonts w:cs="Times New Roman"/>
                <w:sz w:val="20"/>
                <w:szCs w:val="20"/>
              </w:rPr>
              <w:t>Conventional Standard</w:t>
            </w:r>
            <w:r>
              <w:rPr>
                <w:rFonts w:cs="Times New Roman"/>
                <w:sz w:val="20"/>
                <w:szCs w:val="20"/>
              </w:rPr>
              <w:t xml:space="preserve"> Orchard</w:t>
            </w:r>
          </w:p>
        </w:tc>
        <w:tc>
          <w:tcPr>
            <w:tcW w:w="1701" w:type="dxa"/>
            <w:gridSpan w:val="2"/>
            <w:tcBorders>
              <w:top w:val="single" w:sz="4" w:space="0" w:color="auto"/>
              <w:left w:val="nil"/>
              <w:bottom w:val="single" w:sz="4" w:space="0" w:color="auto"/>
              <w:right w:val="nil"/>
            </w:tcBorders>
          </w:tcPr>
          <w:p w:rsidR="00B46350" w:rsidRPr="00CA4E8C" w:rsidRDefault="00B46350" w:rsidP="00B46350">
            <w:pPr>
              <w:jc w:val="center"/>
              <w:rPr>
                <w:rFonts w:cs="Times New Roman"/>
                <w:sz w:val="20"/>
                <w:szCs w:val="20"/>
              </w:rPr>
            </w:pPr>
            <w:r w:rsidRPr="00CA4E8C">
              <w:rPr>
                <w:rFonts w:cs="Times New Roman"/>
                <w:sz w:val="20"/>
                <w:szCs w:val="20"/>
              </w:rPr>
              <w:t>Organic Standard</w:t>
            </w:r>
            <w:r>
              <w:rPr>
                <w:rFonts w:cs="Times New Roman"/>
                <w:sz w:val="20"/>
                <w:szCs w:val="20"/>
              </w:rPr>
              <w:t xml:space="preserve"> Orchard</w:t>
            </w:r>
          </w:p>
        </w:tc>
        <w:tc>
          <w:tcPr>
            <w:tcW w:w="1701" w:type="dxa"/>
            <w:gridSpan w:val="2"/>
            <w:tcBorders>
              <w:top w:val="single" w:sz="4" w:space="0" w:color="auto"/>
              <w:left w:val="nil"/>
              <w:bottom w:val="single" w:sz="4" w:space="0" w:color="auto"/>
              <w:right w:val="nil"/>
            </w:tcBorders>
          </w:tcPr>
          <w:p w:rsidR="00B46350" w:rsidRPr="00CA4E8C" w:rsidRDefault="00B46350" w:rsidP="00B46350">
            <w:pPr>
              <w:jc w:val="center"/>
              <w:rPr>
                <w:rFonts w:cs="Times New Roman"/>
                <w:sz w:val="20"/>
                <w:szCs w:val="20"/>
              </w:rPr>
            </w:pPr>
            <w:r w:rsidRPr="00CA4E8C">
              <w:rPr>
                <w:rFonts w:cs="Times New Roman"/>
                <w:sz w:val="20"/>
                <w:szCs w:val="20"/>
              </w:rPr>
              <w:t>Woodland</w:t>
            </w:r>
          </w:p>
        </w:tc>
      </w:tr>
      <w:tr w:rsidR="00B46350" w:rsidRPr="00CA4E8C" w:rsidTr="00B46350">
        <w:trPr>
          <w:trHeight w:val="152"/>
        </w:trPr>
        <w:tc>
          <w:tcPr>
            <w:tcW w:w="1134" w:type="dxa"/>
            <w:vMerge w:val="restart"/>
            <w:tcBorders>
              <w:top w:val="single" w:sz="4" w:space="0" w:color="auto"/>
              <w:left w:val="nil"/>
              <w:bottom w:val="nil"/>
              <w:right w:val="nil"/>
            </w:tcBorders>
          </w:tcPr>
          <w:p w:rsidR="00B46350" w:rsidRPr="00CA4E8C" w:rsidRDefault="00B46350" w:rsidP="00B46350">
            <w:pPr>
              <w:rPr>
                <w:rFonts w:cs="Times New Roman"/>
                <w:sz w:val="20"/>
                <w:szCs w:val="20"/>
              </w:rPr>
            </w:pPr>
            <w:r>
              <w:rPr>
                <w:rFonts w:cs="Times New Roman"/>
                <w:sz w:val="20"/>
                <w:szCs w:val="20"/>
              </w:rPr>
              <w:t xml:space="preserve">OTU </w:t>
            </w:r>
            <w:r w:rsidRPr="00CA4E8C">
              <w:rPr>
                <w:rFonts w:cs="Times New Roman"/>
                <w:sz w:val="20"/>
                <w:szCs w:val="20"/>
              </w:rPr>
              <w:t>Relative abundance</w:t>
            </w:r>
          </w:p>
        </w:tc>
        <w:tc>
          <w:tcPr>
            <w:tcW w:w="567" w:type="dxa"/>
            <w:tcBorders>
              <w:top w:val="single" w:sz="4" w:space="0" w:color="auto"/>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1</w:t>
            </w:r>
          </w:p>
        </w:tc>
        <w:tc>
          <w:tcPr>
            <w:tcW w:w="671" w:type="dxa"/>
            <w:tcBorders>
              <w:top w:val="single" w:sz="4" w:space="0" w:color="auto"/>
              <w:left w:val="nil"/>
              <w:bottom w:val="nil"/>
              <w:right w:val="nil"/>
            </w:tcBorders>
          </w:tcPr>
          <w:p w:rsidR="00B46350" w:rsidRPr="00CA4E8C" w:rsidRDefault="00B46350" w:rsidP="00B46350">
            <w:pPr>
              <w:rPr>
                <w:rFonts w:cs="Times New Roman"/>
                <w:sz w:val="20"/>
                <w:szCs w:val="20"/>
              </w:rPr>
            </w:pPr>
            <w:r>
              <w:rPr>
                <w:rFonts w:cs="Times New Roman"/>
                <w:sz w:val="20"/>
                <w:szCs w:val="20"/>
              </w:rPr>
              <w:t>8.87</w:t>
            </w:r>
          </w:p>
        </w:tc>
        <w:tc>
          <w:tcPr>
            <w:tcW w:w="855" w:type="dxa"/>
            <w:tcBorders>
              <w:top w:val="single" w:sz="4" w:space="0" w:color="auto"/>
              <w:left w:val="nil"/>
              <w:bottom w:val="nil"/>
              <w:right w:val="nil"/>
            </w:tcBorders>
          </w:tcPr>
          <w:p w:rsidR="00B46350" w:rsidRPr="00CA4E8C" w:rsidRDefault="00B46350" w:rsidP="00B46350">
            <w:pPr>
              <w:jc w:val="right"/>
              <w:rPr>
                <w:rFonts w:cs="Times New Roman"/>
                <w:sz w:val="20"/>
                <w:szCs w:val="20"/>
              </w:rPr>
            </w:pPr>
            <w:r>
              <w:rPr>
                <w:rFonts w:cs="Times New Roman"/>
                <w:sz w:val="20"/>
                <w:szCs w:val="20"/>
              </w:rPr>
              <w:t>&lt;0.001</w:t>
            </w:r>
          </w:p>
        </w:tc>
        <w:tc>
          <w:tcPr>
            <w:tcW w:w="992" w:type="dxa"/>
            <w:tcBorders>
              <w:top w:val="single" w:sz="4" w:space="0" w:color="auto"/>
              <w:left w:val="nil"/>
              <w:bottom w:val="nil"/>
              <w:right w:val="nil"/>
            </w:tcBorders>
          </w:tcPr>
          <w:p w:rsidR="00B46350" w:rsidRPr="001A7645" w:rsidRDefault="00B46350" w:rsidP="00B46350">
            <w:pPr>
              <w:jc w:val="center"/>
              <w:rPr>
                <w:rFonts w:cs="Times New Roman"/>
                <w:sz w:val="20"/>
                <w:szCs w:val="20"/>
              </w:rPr>
            </w:pPr>
            <w:r>
              <w:rPr>
                <w:rFonts w:cs="Times New Roman"/>
                <w:sz w:val="20"/>
                <w:szCs w:val="20"/>
              </w:rPr>
              <w:t>10.85</w:t>
            </w:r>
            <w:r w:rsidRPr="008E36F8">
              <w:rPr>
                <w:rFonts w:cs="Times New Roman"/>
                <w:sz w:val="20"/>
                <w:szCs w:val="20"/>
                <w:vertAlign w:val="superscript"/>
              </w:rPr>
              <w:t>C</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(2.88)</w:t>
            </w:r>
          </w:p>
        </w:tc>
        <w:tc>
          <w:tcPr>
            <w:tcW w:w="992" w:type="dxa"/>
            <w:tcBorders>
              <w:top w:val="single" w:sz="4" w:space="0" w:color="auto"/>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-10.40</w:t>
            </w:r>
            <w:r w:rsidRPr="001A7645">
              <w:rPr>
                <w:rFonts w:cs="Times New Roman"/>
                <w:sz w:val="20"/>
                <w:szCs w:val="20"/>
                <w:vertAlign w:val="superscript"/>
              </w:rPr>
              <w:t>A</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sidRPr="009870CA">
              <w:rPr>
                <w:rFonts w:cs="Times New Roman"/>
                <w:sz w:val="20"/>
                <w:szCs w:val="20"/>
              </w:rPr>
              <w:t>(4.95)</w:t>
            </w:r>
          </w:p>
        </w:tc>
        <w:tc>
          <w:tcPr>
            <w:tcW w:w="992" w:type="dxa"/>
            <w:tcBorders>
              <w:top w:val="single" w:sz="4" w:space="0" w:color="auto"/>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6.20</w:t>
            </w:r>
            <w:r w:rsidRPr="001A7645">
              <w:rPr>
                <w:rFonts w:cs="Times New Roman"/>
                <w:sz w:val="20"/>
                <w:szCs w:val="20"/>
                <w:vertAlign w:val="superscript"/>
              </w:rPr>
              <w:t>BC</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(1</w:t>
            </w:r>
            <w:r w:rsidRPr="001A7645">
              <w:rPr>
                <w:rFonts w:cs="Times New Roman"/>
                <w:sz w:val="20"/>
                <w:szCs w:val="20"/>
              </w:rPr>
              <w:t>.88</w:t>
            </w:r>
            <w:r>
              <w:rPr>
                <w:rFonts w:cs="Times New Roman"/>
                <w:sz w:val="20"/>
                <w:szCs w:val="20"/>
              </w:rPr>
              <w:t>)</w:t>
            </w:r>
          </w:p>
        </w:tc>
        <w:tc>
          <w:tcPr>
            <w:tcW w:w="992" w:type="dxa"/>
            <w:tcBorders>
              <w:top w:val="single" w:sz="4" w:space="0" w:color="auto"/>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-4.72</w:t>
            </w:r>
            <w:r w:rsidRPr="001A7645">
              <w:rPr>
                <w:rFonts w:cs="Times New Roman"/>
                <w:sz w:val="20"/>
                <w:szCs w:val="20"/>
                <w:vertAlign w:val="superscript"/>
              </w:rPr>
              <w:t>AB</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sidRPr="001A7645">
              <w:rPr>
                <w:rFonts w:cs="Times New Roman"/>
                <w:sz w:val="20"/>
                <w:szCs w:val="20"/>
              </w:rPr>
              <w:t>(2.90)</w:t>
            </w:r>
          </w:p>
        </w:tc>
        <w:tc>
          <w:tcPr>
            <w:tcW w:w="992" w:type="dxa"/>
            <w:tcBorders>
              <w:top w:val="single" w:sz="4" w:space="0" w:color="auto"/>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-1.92</w:t>
            </w:r>
            <w:r w:rsidRPr="001A7645">
              <w:rPr>
                <w:rFonts w:cs="Times New Roman"/>
                <w:sz w:val="20"/>
                <w:szCs w:val="20"/>
                <w:vertAlign w:val="superscript"/>
              </w:rPr>
              <w:t>AB</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sidRPr="001A7645">
              <w:rPr>
                <w:rFonts w:cs="Times New Roman"/>
                <w:sz w:val="20"/>
                <w:szCs w:val="20"/>
              </w:rPr>
              <w:t>(1.57)</w:t>
            </w:r>
          </w:p>
        </w:tc>
      </w:tr>
      <w:tr w:rsidR="00B46350" w:rsidRPr="00CA4E8C" w:rsidTr="00B46350">
        <w:tc>
          <w:tcPr>
            <w:tcW w:w="1134" w:type="dxa"/>
            <w:vMerge/>
            <w:tcBorders>
              <w:top w:val="nil"/>
              <w:left w:val="nil"/>
              <w:bottom w:val="nil"/>
              <w:right w:val="nil"/>
            </w:tcBorders>
          </w:tcPr>
          <w:p w:rsidR="00B46350" w:rsidRPr="00CA4E8C" w:rsidRDefault="00B46350" w:rsidP="00B46350">
            <w:pPr>
              <w:rPr>
                <w:rFonts w:cs="Times New Roman"/>
                <w:sz w:val="20"/>
                <w:szCs w:val="20"/>
              </w:rPr>
            </w:pPr>
          </w:p>
        </w:tc>
        <w:tc>
          <w:tcPr>
            <w:tcW w:w="567"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2</w:t>
            </w:r>
          </w:p>
        </w:tc>
        <w:tc>
          <w:tcPr>
            <w:tcW w:w="671" w:type="dxa"/>
            <w:tcBorders>
              <w:top w:val="nil"/>
              <w:left w:val="nil"/>
              <w:bottom w:val="nil"/>
              <w:right w:val="nil"/>
            </w:tcBorders>
          </w:tcPr>
          <w:p w:rsidR="00B46350" w:rsidRPr="00CA4E8C" w:rsidRDefault="00B46350" w:rsidP="00B46350">
            <w:pPr>
              <w:rPr>
                <w:rFonts w:cs="Times New Roman"/>
                <w:sz w:val="20"/>
                <w:szCs w:val="20"/>
              </w:rPr>
            </w:pPr>
            <w:r>
              <w:rPr>
                <w:rFonts w:cs="Times New Roman"/>
                <w:sz w:val="20"/>
                <w:szCs w:val="20"/>
              </w:rPr>
              <w:t>11.23</w:t>
            </w:r>
          </w:p>
        </w:tc>
        <w:tc>
          <w:tcPr>
            <w:tcW w:w="855" w:type="dxa"/>
            <w:tcBorders>
              <w:top w:val="nil"/>
              <w:left w:val="nil"/>
              <w:bottom w:val="nil"/>
              <w:right w:val="nil"/>
            </w:tcBorders>
          </w:tcPr>
          <w:p w:rsidR="00B46350" w:rsidRPr="00CA4E8C" w:rsidRDefault="00B46350" w:rsidP="00B46350">
            <w:pPr>
              <w:jc w:val="right"/>
              <w:rPr>
                <w:rFonts w:cs="Times New Roman"/>
                <w:sz w:val="20"/>
                <w:szCs w:val="20"/>
              </w:rPr>
            </w:pPr>
            <w:r>
              <w:rPr>
                <w:rFonts w:cs="Times New Roman"/>
                <w:sz w:val="20"/>
                <w:szCs w:val="20"/>
              </w:rPr>
              <w:t>&lt;0.001</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-5.14</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(2.97)</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-7.90</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(3.44)</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0.06</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(2.54)</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-0.78</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(2.18)</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13.78</w:t>
            </w:r>
            <w:r>
              <w:rPr>
                <w:rFonts w:cs="Times New Roman"/>
                <w:sz w:val="20"/>
                <w:szCs w:val="20"/>
                <w:vertAlign w:val="superscript"/>
              </w:rPr>
              <w:t>B</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(1.77)</w:t>
            </w:r>
          </w:p>
        </w:tc>
      </w:tr>
      <w:tr w:rsidR="00B46350" w:rsidRPr="00CA4E8C" w:rsidTr="00B46350">
        <w:tc>
          <w:tcPr>
            <w:tcW w:w="1134" w:type="dxa"/>
            <w:vMerge/>
            <w:tcBorders>
              <w:top w:val="nil"/>
              <w:left w:val="nil"/>
              <w:bottom w:val="nil"/>
              <w:right w:val="nil"/>
            </w:tcBorders>
          </w:tcPr>
          <w:p w:rsidR="00B46350" w:rsidRPr="00CA4E8C" w:rsidRDefault="00B46350" w:rsidP="00B46350">
            <w:pPr>
              <w:rPr>
                <w:rFonts w:cs="Times New Roman"/>
                <w:sz w:val="20"/>
                <w:szCs w:val="20"/>
              </w:rPr>
            </w:pPr>
          </w:p>
        </w:tc>
        <w:tc>
          <w:tcPr>
            <w:tcW w:w="567"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4</w:t>
            </w:r>
          </w:p>
        </w:tc>
        <w:tc>
          <w:tcPr>
            <w:tcW w:w="671" w:type="dxa"/>
            <w:tcBorders>
              <w:top w:val="nil"/>
              <w:left w:val="nil"/>
              <w:bottom w:val="nil"/>
              <w:right w:val="nil"/>
            </w:tcBorders>
          </w:tcPr>
          <w:p w:rsidR="00B46350" w:rsidRPr="00CA4E8C" w:rsidRDefault="00B46350" w:rsidP="00B46350">
            <w:pPr>
              <w:rPr>
                <w:rFonts w:cs="Times New Roman"/>
                <w:sz w:val="20"/>
                <w:szCs w:val="20"/>
              </w:rPr>
            </w:pPr>
            <w:r>
              <w:rPr>
                <w:rFonts w:cs="Times New Roman"/>
                <w:sz w:val="20"/>
                <w:szCs w:val="20"/>
              </w:rPr>
              <w:t>4.05</w:t>
            </w:r>
          </w:p>
        </w:tc>
        <w:tc>
          <w:tcPr>
            <w:tcW w:w="855" w:type="dxa"/>
            <w:tcBorders>
              <w:top w:val="nil"/>
              <w:left w:val="nil"/>
              <w:bottom w:val="nil"/>
              <w:right w:val="nil"/>
            </w:tcBorders>
          </w:tcPr>
          <w:p w:rsidR="00B46350" w:rsidRPr="00CA4E8C" w:rsidRDefault="00B46350" w:rsidP="00B46350">
            <w:pPr>
              <w:jc w:val="right"/>
              <w:rPr>
                <w:rFonts w:cs="Times New Roman"/>
                <w:sz w:val="20"/>
                <w:szCs w:val="20"/>
              </w:rPr>
            </w:pPr>
            <w:r>
              <w:rPr>
                <w:rFonts w:cs="Times New Roman"/>
                <w:sz w:val="20"/>
                <w:szCs w:val="20"/>
              </w:rPr>
              <w:t>0.005</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-3.63</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(2.55)</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-1.67</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(2.10)</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-3.00</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(3.00)</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-0.34</w:t>
            </w:r>
            <w:r>
              <w:rPr>
                <w:rFonts w:cs="Times New Roman"/>
                <w:sz w:val="20"/>
                <w:szCs w:val="20"/>
                <w:vertAlign w:val="superscript"/>
              </w:rPr>
              <w:t>AB</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(1.77)</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8.65</w:t>
            </w:r>
            <w:r>
              <w:rPr>
                <w:rFonts w:cs="Times New Roman"/>
                <w:sz w:val="20"/>
                <w:szCs w:val="20"/>
                <w:vertAlign w:val="superscript"/>
              </w:rPr>
              <w:t>B</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(2.06)</w:t>
            </w:r>
          </w:p>
        </w:tc>
      </w:tr>
      <w:tr w:rsidR="00B46350" w:rsidRPr="00CA4E8C" w:rsidTr="00B46350">
        <w:tc>
          <w:tcPr>
            <w:tcW w:w="1134" w:type="dxa"/>
            <w:vMerge/>
            <w:tcBorders>
              <w:top w:val="nil"/>
              <w:left w:val="nil"/>
              <w:bottom w:val="nil"/>
              <w:right w:val="nil"/>
            </w:tcBorders>
          </w:tcPr>
          <w:p w:rsidR="00B46350" w:rsidRPr="00CA4E8C" w:rsidRDefault="00B46350" w:rsidP="00B46350">
            <w:pPr>
              <w:rPr>
                <w:rFonts w:cs="Times New Roman"/>
                <w:sz w:val="20"/>
                <w:szCs w:val="20"/>
              </w:rPr>
            </w:pPr>
          </w:p>
        </w:tc>
        <w:tc>
          <w:tcPr>
            <w:tcW w:w="567"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5</w:t>
            </w:r>
          </w:p>
        </w:tc>
        <w:tc>
          <w:tcPr>
            <w:tcW w:w="671" w:type="dxa"/>
            <w:tcBorders>
              <w:top w:val="nil"/>
              <w:left w:val="nil"/>
              <w:bottom w:val="nil"/>
              <w:right w:val="nil"/>
            </w:tcBorders>
          </w:tcPr>
          <w:p w:rsidR="00B46350" w:rsidRPr="00CA4E8C" w:rsidRDefault="00B46350" w:rsidP="00B46350">
            <w:pPr>
              <w:rPr>
                <w:rFonts w:cs="Times New Roman"/>
                <w:sz w:val="20"/>
                <w:szCs w:val="20"/>
              </w:rPr>
            </w:pPr>
            <w:r>
              <w:rPr>
                <w:rFonts w:cs="Times New Roman"/>
                <w:sz w:val="20"/>
                <w:szCs w:val="20"/>
              </w:rPr>
              <w:t>3.09</w:t>
            </w:r>
          </w:p>
        </w:tc>
        <w:tc>
          <w:tcPr>
            <w:tcW w:w="855" w:type="dxa"/>
            <w:tcBorders>
              <w:top w:val="nil"/>
              <w:left w:val="nil"/>
              <w:bottom w:val="nil"/>
              <w:right w:val="nil"/>
            </w:tcBorders>
          </w:tcPr>
          <w:p w:rsidR="00B46350" w:rsidRPr="00CA4E8C" w:rsidRDefault="00B46350" w:rsidP="00B46350">
            <w:pPr>
              <w:jc w:val="right"/>
              <w:rPr>
                <w:rFonts w:cs="Times New Roman"/>
                <w:sz w:val="20"/>
                <w:szCs w:val="20"/>
              </w:rPr>
            </w:pPr>
            <w:r>
              <w:rPr>
                <w:rFonts w:cs="Times New Roman"/>
                <w:sz w:val="20"/>
                <w:szCs w:val="20"/>
              </w:rPr>
              <w:t>0.021</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-4.49</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(4.00)</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0.77</w:t>
            </w:r>
            <w:r w:rsidRPr="001A7645">
              <w:rPr>
                <w:rFonts w:cs="Times New Roman"/>
                <w:sz w:val="20"/>
                <w:szCs w:val="20"/>
                <w:vertAlign w:val="superscript"/>
              </w:rPr>
              <w:t>A</w:t>
            </w:r>
            <w:r>
              <w:rPr>
                <w:rFonts w:cs="Times New Roman"/>
                <w:sz w:val="20"/>
                <w:szCs w:val="20"/>
                <w:vertAlign w:val="superscript"/>
              </w:rPr>
              <w:t>B</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(1.59)</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0.00</w:t>
            </w:r>
            <w:r w:rsidRPr="001A7645">
              <w:rPr>
                <w:rFonts w:cs="Times New Roman"/>
                <w:sz w:val="20"/>
                <w:szCs w:val="20"/>
                <w:vertAlign w:val="superscript"/>
              </w:rPr>
              <w:t xml:space="preserve"> A</w:t>
            </w:r>
            <w:r>
              <w:rPr>
                <w:rFonts w:cs="Times New Roman"/>
                <w:sz w:val="20"/>
                <w:szCs w:val="20"/>
                <w:vertAlign w:val="superscript"/>
              </w:rPr>
              <w:t>B</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(0.08)</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-1.98</w:t>
            </w:r>
            <w:r w:rsidRPr="001A7645">
              <w:rPr>
                <w:rFonts w:cs="Times New Roman"/>
                <w:sz w:val="20"/>
                <w:szCs w:val="20"/>
                <w:vertAlign w:val="superscript"/>
              </w:rPr>
              <w:t>A</w:t>
            </w:r>
            <w:r>
              <w:rPr>
                <w:rFonts w:cs="Times New Roman"/>
                <w:sz w:val="20"/>
                <w:szCs w:val="20"/>
                <w:vertAlign w:val="superscript"/>
              </w:rPr>
              <w:t>B</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(1.44)</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5.70</w:t>
            </w:r>
            <w:r w:rsidRPr="001A7645">
              <w:rPr>
                <w:rFonts w:cs="Times New Roman"/>
                <w:sz w:val="20"/>
                <w:szCs w:val="20"/>
                <w:vertAlign w:val="superscript"/>
              </w:rPr>
              <w:t xml:space="preserve"> </w:t>
            </w:r>
            <w:r>
              <w:rPr>
                <w:rFonts w:cs="Times New Roman"/>
                <w:sz w:val="20"/>
                <w:szCs w:val="20"/>
                <w:vertAlign w:val="superscript"/>
              </w:rPr>
              <w:t>B</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(1.39)</w:t>
            </w:r>
          </w:p>
        </w:tc>
      </w:tr>
      <w:tr w:rsidR="00B46350" w:rsidRPr="00CA4E8C" w:rsidTr="00B46350">
        <w:tc>
          <w:tcPr>
            <w:tcW w:w="1134" w:type="dxa"/>
            <w:vMerge/>
            <w:tcBorders>
              <w:top w:val="nil"/>
              <w:left w:val="nil"/>
              <w:bottom w:val="nil"/>
              <w:right w:val="nil"/>
            </w:tcBorders>
          </w:tcPr>
          <w:p w:rsidR="00B46350" w:rsidRPr="00CA4E8C" w:rsidRDefault="00B46350" w:rsidP="00B46350">
            <w:pPr>
              <w:rPr>
                <w:rFonts w:cs="Times New Roman"/>
                <w:sz w:val="20"/>
                <w:szCs w:val="20"/>
              </w:rPr>
            </w:pPr>
          </w:p>
        </w:tc>
        <w:tc>
          <w:tcPr>
            <w:tcW w:w="567"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6</w:t>
            </w:r>
          </w:p>
        </w:tc>
        <w:tc>
          <w:tcPr>
            <w:tcW w:w="671" w:type="dxa"/>
            <w:tcBorders>
              <w:top w:val="nil"/>
              <w:left w:val="nil"/>
              <w:bottom w:val="nil"/>
              <w:right w:val="nil"/>
            </w:tcBorders>
          </w:tcPr>
          <w:p w:rsidR="00B46350" w:rsidRPr="00CA4E8C" w:rsidRDefault="00B46350" w:rsidP="00B46350">
            <w:pPr>
              <w:rPr>
                <w:rFonts w:cs="Times New Roman"/>
                <w:sz w:val="20"/>
                <w:szCs w:val="20"/>
              </w:rPr>
            </w:pPr>
            <w:r>
              <w:rPr>
                <w:rFonts w:cs="Times New Roman"/>
                <w:sz w:val="20"/>
                <w:szCs w:val="20"/>
              </w:rPr>
              <w:t>6.34</w:t>
            </w:r>
          </w:p>
        </w:tc>
        <w:tc>
          <w:tcPr>
            <w:tcW w:w="855" w:type="dxa"/>
            <w:tcBorders>
              <w:top w:val="nil"/>
              <w:left w:val="nil"/>
              <w:bottom w:val="nil"/>
              <w:right w:val="nil"/>
            </w:tcBorders>
          </w:tcPr>
          <w:p w:rsidR="00B46350" w:rsidRPr="00CA4E8C" w:rsidRDefault="00B46350" w:rsidP="00B46350">
            <w:pPr>
              <w:jc w:val="right"/>
              <w:rPr>
                <w:rFonts w:cs="Times New Roman"/>
                <w:sz w:val="20"/>
                <w:szCs w:val="20"/>
              </w:rPr>
            </w:pPr>
            <w:r>
              <w:rPr>
                <w:rFonts w:cs="Times New Roman"/>
                <w:sz w:val="20"/>
                <w:szCs w:val="20"/>
              </w:rPr>
              <w:t>&lt;0.001</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-7.66</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(1.91)</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4.55</w:t>
            </w:r>
            <w:r w:rsidRPr="009136BA">
              <w:rPr>
                <w:rFonts w:cs="Times New Roman"/>
                <w:sz w:val="20"/>
                <w:szCs w:val="20"/>
                <w:vertAlign w:val="superscript"/>
              </w:rPr>
              <w:t>B</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(2.40)</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3.85</w:t>
            </w:r>
            <w:r w:rsidRPr="001A7645">
              <w:rPr>
                <w:rFonts w:cs="Times New Roman"/>
                <w:sz w:val="20"/>
                <w:szCs w:val="20"/>
                <w:vertAlign w:val="superscript"/>
              </w:rPr>
              <w:t xml:space="preserve"> </w:t>
            </w:r>
            <w:r>
              <w:rPr>
                <w:rFonts w:cs="Times New Roman"/>
                <w:sz w:val="20"/>
                <w:szCs w:val="20"/>
                <w:vertAlign w:val="superscript"/>
              </w:rPr>
              <w:t>B</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(1.21)</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0.86</w:t>
            </w:r>
            <w:r>
              <w:rPr>
                <w:rFonts w:cs="Times New Roman"/>
                <w:sz w:val="20"/>
                <w:szCs w:val="20"/>
                <w:vertAlign w:val="superscript"/>
              </w:rPr>
              <w:t>B</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(2.11)</w:t>
            </w:r>
          </w:p>
        </w:tc>
        <w:tc>
          <w:tcPr>
            <w:tcW w:w="992" w:type="dxa"/>
            <w:tcBorders>
              <w:top w:val="nil"/>
              <w:left w:val="nil"/>
              <w:bottom w:val="nil"/>
              <w:right w:val="nil"/>
            </w:tcBorders>
          </w:tcPr>
          <w:p w:rsidR="00B46350" w:rsidRPr="00CA4E8C" w:rsidRDefault="00B46350" w:rsidP="00B46350">
            <w:pPr>
              <w:jc w:val="center"/>
              <w:rPr>
                <w:rFonts w:cs="Times New Roman"/>
                <w:sz w:val="20"/>
                <w:szCs w:val="20"/>
              </w:rPr>
            </w:pPr>
            <w:r>
              <w:rPr>
                <w:rFonts w:cs="Times New Roman"/>
                <w:sz w:val="20"/>
                <w:szCs w:val="20"/>
              </w:rPr>
              <w:t>-1.60</w:t>
            </w:r>
            <w:r w:rsidRPr="001A7645">
              <w:rPr>
                <w:rFonts w:cs="Times New Roman"/>
                <w:sz w:val="20"/>
                <w:szCs w:val="20"/>
                <w:vertAlign w:val="superscript"/>
              </w:rPr>
              <w:t>A</w:t>
            </w:r>
            <w:r>
              <w:rPr>
                <w:rFonts w:cs="Times New Roman"/>
                <w:sz w:val="20"/>
                <w:szCs w:val="20"/>
                <w:vertAlign w:val="superscript"/>
              </w:rPr>
              <w:t>B</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(2.09)</w:t>
            </w:r>
          </w:p>
        </w:tc>
      </w:tr>
      <w:tr w:rsidR="00B46350" w:rsidRPr="00CA4E8C" w:rsidTr="00B46350">
        <w:tc>
          <w:tcPr>
            <w:tcW w:w="1134" w:type="dxa"/>
            <w:vMerge/>
            <w:tcBorders>
              <w:top w:val="nil"/>
              <w:left w:val="nil"/>
              <w:bottom w:val="single" w:sz="4" w:space="0" w:color="auto"/>
              <w:right w:val="nil"/>
            </w:tcBorders>
          </w:tcPr>
          <w:p w:rsidR="00B46350" w:rsidRPr="00CA4E8C" w:rsidRDefault="00B46350" w:rsidP="00B46350">
            <w:pPr>
              <w:rPr>
                <w:rFonts w:cs="Times New Roman"/>
                <w:sz w:val="20"/>
                <w:szCs w:val="20"/>
              </w:rPr>
            </w:pPr>
          </w:p>
        </w:tc>
        <w:tc>
          <w:tcPr>
            <w:tcW w:w="567" w:type="dxa"/>
            <w:tcBorders>
              <w:top w:val="nil"/>
              <w:left w:val="nil"/>
              <w:bottom w:val="single" w:sz="4" w:space="0" w:color="auto"/>
              <w:right w:val="nil"/>
            </w:tcBorders>
          </w:tcPr>
          <w:p w:rsidR="00B46350" w:rsidRPr="00CA4E8C" w:rsidRDefault="00B46350" w:rsidP="00B46350">
            <w:pPr>
              <w:jc w:val="center"/>
              <w:rPr>
                <w:rFonts w:cs="Times New Roman"/>
                <w:sz w:val="20"/>
                <w:szCs w:val="20"/>
              </w:rPr>
            </w:pPr>
            <w:r>
              <w:rPr>
                <w:rFonts w:cs="Times New Roman"/>
                <w:sz w:val="20"/>
                <w:szCs w:val="20"/>
              </w:rPr>
              <w:t>9</w:t>
            </w:r>
          </w:p>
        </w:tc>
        <w:tc>
          <w:tcPr>
            <w:tcW w:w="671" w:type="dxa"/>
            <w:tcBorders>
              <w:top w:val="nil"/>
              <w:left w:val="nil"/>
              <w:bottom w:val="single" w:sz="4" w:space="0" w:color="auto"/>
              <w:right w:val="nil"/>
            </w:tcBorders>
          </w:tcPr>
          <w:p w:rsidR="00B46350" w:rsidRPr="00CA4E8C" w:rsidRDefault="00B46350" w:rsidP="00B46350">
            <w:pPr>
              <w:rPr>
                <w:rFonts w:cs="Times New Roman"/>
                <w:sz w:val="20"/>
                <w:szCs w:val="20"/>
              </w:rPr>
            </w:pPr>
            <w:r>
              <w:rPr>
                <w:rFonts w:cs="Times New Roman"/>
                <w:sz w:val="20"/>
                <w:szCs w:val="20"/>
              </w:rPr>
              <w:t>4.30</w:t>
            </w:r>
          </w:p>
        </w:tc>
        <w:tc>
          <w:tcPr>
            <w:tcW w:w="855" w:type="dxa"/>
            <w:tcBorders>
              <w:top w:val="nil"/>
              <w:left w:val="nil"/>
              <w:bottom w:val="single" w:sz="4" w:space="0" w:color="auto"/>
              <w:right w:val="nil"/>
            </w:tcBorders>
          </w:tcPr>
          <w:p w:rsidR="00B46350" w:rsidRPr="00CA4E8C" w:rsidRDefault="00B46350" w:rsidP="00B46350">
            <w:pPr>
              <w:jc w:val="right"/>
              <w:rPr>
                <w:rFonts w:cs="Times New Roman"/>
                <w:sz w:val="20"/>
                <w:szCs w:val="20"/>
              </w:rPr>
            </w:pPr>
            <w:r>
              <w:rPr>
                <w:rFonts w:cs="Times New Roman"/>
                <w:sz w:val="20"/>
                <w:szCs w:val="20"/>
              </w:rPr>
              <w:t>&lt;0.004</w:t>
            </w:r>
          </w:p>
        </w:tc>
        <w:tc>
          <w:tcPr>
            <w:tcW w:w="992" w:type="dxa"/>
            <w:tcBorders>
              <w:top w:val="nil"/>
              <w:left w:val="nil"/>
              <w:bottom w:val="single" w:sz="4" w:space="0" w:color="auto"/>
              <w:right w:val="nil"/>
            </w:tcBorders>
          </w:tcPr>
          <w:p w:rsidR="00B46350" w:rsidRPr="00CA4E8C" w:rsidRDefault="00B46350" w:rsidP="00B46350">
            <w:pPr>
              <w:jc w:val="center"/>
              <w:rPr>
                <w:rFonts w:cs="Times New Roman"/>
                <w:sz w:val="20"/>
                <w:szCs w:val="20"/>
              </w:rPr>
            </w:pPr>
            <w:r>
              <w:rPr>
                <w:rFonts w:cs="Times New Roman"/>
                <w:sz w:val="20"/>
                <w:szCs w:val="20"/>
              </w:rPr>
              <w:t>3.99</w:t>
            </w:r>
            <w:r w:rsidRPr="001A7645">
              <w:rPr>
                <w:rFonts w:cs="Times New Roman"/>
                <w:sz w:val="20"/>
                <w:szCs w:val="20"/>
                <w:vertAlign w:val="superscript"/>
              </w:rPr>
              <w:t xml:space="preserve"> </w:t>
            </w:r>
            <w:r>
              <w:rPr>
                <w:rFonts w:cs="Times New Roman"/>
                <w:sz w:val="20"/>
                <w:szCs w:val="20"/>
                <w:vertAlign w:val="superscript"/>
              </w:rPr>
              <w:t>B</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(1.49)</w:t>
            </w:r>
          </w:p>
        </w:tc>
        <w:tc>
          <w:tcPr>
            <w:tcW w:w="992" w:type="dxa"/>
            <w:tcBorders>
              <w:top w:val="nil"/>
              <w:left w:val="nil"/>
              <w:bottom w:val="single" w:sz="4" w:space="0" w:color="auto"/>
              <w:right w:val="nil"/>
            </w:tcBorders>
          </w:tcPr>
          <w:p w:rsidR="00B46350" w:rsidRPr="00CA4E8C" w:rsidRDefault="00B46350" w:rsidP="00B46350">
            <w:pPr>
              <w:jc w:val="center"/>
              <w:rPr>
                <w:rFonts w:cs="Times New Roman"/>
                <w:sz w:val="20"/>
                <w:szCs w:val="20"/>
              </w:rPr>
            </w:pPr>
            <w:r>
              <w:rPr>
                <w:rFonts w:cs="Times New Roman"/>
                <w:sz w:val="20"/>
                <w:szCs w:val="20"/>
              </w:rPr>
              <w:t>0.40</w:t>
            </w:r>
            <w:r w:rsidRPr="001A7645">
              <w:rPr>
                <w:rFonts w:cs="Times New Roman"/>
                <w:sz w:val="20"/>
                <w:szCs w:val="20"/>
                <w:vertAlign w:val="superscript"/>
              </w:rPr>
              <w:t>A</w:t>
            </w:r>
            <w:r>
              <w:rPr>
                <w:rFonts w:cs="Times New Roman"/>
                <w:sz w:val="20"/>
                <w:szCs w:val="20"/>
                <w:vertAlign w:val="superscript"/>
              </w:rPr>
              <w:t>B</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(0.90)</w:t>
            </w:r>
          </w:p>
        </w:tc>
        <w:tc>
          <w:tcPr>
            <w:tcW w:w="992" w:type="dxa"/>
            <w:tcBorders>
              <w:top w:val="nil"/>
              <w:left w:val="nil"/>
              <w:bottom w:val="single" w:sz="4" w:space="0" w:color="auto"/>
              <w:right w:val="nil"/>
            </w:tcBorders>
          </w:tcPr>
          <w:p w:rsidR="00B46350" w:rsidRPr="00CA4E8C" w:rsidRDefault="00B46350" w:rsidP="00B46350">
            <w:pPr>
              <w:jc w:val="center"/>
              <w:rPr>
                <w:rFonts w:cs="Times New Roman"/>
                <w:sz w:val="20"/>
                <w:szCs w:val="20"/>
              </w:rPr>
            </w:pPr>
            <w:r>
              <w:rPr>
                <w:rFonts w:cs="Times New Roman"/>
                <w:sz w:val="20"/>
                <w:szCs w:val="20"/>
              </w:rPr>
              <w:t>-2.95</w:t>
            </w:r>
            <w:r>
              <w:rPr>
                <w:rFonts w:cs="Times New Roman"/>
                <w:sz w:val="20"/>
                <w:szCs w:val="20"/>
                <w:vertAlign w:val="superscript"/>
              </w:rPr>
              <w:t>A</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(0.97)</w:t>
            </w:r>
          </w:p>
        </w:tc>
        <w:tc>
          <w:tcPr>
            <w:tcW w:w="992" w:type="dxa"/>
            <w:tcBorders>
              <w:top w:val="nil"/>
              <w:left w:val="nil"/>
              <w:bottom w:val="single" w:sz="4" w:space="0" w:color="auto"/>
              <w:right w:val="nil"/>
            </w:tcBorders>
          </w:tcPr>
          <w:p w:rsidR="00B46350" w:rsidRPr="00CA4E8C" w:rsidRDefault="00B46350" w:rsidP="00B46350">
            <w:pPr>
              <w:jc w:val="center"/>
              <w:rPr>
                <w:rFonts w:cs="Times New Roman"/>
                <w:sz w:val="20"/>
                <w:szCs w:val="20"/>
              </w:rPr>
            </w:pPr>
            <w:r>
              <w:rPr>
                <w:rFonts w:cs="Times New Roman"/>
                <w:sz w:val="20"/>
                <w:szCs w:val="20"/>
              </w:rPr>
              <w:t>-1.35</w:t>
            </w:r>
            <w:r w:rsidRPr="001A7645">
              <w:rPr>
                <w:rFonts w:cs="Times New Roman"/>
                <w:sz w:val="20"/>
                <w:szCs w:val="20"/>
                <w:vertAlign w:val="superscript"/>
              </w:rPr>
              <w:t>A</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(0.74)</w:t>
            </w:r>
          </w:p>
        </w:tc>
        <w:tc>
          <w:tcPr>
            <w:tcW w:w="992" w:type="dxa"/>
            <w:tcBorders>
              <w:top w:val="nil"/>
              <w:left w:val="nil"/>
              <w:bottom w:val="single" w:sz="4" w:space="0" w:color="auto"/>
              <w:right w:val="nil"/>
            </w:tcBorders>
          </w:tcPr>
          <w:p w:rsidR="00B46350" w:rsidRPr="00CA4E8C" w:rsidRDefault="00B46350" w:rsidP="00B46350">
            <w:pPr>
              <w:jc w:val="center"/>
              <w:rPr>
                <w:rFonts w:cs="Times New Roman"/>
                <w:sz w:val="20"/>
                <w:szCs w:val="20"/>
              </w:rPr>
            </w:pPr>
            <w:r>
              <w:rPr>
                <w:rFonts w:cs="Times New Roman"/>
                <w:sz w:val="20"/>
                <w:szCs w:val="20"/>
              </w:rPr>
              <w:t>-0.09</w:t>
            </w:r>
            <w:r w:rsidRPr="001A7645">
              <w:rPr>
                <w:rFonts w:cs="Times New Roman"/>
                <w:sz w:val="20"/>
                <w:szCs w:val="20"/>
                <w:vertAlign w:val="superscript"/>
              </w:rPr>
              <w:t>A</w:t>
            </w:r>
            <w:r>
              <w:rPr>
                <w:rFonts w:cs="Times New Roman"/>
                <w:sz w:val="20"/>
                <w:szCs w:val="20"/>
                <w:vertAlign w:val="superscript"/>
              </w:rPr>
              <w:t>B</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(2.27)</w:t>
            </w:r>
          </w:p>
        </w:tc>
      </w:tr>
      <w:tr w:rsidR="00B46350" w:rsidRPr="00CA4E8C" w:rsidTr="00B46350">
        <w:tc>
          <w:tcPr>
            <w:tcW w:w="1134" w:type="dxa"/>
            <w:vMerge w:val="restart"/>
            <w:tcBorders>
              <w:top w:val="single" w:sz="4" w:space="0" w:color="auto"/>
              <w:left w:val="nil"/>
              <w:bottom w:val="nil"/>
              <w:right w:val="nil"/>
            </w:tcBorders>
          </w:tcPr>
          <w:p w:rsidR="00B46350" w:rsidRPr="00CA3CAC" w:rsidRDefault="00B46350" w:rsidP="00B46350">
            <w:pPr>
              <w:rPr>
                <w:rFonts w:cs="Times New Roman"/>
                <w:sz w:val="20"/>
                <w:szCs w:val="20"/>
              </w:rPr>
            </w:pPr>
            <w:r>
              <w:rPr>
                <w:rFonts w:cs="Times New Roman"/>
                <w:sz w:val="20"/>
                <w:szCs w:val="20"/>
              </w:rPr>
              <w:t xml:space="preserve">OTU </w:t>
            </w:r>
            <w:r w:rsidRPr="00CA3CAC">
              <w:rPr>
                <w:rFonts w:cs="Times New Roman"/>
                <w:sz w:val="20"/>
                <w:szCs w:val="20"/>
              </w:rPr>
              <w:t>Presence absence</w:t>
            </w:r>
          </w:p>
        </w:tc>
        <w:tc>
          <w:tcPr>
            <w:tcW w:w="567" w:type="dxa"/>
            <w:tcBorders>
              <w:top w:val="single" w:sz="4" w:space="0" w:color="auto"/>
              <w:left w:val="nil"/>
              <w:bottom w:val="nil"/>
              <w:right w:val="nil"/>
            </w:tcBorders>
          </w:tcPr>
          <w:p w:rsidR="00B46350" w:rsidRDefault="00B46350" w:rsidP="00B46350">
            <w:pPr>
              <w:jc w:val="center"/>
              <w:rPr>
                <w:rFonts w:cs="Times New Roman"/>
                <w:sz w:val="20"/>
                <w:szCs w:val="20"/>
              </w:rPr>
            </w:pPr>
            <w:r>
              <w:rPr>
                <w:rFonts w:cs="Times New Roman"/>
                <w:sz w:val="20"/>
                <w:szCs w:val="20"/>
              </w:rPr>
              <w:t>1</w:t>
            </w:r>
          </w:p>
        </w:tc>
        <w:tc>
          <w:tcPr>
            <w:tcW w:w="671"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7.05</w:t>
            </w:r>
          </w:p>
        </w:tc>
        <w:tc>
          <w:tcPr>
            <w:tcW w:w="855" w:type="dxa"/>
            <w:tcBorders>
              <w:top w:val="single" w:sz="4" w:space="0" w:color="auto"/>
              <w:left w:val="nil"/>
              <w:bottom w:val="nil"/>
              <w:right w:val="nil"/>
            </w:tcBorders>
          </w:tcPr>
          <w:p w:rsidR="00B46350" w:rsidRDefault="00B46350" w:rsidP="00B46350">
            <w:pPr>
              <w:jc w:val="right"/>
              <w:rPr>
                <w:rFonts w:cs="Times New Roman"/>
                <w:sz w:val="20"/>
                <w:szCs w:val="20"/>
              </w:rPr>
            </w:pPr>
            <w:r>
              <w:rPr>
                <w:rFonts w:cs="Times New Roman"/>
                <w:sz w:val="20"/>
                <w:szCs w:val="20"/>
              </w:rPr>
              <w:t>&lt;0.001</w:t>
            </w:r>
          </w:p>
        </w:tc>
        <w:tc>
          <w:tcPr>
            <w:tcW w:w="992" w:type="dxa"/>
            <w:tcBorders>
              <w:top w:val="single" w:sz="4" w:space="0" w:color="auto"/>
              <w:left w:val="nil"/>
              <w:bottom w:val="nil"/>
              <w:right w:val="nil"/>
            </w:tcBorders>
          </w:tcPr>
          <w:p w:rsidR="00B46350" w:rsidRDefault="00B46350" w:rsidP="00B46350">
            <w:pPr>
              <w:jc w:val="center"/>
              <w:rPr>
                <w:rFonts w:cs="Times New Roman"/>
                <w:sz w:val="20"/>
                <w:szCs w:val="20"/>
              </w:rPr>
            </w:pPr>
            <w:r>
              <w:rPr>
                <w:rFonts w:cs="Times New Roman"/>
                <w:sz w:val="20"/>
                <w:szCs w:val="20"/>
              </w:rPr>
              <w:t>-0.80</w:t>
            </w:r>
            <w:r w:rsidRPr="001A7645">
              <w:rPr>
                <w:rFonts w:cs="Times New Roman"/>
                <w:sz w:val="20"/>
                <w:szCs w:val="20"/>
                <w:vertAlign w:val="superscript"/>
              </w:rPr>
              <w:t>A</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(0.25)</w:t>
            </w:r>
          </w:p>
        </w:tc>
        <w:tc>
          <w:tcPr>
            <w:tcW w:w="992" w:type="dxa"/>
            <w:tcBorders>
              <w:top w:val="single" w:sz="4" w:space="0" w:color="auto"/>
              <w:left w:val="nil"/>
              <w:bottom w:val="nil"/>
              <w:right w:val="nil"/>
            </w:tcBorders>
          </w:tcPr>
          <w:p w:rsidR="00B46350" w:rsidRDefault="00B46350" w:rsidP="00B46350">
            <w:pPr>
              <w:jc w:val="center"/>
              <w:rPr>
                <w:rFonts w:cs="Times New Roman"/>
                <w:sz w:val="20"/>
                <w:szCs w:val="20"/>
              </w:rPr>
            </w:pPr>
            <w:r>
              <w:rPr>
                <w:rFonts w:cs="Times New Roman"/>
                <w:sz w:val="20"/>
                <w:szCs w:val="20"/>
              </w:rPr>
              <w:t>-0.17</w:t>
            </w:r>
            <w:r w:rsidRPr="001A7645">
              <w:rPr>
                <w:rFonts w:cs="Times New Roman"/>
                <w:sz w:val="20"/>
                <w:szCs w:val="20"/>
                <w:vertAlign w:val="superscript"/>
              </w:rPr>
              <w:t>A</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(0.17)</w:t>
            </w:r>
          </w:p>
        </w:tc>
        <w:tc>
          <w:tcPr>
            <w:tcW w:w="992" w:type="dxa"/>
            <w:tcBorders>
              <w:top w:val="single" w:sz="4" w:space="0" w:color="auto"/>
              <w:left w:val="nil"/>
              <w:bottom w:val="nil"/>
              <w:right w:val="nil"/>
            </w:tcBorders>
          </w:tcPr>
          <w:p w:rsidR="00B46350" w:rsidRDefault="00B46350" w:rsidP="00B46350">
            <w:pPr>
              <w:jc w:val="center"/>
              <w:rPr>
                <w:rFonts w:cs="Times New Roman"/>
                <w:sz w:val="20"/>
                <w:szCs w:val="20"/>
              </w:rPr>
            </w:pPr>
            <w:r>
              <w:rPr>
                <w:rFonts w:cs="Times New Roman"/>
                <w:sz w:val="20"/>
                <w:szCs w:val="20"/>
              </w:rPr>
              <w:t>0.99</w:t>
            </w:r>
            <w:r w:rsidRPr="001A7645">
              <w:rPr>
                <w:rFonts w:cs="Times New Roman"/>
                <w:sz w:val="20"/>
                <w:szCs w:val="20"/>
                <w:vertAlign w:val="superscript"/>
              </w:rPr>
              <w:t xml:space="preserve"> </w:t>
            </w:r>
            <w:r>
              <w:rPr>
                <w:rFonts w:cs="Times New Roman"/>
                <w:sz w:val="20"/>
                <w:szCs w:val="20"/>
                <w:vertAlign w:val="superscript"/>
              </w:rPr>
              <w:t>B</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(0.31)</w:t>
            </w:r>
          </w:p>
        </w:tc>
        <w:tc>
          <w:tcPr>
            <w:tcW w:w="992" w:type="dxa"/>
            <w:tcBorders>
              <w:top w:val="single" w:sz="4" w:space="0" w:color="auto"/>
              <w:left w:val="nil"/>
              <w:bottom w:val="nil"/>
              <w:right w:val="nil"/>
            </w:tcBorders>
          </w:tcPr>
          <w:p w:rsidR="00B46350" w:rsidRDefault="00B46350" w:rsidP="00B46350">
            <w:pPr>
              <w:jc w:val="center"/>
              <w:rPr>
                <w:rFonts w:cs="Times New Roman"/>
                <w:sz w:val="20"/>
                <w:szCs w:val="20"/>
              </w:rPr>
            </w:pPr>
            <w:r>
              <w:rPr>
                <w:rFonts w:cs="Times New Roman"/>
                <w:sz w:val="20"/>
                <w:szCs w:val="20"/>
              </w:rPr>
              <w:t>0.06</w:t>
            </w:r>
            <w:r w:rsidRPr="001A7645">
              <w:rPr>
                <w:rFonts w:cs="Times New Roman"/>
                <w:sz w:val="20"/>
                <w:szCs w:val="20"/>
                <w:vertAlign w:val="superscript"/>
              </w:rPr>
              <w:t>A</w:t>
            </w:r>
            <w:r>
              <w:rPr>
                <w:rFonts w:cs="Times New Roman"/>
                <w:sz w:val="20"/>
                <w:szCs w:val="20"/>
                <w:vertAlign w:val="superscript"/>
              </w:rPr>
              <w:t>B</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(0.21)</w:t>
            </w:r>
          </w:p>
        </w:tc>
        <w:tc>
          <w:tcPr>
            <w:tcW w:w="992" w:type="dxa"/>
            <w:tcBorders>
              <w:top w:val="single" w:sz="4" w:space="0" w:color="auto"/>
              <w:left w:val="nil"/>
              <w:bottom w:val="nil"/>
              <w:right w:val="nil"/>
            </w:tcBorders>
          </w:tcPr>
          <w:p w:rsidR="00B46350" w:rsidRDefault="00B46350" w:rsidP="00B46350">
            <w:pPr>
              <w:jc w:val="center"/>
              <w:rPr>
                <w:rFonts w:cs="Times New Roman"/>
                <w:sz w:val="20"/>
                <w:szCs w:val="20"/>
              </w:rPr>
            </w:pPr>
            <w:r>
              <w:rPr>
                <w:rFonts w:cs="Times New Roman"/>
                <w:sz w:val="20"/>
                <w:szCs w:val="20"/>
              </w:rPr>
              <w:t>-0.07</w:t>
            </w:r>
            <w:r w:rsidRPr="001A7645">
              <w:rPr>
                <w:rFonts w:cs="Times New Roman"/>
                <w:sz w:val="20"/>
                <w:szCs w:val="20"/>
                <w:vertAlign w:val="superscript"/>
              </w:rPr>
              <w:t>A</w:t>
            </w:r>
          </w:p>
        </w:tc>
        <w:tc>
          <w:tcPr>
            <w:tcW w:w="709" w:type="dxa"/>
            <w:tcBorders>
              <w:top w:val="single" w:sz="4" w:space="0" w:color="auto"/>
              <w:left w:val="nil"/>
              <w:bottom w:val="nil"/>
              <w:right w:val="nil"/>
            </w:tcBorders>
          </w:tcPr>
          <w:p w:rsidR="00B46350" w:rsidRDefault="00B46350" w:rsidP="00B46350">
            <w:pPr>
              <w:rPr>
                <w:rFonts w:cs="Times New Roman"/>
                <w:sz w:val="20"/>
                <w:szCs w:val="20"/>
              </w:rPr>
            </w:pPr>
            <w:r>
              <w:rPr>
                <w:rFonts w:cs="Times New Roman"/>
                <w:sz w:val="20"/>
                <w:szCs w:val="20"/>
              </w:rPr>
              <w:t>(0.18)</w:t>
            </w:r>
          </w:p>
        </w:tc>
      </w:tr>
      <w:tr w:rsidR="00B46350" w:rsidRPr="00CA4E8C" w:rsidTr="00B46350">
        <w:tc>
          <w:tcPr>
            <w:tcW w:w="1134" w:type="dxa"/>
            <w:vMerge/>
            <w:tcBorders>
              <w:top w:val="nil"/>
              <w:left w:val="nil"/>
              <w:bottom w:val="nil"/>
              <w:right w:val="nil"/>
            </w:tcBorders>
          </w:tcPr>
          <w:p w:rsidR="00B46350" w:rsidRPr="00CA3CAC" w:rsidRDefault="00B46350" w:rsidP="00B46350">
            <w:pPr>
              <w:rPr>
                <w:rFonts w:cs="Times New Roman"/>
                <w:sz w:val="20"/>
                <w:szCs w:val="20"/>
              </w:rPr>
            </w:pPr>
          </w:p>
        </w:tc>
        <w:tc>
          <w:tcPr>
            <w:tcW w:w="567"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2</w:t>
            </w:r>
          </w:p>
        </w:tc>
        <w:tc>
          <w:tcPr>
            <w:tcW w:w="671"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10.74</w:t>
            </w:r>
          </w:p>
        </w:tc>
        <w:tc>
          <w:tcPr>
            <w:tcW w:w="855" w:type="dxa"/>
            <w:tcBorders>
              <w:top w:val="nil"/>
              <w:left w:val="nil"/>
              <w:bottom w:val="nil"/>
              <w:right w:val="nil"/>
            </w:tcBorders>
          </w:tcPr>
          <w:p w:rsidR="00B46350" w:rsidRDefault="00B46350" w:rsidP="00B46350">
            <w:pPr>
              <w:jc w:val="right"/>
              <w:rPr>
                <w:rFonts w:cs="Times New Roman"/>
                <w:sz w:val="20"/>
                <w:szCs w:val="20"/>
              </w:rPr>
            </w:pPr>
            <w:r>
              <w:rPr>
                <w:rFonts w:cs="Times New Roman"/>
                <w:sz w:val="20"/>
                <w:szCs w:val="20"/>
              </w:rPr>
              <w:t>&lt;0.001</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-0.05</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(0.21)</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-0.33</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(0.18)</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-0.07</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(0.18)</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-0.54</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(0.07)</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1.00</w:t>
            </w:r>
            <w:r>
              <w:rPr>
                <w:rFonts w:cs="Times New Roman"/>
                <w:sz w:val="20"/>
                <w:szCs w:val="20"/>
                <w:vertAlign w:val="superscript"/>
              </w:rPr>
              <w:t>B</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(0.17)</w:t>
            </w:r>
          </w:p>
        </w:tc>
      </w:tr>
      <w:tr w:rsidR="00B46350" w:rsidRPr="00CA4E8C" w:rsidTr="00B46350">
        <w:tc>
          <w:tcPr>
            <w:tcW w:w="1134" w:type="dxa"/>
            <w:vMerge/>
            <w:tcBorders>
              <w:top w:val="nil"/>
              <w:left w:val="nil"/>
              <w:bottom w:val="nil"/>
              <w:right w:val="nil"/>
            </w:tcBorders>
          </w:tcPr>
          <w:p w:rsidR="00B46350" w:rsidRPr="00CA3CAC" w:rsidRDefault="00B46350" w:rsidP="00B46350">
            <w:pPr>
              <w:rPr>
                <w:rFonts w:cs="Times New Roman"/>
                <w:sz w:val="20"/>
                <w:szCs w:val="20"/>
              </w:rPr>
            </w:pPr>
          </w:p>
        </w:tc>
        <w:tc>
          <w:tcPr>
            <w:tcW w:w="567"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3</w:t>
            </w:r>
          </w:p>
        </w:tc>
        <w:tc>
          <w:tcPr>
            <w:tcW w:w="671"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4.46</w:t>
            </w:r>
          </w:p>
        </w:tc>
        <w:tc>
          <w:tcPr>
            <w:tcW w:w="855" w:type="dxa"/>
            <w:tcBorders>
              <w:top w:val="nil"/>
              <w:left w:val="nil"/>
              <w:bottom w:val="nil"/>
              <w:right w:val="nil"/>
            </w:tcBorders>
          </w:tcPr>
          <w:p w:rsidR="00B46350" w:rsidRDefault="00B46350" w:rsidP="00B46350">
            <w:pPr>
              <w:jc w:val="right"/>
              <w:rPr>
                <w:rFonts w:cs="Times New Roman"/>
                <w:sz w:val="20"/>
                <w:szCs w:val="20"/>
              </w:rPr>
            </w:pPr>
            <w:r>
              <w:rPr>
                <w:rFonts w:cs="Times New Roman"/>
                <w:sz w:val="20"/>
                <w:szCs w:val="20"/>
              </w:rPr>
              <w:t>0.003</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-0.34</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(0.18)</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-0.29</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(0.16)</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-0.14</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(0.21)</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0.18</w:t>
            </w:r>
            <w:r w:rsidRPr="001A7645">
              <w:rPr>
                <w:rFonts w:cs="Times New Roman"/>
                <w:sz w:val="20"/>
                <w:szCs w:val="20"/>
                <w:vertAlign w:val="superscript"/>
              </w:rPr>
              <w:t>A</w:t>
            </w:r>
            <w:r>
              <w:rPr>
                <w:rFonts w:cs="Times New Roman"/>
                <w:sz w:val="20"/>
                <w:szCs w:val="20"/>
                <w:vertAlign w:val="superscript"/>
              </w:rPr>
              <w:t>B</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(0.20)</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0.60</w:t>
            </w:r>
            <w:r>
              <w:rPr>
                <w:rFonts w:cs="Times New Roman"/>
                <w:sz w:val="20"/>
                <w:szCs w:val="20"/>
                <w:vertAlign w:val="superscript"/>
              </w:rPr>
              <w:t>B</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(0.12)</w:t>
            </w:r>
          </w:p>
        </w:tc>
      </w:tr>
      <w:tr w:rsidR="00B46350" w:rsidRPr="00CA4E8C" w:rsidTr="00B46350">
        <w:tc>
          <w:tcPr>
            <w:tcW w:w="1134" w:type="dxa"/>
            <w:vMerge/>
            <w:tcBorders>
              <w:top w:val="nil"/>
              <w:left w:val="nil"/>
              <w:bottom w:val="nil"/>
              <w:right w:val="nil"/>
            </w:tcBorders>
          </w:tcPr>
          <w:p w:rsidR="00B46350" w:rsidRPr="00CA3CAC" w:rsidRDefault="00B46350" w:rsidP="00B46350">
            <w:pPr>
              <w:rPr>
                <w:rFonts w:cs="Times New Roman"/>
                <w:sz w:val="20"/>
                <w:szCs w:val="20"/>
              </w:rPr>
            </w:pPr>
          </w:p>
        </w:tc>
        <w:tc>
          <w:tcPr>
            <w:tcW w:w="567"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4</w:t>
            </w:r>
          </w:p>
        </w:tc>
        <w:tc>
          <w:tcPr>
            <w:tcW w:w="671"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3.01</w:t>
            </w:r>
          </w:p>
        </w:tc>
        <w:tc>
          <w:tcPr>
            <w:tcW w:w="855" w:type="dxa"/>
            <w:tcBorders>
              <w:top w:val="nil"/>
              <w:left w:val="nil"/>
              <w:bottom w:val="nil"/>
              <w:right w:val="nil"/>
            </w:tcBorders>
          </w:tcPr>
          <w:p w:rsidR="00B46350" w:rsidRDefault="00B46350" w:rsidP="00B46350">
            <w:pPr>
              <w:jc w:val="right"/>
              <w:rPr>
                <w:rFonts w:cs="Times New Roman"/>
                <w:sz w:val="20"/>
                <w:szCs w:val="20"/>
              </w:rPr>
            </w:pPr>
            <w:r>
              <w:rPr>
                <w:rFonts w:cs="Times New Roman"/>
                <w:sz w:val="20"/>
                <w:szCs w:val="20"/>
              </w:rPr>
              <w:t>0.023</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0.28</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(0.16)</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0.21</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(0.16)</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-0.26</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(0.14)</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0.07</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(0.14)</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-0.30</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(0.17)</w:t>
            </w:r>
          </w:p>
        </w:tc>
      </w:tr>
      <w:tr w:rsidR="00B46350" w:rsidRPr="00CA4E8C" w:rsidTr="00B46350">
        <w:tc>
          <w:tcPr>
            <w:tcW w:w="1134" w:type="dxa"/>
            <w:vMerge/>
            <w:tcBorders>
              <w:top w:val="nil"/>
              <w:left w:val="nil"/>
              <w:bottom w:val="nil"/>
              <w:right w:val="nil"/>
            </w:tcBorders>
          </w:tcPr>
          <w:p w:rsidR="00B46350" w:rsidRPr="00CA3CAC" w:rsidRDefault="00B46350" w:rsidP="00B46350">
            <w:pPr>
              <w:rPr>
                <w:rFonts w:cs="Times New Roman"/>
                <w:sz w:val="20"/>
                <w:szCs w:val="20"/>
              </w:rPr>
            </w:pPr>
          </w:p>
        </w:tc>
        <w:tc>
          <w:tcPr>
            <w:tcW w:w="567"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5</w:t>
            </w:r>
          </w:p>
        </w:tc>
        <w:tc>
          <w:tcPr>
            <w:tcW w:w="671"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6.26</w:t>
            </w:r>
          </w:p>
        </w:tc>
        <w:tc>
          <w:tcPr>
            <w:tcW w:w="855" w:type="dxa"/>
            <w:tcBorders>
              <w:top w:val="nil"/>
              <w:left w:val="nil"/>
              <w:bottom w:val="nil"/>
              <w:right w:val="nil"/>
            </w:tcBorders>
          </w:tcPr>
          <w:p w:rsidR="00B46350" w:rsidRDefault="00B46350" w:rsidP="00B46350">
            <w:pPr>
              <w:jc w:val="right"/>
              <w:rPr>
                <w:rFonts w:cs="Times New Roman"/>
                <w:sz w:val="20"/>
                <w:szCs w:val="20"/>
              </w:rPr>
            </w:pPr>
            <w:r>
              <w:rPr>
                <w:rFonts w:cs="Times New Roman"/>
                <w:sz w:val="20"/>
                <w:szCs w:val="20"/>
              </w:rPr>
              <w:t>&lt;0.001</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0.37</w:t>
            </w:r>
            <w:r>
              <w:rPr>
                <w:rFonts w:cs="Times New Roman"/>
                <w:sz w:val="20"/>
                <w:szCs w:val="20"/>
                <w:vertAlign w:val="superscript"/>
              </w:rPr>
              <w:t>C</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(0.11)</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-0.40</w:t>
            </w:r>
            <w:r w:rsidRPr="001A7645">
              <w:rPr>
                <w:rFonts w:cs="Times New Roman"/>
                <w:sz w:val="20"/>
                <w:szCs w:val="20"/>
                <w:vertAlign w:val="superscript"/>
              </w:rPr>
              <w:t>A</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(0.12)</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0.31</w:t>
            </w:r>
            <w:r>
              <w:rPr>
                <w:rFonts w:cs="Times New Roman"/>
                <w:sz w:val="20"/>
                <w:szCs w:val="20"/>
                <w:vertAlign w:val="superscript"/>
              </w:rPr>
              <w:t>BC</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(0.20)</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-0.09</w:t>
            </w:r>
            <w:r w:rsidRPr="001A7645">
              <w:rPr>
                <w:rFonts w:cs="Times New Roman"/>
                <w:sz w:val="20"/>
                <w:szCs w:val="20"/>
                <w:vertAlign w:val="superscript"/>
              </w:rPr>
              <w:t>A</w:t>
            </w:r>
            <w:r>
              <w:rPr>
                <w:rFonts w:cs="Times New Roman"/>
                <w:sz w:val="20"/>
                <w:szCs w:val="20"/>
                <w:vertAlign w:val="superscript"/>
              </w:rPr>
              <w:t>BC</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(0.12)</w:t>
            </w:r>
          </w:p>
        </w:tc>
        <w:tc>
          <w:tcPr>
            <w:tcW w:w="992" w:type="dxa"/>
            <w:tcBorders>
              <w:top w:val="nil"/>
              <w:left w:val="nil"/>
              <w:bottom w:val="nil"/>
              <w:right w:val="nil"/>
            </w:tcBorders>
          </w:tcPr>
          <w:p w:rsidR="00B46350" w:rsidRDefault="00B46350" w:rsidP="00B46350">
            <w:pPr>
              <w:jc w:val="center"/>
              <w:rPr>
                <w:rFonts w:cs="Times New Roman"/>
                <w:sz w:val="20"/>
                <w:szCs w:val="20"/>
              </w:rPr>
            </w:pPr>
            <w:r>
              <w:rPr>
                <w:rFonts w:cs="Times New Roman"/>
                <w:sz w:val="20"/>
                <w:szCs w:val="20"/>
              </w:rPr>
              <w:t>-0.18</w:t>
            </w:r>
            <w:r w:rsidRPr="001A7645">
              <w:rPr>
                <w:rFonts w:cs="Times New Roman"/>
                <w:sz w:val="20"/>
                <w:szCs w:val="20"/>
                <w:vertAlign w:val="superscript"/>
              </w:rPr>
              <w:t>A</w:t>
            </w:r>
            <w:r>
              <w:rPr>
                <w:rFonts w:cs="Times New Roman"/>
                <w:sz w:val="20"/>
                <w:szCs w:val="20"/>
                <w:vertAlign w:val="superscript"/>
              </w:rPr>
              <w:t>B</w:t>
            </w:r>
          </w:p>
        </w:tc>
        <w:tc>
          <w:tcPr>
            <w:tcW w:w="709" w:type="dxa"/>
            <w:tcBorders>
              <w:top w:val="nil"/>
              <w:left w:val="nil"/>
              <w:bottom w:val="nil"/>
              <w:right w:val="nil"/>
            </w:tcBorders>
          </w:tcPr>
          <w:p w:rsidR="00B46350" w:rsidRDefault="00B46350" w:rsidP="00B46350">
            <w:pPr>
              <w:rPr>
                <w:rFonts w:cs="Times New Roman"/>
                <w:sz w:val="20"/>
                <w:szCs w:val="20"/>
              </w:rPr>
            </w:pPr>
            <w:r>
              <w:rPr>
                <w:rFonts w:cs="Times New Roman"/>
                <w:sz w:val="20"/>
                <w:szCs w:val="20"/>
              </w:rPr>
              <w:t>(0.12)</w:t>
            </w:r>
          </w:p>
        </w:tc>
      </w:tr>
      <w:tr w:rsidR="00B46350" w:rsidRPr="00CA4E8C" w:rsidTr="00B46350">
        <w:tc>
          <w:tcPr>
            <w:tcW w:w="1134" w:type="dxa"/>
            <w:vMerge/>
            <w:tcBorders>
              <w:top w:val="nil"/>
              <w:left w:val="nil"/>
              <w:bottom w:val="single" w:sz="4" w:space="0" w:color="auto"/>
              <w:right w:val="nil"/>
            </w:tcBorders>
          </w:tcPr>
          <w:p w:rsidR="00B46350" w:rsidRPr="00CA4E8C" w:rsidRDefault="00B46350" w:rsidP="00B46350">
            <w:pPr>
              <w:rPr>
                <w:rFonts w:cs="Times New Roman"/>
                <w:sz w:val="20"/>
                <w:szCs w:val="20"/>
              </w:rPr>
            </w:pPr>
          </w:p>
        </w:tc>
        <w:tc>
          <w:tcPr>
            <w:tcW w:w="567" w:type="dxa"/>
            <w:tcBorders>
              <w:top w:val="nil"/>
              <w:left w:val="nil"/>
              <w:bottom w:val="single" w:sz="4" w:space="0" w:color="auto"/>
              <w:right w:val="nil"/>
            </w:tcBorders>
          </w:tcPr>
          <w:p w:rsidR="00B46350" w:rsidRDefault="00B46350" w:rsidP="00B46350">
            <w:pPr>
              <w:jc w:val="center"/>
              <w:rPr>
                <w:rFonts w:cs="Times New Roman"/>
                <w:sz w:val="20"/>
                <w:szCs w:val="20"/>
              </w:rPr>
            </w:pPr>
            <w:r>
              <w:rPr>
                <w:rFonts w:cs="Times New Roman"/>
                <w:sz w:val="20"/>
                <w:szCs w:val="20"/>
              </w:rPr>
              <w:t>7</w:t>
            </w:r>
          </w:p>
        </w:tc>
        <w:tc>
          <w:tcPr>
            <w:tcW w:w="671"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4.57</w:t>
            </w:r>
          </w:p>
        </w:tc>
        <w:tc>
          <w:tcPr>
            <w:tcW w:w="855" w:type="dxa"/>
            <w:tcBorders>
              <w:top w:val="nil"/>
              <w:left w:val="nil"/>
              <w:bottom w:val="single" w:sz="4" w:space="0" w:color="auto"/>
              <w:right w:val="nil"/>
            </w:tcBorders>
          </w:tcPr>
          <w:p w:rsidR="00B46350" w:rsidRDefault="00B46350" w:rsidP="00B46350">
            <w:pPr>
              <w:jc w:val="right"/>
              <w:rPr>
                <w:rFonts w:cs="Times New Roman"/>
                <w:sz w:val="20"/>
                <w:szCs w:val="20"/>
              </w:rPr>
            </w:pPr>
            <w:r>
              <w:rPr>
                <w:rFonts w:cs="Times New Roman"/>
                <w:sz w:val="20"/>
                <w:szCs w:val="20"/>
              </w:rPr>
              <w:t>0.002</w:t>
            </w:r>
          </w:p>
        </w:tc>
        <w:tc>
          <w:tcPr>
            <w:tcW w:w="992" w:type="dxa"/>
            <w:tcBorders>
              <w:top w:val="nil"/>
              <w:left w:val="nil"/>
              <w:bottom w:val="single" w:sz="4" w:space="0" w:color="auto"/>
              <w:right w:val="nil"/>
            </w:tcBorders>
          </w:tcPr>
          <w:p w:rsidR="00B46350" w:rsidRDefault="00B46350" w:rsidP="00B46350">
            <w:pPr>
              <w:jc w:val="center"/>
              <w:rPr>
                <w:rFonts w:cs="Times New Roman"/>
                <w:sz w:val="20"/>
                <w:szCs w:val="20"/>
              </w:rPr>
            </w:pPr>
            <w:r>
              <w:rPr>
                <w:rFonts w:cs="Times New Roman"/>
                <w:sz w:val="20"/>
                <w:szCs w:val="20"/>
              </w:rPr>
              <w:t>0.38</w:t>
            </w:r>
            <w:r>
              <w:rPr>
                <w:rFonts w:cs="Times New Roman"/>
                <w:sz w:val="20"/>
                <w:szCs w:val="20"/>
                <w:vertAlign w:val="superscript"/>
              </w:rPr>
              <w:t>B</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(0.10)</w:t>
            </w:r>
          </w:p>
        </w:tc>
        <w:tc>
          <w:tcPr>
            <w:tcW w:w="992" w:type="dxa"/>
            <w:tcBorders>
              <w:top w:val="nil"/>
              <w:left w:val="nil"/>
              <w:bottom w:val="single" w:sz="4" w:space="0" w:color="auto"/>
              <w:right w:val="nil"/>
            </w:tcBorders>
          </w:tcPr>
          <w:p w:rsidR="00B46350" w:rsidRDefault="00B46350" w:rsidP="00B46350">
            <w:pPr>
              <w:jc w:val="center"/>
              <w:rPr>
                <w:rFonts w:cs="Times New Roman"/>
                <w:sz w:val="20"/>
                <w:szCs w:val="20"/>
              </w:rPr>
            </w:pPr>
            <w:r>
              <w:rPr>
                <w:rFonts w:cs="Times New Roman"/>
                <w:sz w:val="20"/>
                <w:szCs w:val="20"/>
              </w:rPr>
              <w:t>-0.36</w:t>
            </w:r>
            <w:r>
              <w:rPr>
                <w:rFonts w:cs="Times New Roman"/>
                <w:sz w:val="20"/>
                <w:szCs w:val="20"/>
                <w:vertAlign w:val="superscript"/>
              </w:rPr>
              <w:t>A</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(0.15)</w:t>
            </w:r>
          </w:p>
        </w:tc>
        <w:tc>
          <w:tcPr>
            <w:tcW w:w="992" w:type="dxa"/>
            <w:tcBorders>
              <w:top w:val="nil"/>
              <w:left w:val="nil"/>
              <w:bottom w:val="single" w:sz="4" w:space="0" w:color="auto"/>
              <w:right w:val="nil"/>
            </w:tcBorders>
          </w:tcPr>
          <w:p w:rsidR="00B46350" w:rsidRDefault="00B46350" w:rsidP="00B46350">
            <w:pPr>
              <w:jc w:val="center"/>
              <w:rPr>
                <w:rFonts w:cs="Times New Roman"/>
                <w:sz w:val="20"/>
                <w:szCs w:val="20"/>
              </w:rPr>
            </w:pPr>
            <w:r>
              <w:rPr>
                <w:rFonts w:cs="Times New Roman"/>
                <w:sz w:val="20"/>
                <w:szCs w:val="20"/>
              </w:rPr>
              <w:t>-0.05</w:t>
            </w:r>
            <w:r>
              <w:rPr>
                <w:rFonts w:cs="Times New Roman"/>
                <w:sz w:val="20"/>
                <w:szCs w:val="20"/>
                <w:vertAlign w:val="superscript"/>
              </w:rPr>
              <w:t>AB</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(0.11)</w:t>
            </w:r>
          </w:p>
        </w:tc>
        <w:tc>
          <w:tcPr>
            <w:tcW w:w="992" w:type="dxa"/>
            <w:tcBorders>
              <w:top w:val="nil"/>
              <w:left w:val="nil"/>
              <w:bottom w:val="single" w:sz="4" w:space="0" w:color="auto"/>
              <w:right w:val="nil"/>
            </w:tcBorders>
          </w:tcPr>
          <w:p w:rsidR="00B46350" w:rsidRDefault="00B46350" w:rsidP="00B46350">
            <w:pPr>
              <w:jc w:val="center"/>
              <w:rPr>
                <w:rFonts w:cs="Times New Roman"/>
                <w:sz w:val="20"/>
                <w:szCs w:val="20"/>
              </w:rPr>
            </w:pPr>
            <w:r>
              <w:rPr>
                <w:rFonts w:cs="Times New Roman"/>
                <w:sz w:val="20"/>
                <w:szCs w:val="20"/>
              </w:rPr>
              <w:t>0.01</w:t>
            </w:r>
            <w:r>
              <w:rPr>
                <w:rFonts w:cs="Times New Roman"/>
                <w:sz w:val="20"/>
                <w:szCs w:val="20"/>
                <w:vertAlign w:val="superscript"/>
              </w:rPr>
              <w:t>AB</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(0.15)</w:t>
            </w:r>
          </w:p>
        </w:tc>
        <w:tc>
          <w:tcPr>
            <w:tcW w:w="992" w:type="dxa"/>
            <w:tcBorders>
              <w:top w:val="nil"/>
              <w:left w:val="nil"/>
              <w:bottom w:val="single" w:sz="4" w:space="0" w:color="auto"/>
              <w:right w:val="nil"/>
            </w:tcBorders>
          </w:tcPr>
          <w:p w:rsidR="00B46350" w:rsidRDefault="00B46350" w:rsidP="00B46350">
            <w:pPr>
              <w:jc w:val="center"/>
              <w:rPr>
                <w:rFonts w:cs="Times New Roman"/>
                <w:sz w:val="20"/>
                <w:szCs w:val="20"/>
              </w:rPr>
            </w:pPr>
            <w:r>
              <w:rPr>
                <w:rFonts w:cs="Times New Roman"/>
                <w:sz w:val="20"/>
                <w:szCs w:val="20"/>
              </w:rPr>
              <w:t>0.01</w:t>
            </w:r>
            <w:r w:rsidRPr="001A7645">
              <w:rPr>
                <w:rFonts w:cs="Times New Roman"/>
                <w:sz w:val="20"/>
                <w:szCs w:val="20"/>
                <w:vertAlign w:val="superscript"/>
              </w:rPr>
              <w:t>A</w:t>
            </w:r>
            <w:r>
              <w:rPr>
                <w:rFonts w:cs="Times New Roman"/>
                <w:sz w:val="20"/>
                <w:szCs w:val="20"/>
                <w:vertAlign w:val="superscript"/>
              </w:rPr>
              <w:t>B</w:t>
            </w:r>
          </w:p>
        </w:tc>
        <w:tc>
          <w:tcPr>
            <w:tcW w:w="709" w:type="dxa"/>
            <w:tcBorders>
              <w:top w:val="nil"/>
              <w:left w:val="nil"/>
              <w:bottom w:val="single" w:sz="4" w:space="0" w:color="auto"/>
              <w:right w:val="nil"/>
            </w:tcBorders>
          </w:tcPr>
          <w:p w:rsidR="00B46350" w:rsidRDefault="00B46350" w:rsidP="00B46350">
            <w:pPr>
              <w:rPr>
                <w:rFonts w:cs="Times New Roman"/>
                <w:sz w:val="20"/>
                <w:szCs w:val="20"/>
              </w:rPr>
            </w:pPr>
            <w:r>
              <w:rPr>
                <w:rFonts w:cs="Times New Roman"/>
                <w:sz w:val="20"/>
                <w:szCs w:val="20"/>
              </w:rPr>
              <w:t>(0.11)</w:t>
            </w:r>
          </w:p>
        </w:tc>
      </w:tr>
    </w:tbl>
    <w:p w:rsidR="00B46350" w:rsidRDefault="00B46350" w:rsidP="00B46350"/>
    <w:p w:rsidR="00B46350" w:rsidRDefault="00B46350" w:rsidP="00B46350"/>
    <w:p w:rsidR="00B46350" w:rsidRDefault="00B46350" w:rsidP="00B46350"/>
    <w:p w:rsidR="00B46350" w:rsidRDefault="00B46350" w:rsidP="00B46350"/>
    <w:p w:rsidR="00B46350" w:rsidRDefault="00B46350" w:rsidP="00B46350"/>
    <w:p w:rsidR="00B46350" w:rsidRDefault="00B46350" w:rsidP="00B46350"/>
    <w:p w:rsidR="00B46350" w:rsidRDefault="00B46350" w:rsidP="00B46350"/>
    <w:p w:rsidR="00B46350" w:rsidRDefault="00B46350" w:rsidP="00B46350"/>
    <w:p w:rsidR="00B46350" w:rsidRDefault="00B46350" w:rsidP="00B46350"/>
    <w:p w:rsidR="00B46350" w:rsidRDefault="00B46350" w:rsidP="00B46350"/>
    <w:p w:rsidR="00B46350" w:rsidRDefault="00B46350" w:rsidP="00B46350">
      <w:pPr>
        <w:sectPr w:rsidR="00B46350" w:rsidSect="00B46350">
          <w:pgSz w:w="16838" w:h="11906" w:orient="landscape" w:code="9"/>
          <w:pgMar w:top="2268" w:right="1134" w:bottom="1134" w:left="1134" w:header="709" w:footer="709" w:gutter="0"/>
          <w:cols w:space="708"/>
          <w:docGrid w:linePitch="360"/>
        </w:sectPr>
      </w:pPr>
    </w:p>
    <w:p w:rsidR="00B46350" w:rsidRPr="003C6D28" w:rsidRDefault="00B46350" w:rsidP="003C6D28">
      <w:pPr>
        <w:pStyle w:val="Caption"/>
      </w:pPr>
      <w:bookmarkStart w:id="331" w:name="_Ref465066792"/>
      <w:bookmarkStart w:id="332" w:name="_Ref466136460"/>
      <w:bookmarkStart w:id="333" w:name="_Toc469868580"/>
      <w:r w:rsidRPr="003C6D28">
        <w:lastRenderedPageBreak/>
        <w:t xml:space="preserve">Table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Pr="003C6D28">
        <w:t>.</w:t>
      </w:r>
      <w:r w:rsidR="00C44EF5">
        <w:fldChar w:fldCharType="begin"/>
      </w:r>
      <w:r w:rsidR="00C44EF5">
        <w:instrText xml:space="preserve"> SEQ Table \* ARABIC \s 1 </w:instrText>
      </w:r>
      <w:r w:rsidR="00C44EF5">
        <w:fldChar w:fldCharType="separate"/>
      </w:r>
      <w:r w:rsidR="00E0714D">
        <w:rPr>
          <w:noProof/>
        </w:rPr>
        <w:t>6</w:t>
      </w:r>
      <w:r w:rsidR="00C44EF5">
        <w:rPr>
          <w:noProof/>
        </w:rPr>
        <w:fldChar w:fldCharType="end"/>
      </w:r>
      <w:bookmarkEnd w:id="331"/>
      <w:r w:rsidRPr="003C6D28">
        <w:t xml:space="preserve">  </w:t>
      </w:r>
      <w:bookmarkEnd w:id="332"/>
      <w:r w:rsidRPr="003C6D28">
        <w:rPr>
          <w:rStyle w:val="Captionlabel"/>
          <w:sz w:val="20"/>
        </w:rPr>
        <w:t>ANOVA results for effect of habitat type (woodland, conventional bush orchard, conventional standard orchard, organic standard orchard and ar</w:t>
      </w:r>
      <w:r w:rsidR="007945C4">
        <w:rPr>
          <w:rStyle w:val="Captionlabel"/>
          <w:sz w:val="20"/>
        </w:rPr>
        <w:t>able) on OTU relative abundance</w:t>
      </w:r>
      <w:r w:rsidRPr="003C6D28">
        <w:rPr>
          <w:rStyle w:val="Captionlabel"/>
          <w:sz w:val="20"/>
        </w:rPr>
        <w:t>.</w:t>
      </w:r>
      <w:bookmarkEnd w:id="333"/>
      <w:r w:rsidR="007B5FDA">
        <w:rPr>
          <w:rStyle w:val="Captionlabel"/>
          <w:sz w:val="20"/>
        </w:rPr>
        <w:t xml:space="preserve"> Results are presented for all OTUs with relative abundance &gt;1% of</w:t>
      </w:r>
      <w:r w:rsidR="007945C4">
        <w:rPr>
          <w:rStyle w:val="Captionlabel"/>
          <w:sz w:val="20"/>
        </w:rPr>
        <w:t xml:space="preserve"> total sequence reads</w:t>
      </w:r>
      <w:r w:rsidR="007B5FDA">
        <w:rPr>
          <w:rStyle w:val="Captionlabel"/>
          <w:sz w:val="20"/>
        </w:rPr>
        <w:t>.</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1834"/>
        <w:gridCol w:w="575"/>
        <w:gridCol w:w="412"/>
        <w:gridCol w:w="2140"/>
        <w:gridCol w:w="992"/>
        <w:gridCol w:w="992"/>
      </w:tblGrid>
      <w:tr w:rsidR="00B46350" w:rsidRPr="00F55C45" w:rsidTr="006A7BF3">
        <w:tc>
          <w:tcPr>
            <w:tcW w:w="1560" w:type="dxa"/>
            <w:tcBorders>
              <w:top w:val="single" w:sz="4" w:space="0" w:color="auto"/>
              <w:bottom w:val="single" w:sz="4" w:space="0" w:color="auto"/>
            </w:tcBorders>
          </w:tcPr>
          <w:p w:rsidR="00B46350" w:rsidRPr="00F55C45" w:rsidRDefault="00B46350" w:rsidP="006A7BF3">
            <w:pPr>
              <w:spacing w:line="240" w:lineRule="auto"/>
              <w:rPr>
                <w:rFonts w:cs="Times New Roman"/>
                <w:b/>
                <w:sz w:val="20"/>
                <w:szCs w:val="20"/>
              </w:rPr>
            </w:pPr>
            <w:r w:rsidRPr="00F55C45">
              <w:rPr>
                <w:rFonts w:cs="Times New Roman"/>
                <w:b/>
                <w:sz w:val="20"/>
                <w:szCs w:val="20"/>
              </w:rPr>
              <w:t>OTU number</w:t>
            </w:r>
          </w:p>
        </w:tc>
        <w:tc>
          <w:tcPr>
            <w:tcW w:w="2409" w:type="dxa"/>
            <w:gridSpan w:val="2"/>
            <w:tcBorders>
              <w:top w:val="single" w:sz="4" w:space="0" w:color="auto"/>
              <w:bottom w:val="single" w:sz="4" w:space="0" w:color="auto"/>
            </w:tcBorders>
          </w:tcPr>
          <w:p w:rsidR="00B46350" w:rsidRPr="00F55C45" w:rsidRDefault="00B46350" w:rsidP="006A7BF3">
            <w:pPr>
              <w:spacing w:line="240" w:lineRule="auto"/>
              <w:jc w:val="left"/>
              <w:rPr>
                <w:rFonts w:cs="Times New Roman"/>
                <w:b/>
                <w:sz w:val="20"/>
                <w:szCs w:val="20"/>
              </w:rPr>
            </w:pPr>
            <w:r w:rsidRPr="00F55C45">
              <w:rPr>
                <w:rFonts w:cs="Times New Roman"/>
                <w:b/>
                <w:sz w:val="20"/>
                <w:szCs w:val="20"/>
              </w:rPr>
              <w:t>Family</w:t>
            </w:r>
          </w:p>
        </w:tc>
        <w:tc>
          <w:tcPr>
            <w:tcW w:w="2552" w:type="dxa"/>
            <w:gridSpan w:val="2"/>
            <w:tcBorders>
              <w:top w:val="single" w:sz="4" w:space="0" w:color="auto"/>
              <w:bottom w:val="single" w:sz="4" w:space="0" w:color="auto"/>
            </w:tcBorders>
          </w:tcPr>
          <w:p w:rsidR="00B46350" w:rsidRPr="00F55C45" w:rsidRDefault="00B46350" w:rsidP="006A7BF3">
            <w:pPr>
              <w:spacing w:line="240" w:lineRule="auto"/>
              <w:jc w:val="center"/>
              <w:rPr>
                <w:rFonts w:cs="Times New Roman"/>
                <w:b/>
                <w:sz w:val="20"/>
                <w:szCs w:val="20"/>
              </w:rPr>
            </w:pPr>
            <w:r w:rsidRPr="00F55C45">
              <w:rPr>
                <w:rFonts w:cs="Times New Roman"/>
                <w:b/>
                <w:sz w:val="20"/>
                <w:szCs w:val="20"/>
              </w:rPr>
              <w:t>Relative abundance (%)</w:t>
            </w:r>
          </w:p>
        </w:tc>
        <w:tc>
          <w:tcPr>
            <w:tcW w:w="992" w:type="dxa"/>
            <w:tcBorders>
              <w:top w:val="single" w:sz="4" w:space="0" w:color="auto"/>
              <w:bottom w:val="single" w:sz="4" w:space="0" w:color="auto"/>
            </w:tcBorders>
          </w:tcPr>
          <w:p w:rsidR="00B46350" w:rsidRPr="00F55C45" w:rsidRDefault="00B46350" w:rsidP="006A7BF3">
            <w:pPr>
              <w:spacing w:line="240" w:lineRule="auto"/>
              <w:jc w:val="center"/>
              <w:rPr>
                <w:rFonts w:cs="Times New Roman"/>
                <w:b/>
                <w:sz w:val="20"/>
                <w:szCs w:val="20"/>
              </w:rPr>
            </w:pPr>
            <w:r w:rsidRPr="00F55C45">
              <w:rPr>
                <w:rFonts w:cs="Times New Roman"/>
                <w:b/>
                <w:i/>
                <w:sz w:val="20"/>
                <w:szCs w:val="20"/>
              </w:rPr>
              <w:t>F</w:t>
            </w:r>
            <w:r w:rsidRPr="00F55C45">
              <w:rPr>
                <w:rFonts w:cs="Times New Roman"/>
                <w:b/>
                <w:sz w:val="20"/>
                <w:szCs w:val="20"/>
                <w:vertAlign w:val="subscript"/>
              </w:rPr>
              <w:t>1,4</w:t>
            </w:r>
          </w:p>
        </w:tc>
        <w:tc>
          <w:tcPr>
            <w:tcW w:w="992" w:type="dxa"/>
            <w:tcBorders>
              <w:top w:val="single" w:sz="4" w:space="0" w:color="auto"/>
              <w:bottom w:val="single" w:sz="4" w:space="0" w:color="auto"/>
            </w:tcBorders>
          </w:tcPr>
          <w:p w:rsidR="00B46350" w:rsidRPr="00F55C45" w:rsidRDefault="00B46350" w:rsidP="006A7BF3">
            <w:pPr>
              <w:spacing w:line="240" w:lineRule="auto"/>
              <w:jc w:val="center"/>
              <w:rPr>
                <w:rFonts w:cs="Times New Roman"/>
                <w:b/>
                <w:i/>
                <w:sz w:val="20"/>
                <w:szCs w:val="20"/>
              </w:rPr>
            </w:pPr>
            <w:r w:rsidRPr="00F55C45">
              <w:rPr>
                <w:rFonts w:cs="Times New Roman"/>
                <w:b/>
                <w:i/>
                <w:sz w:val="20"/>
                <w:szCs w:val="20"/>
              </w:rPr>
              <w:t>P</w:t>
            </w:r>
          </w:p>
        </w:tc>
      </w:tr>
      <w:tr w:rsidR="00B46350" w:rsidRPr="00F55C45" w:rsidTr="007945C4">
        <w:trPr>
          <w:trHeight w:val="340"/>
        </w:trPr>
        <w:tc>
          <w:tcPr>
            <w:tcW w:w="1560" w:type="dxa"/>
            <w:tcBorders>
              <w:top w:val="single" w:sz="4" w:space="0" w:color="auto"/>
            </w:tcBorders>
          </w:tcPr>
          <w:p w:rsidR="00B46350" w:rsidRPr="00DE1AD4" w:rsidRDefault="00B46350" w:rsidP="006A7BF3">
            <w:pPr>
              <w:spacing w:line="240" w:lineRule="auto"/>
              <w:rPr>
                <w:rFonts w:cs="Times New Roman"/>
                <w:sz w:val="20"/>
                <w:szCs w:val="20"/>
              </w:rPr>
            </w:pPr>
            <w:r w:rsidRPr="00DE1AD4">
              <w:rPr>
                <w:rFonts w:cs="Times New Roman"/>
                <w:sz w:val="20"/>
                <w:szCs w:val="20"/>
              </w:rPr>
              <w:t>OTU 1</w:t>
            </w:r>
          </w:p>
        </w:tc>
        <w:tc>
          <w:tcPr>
            <w:tcW w:w="2409" w:type="dxa"/>
            <w:gridSpan w:val="2"/>
            <w:tcBorders>
              <w:top w:val="single" w:sz="4" w:space="0" w:color="auto"/>
            </w:tcBorders>
          </w:tcPr>
          <w:p w:rsidR="00B46350" w:rsidRPr="00DE1AD4" w:rsidRDefault="00B46350" w:rsidP="006A7BF3">
            <w:pPr>
              <w:spacing w:line="240" w:lineRule="auto"/>
              <w:jc w:val="left"/>
              <w:rPr>
                <w:rFonts w:cs="Times New Roman"/>
                <w:sz w:val="20"/>
                <w:szCs w:val="20"/>
              </w:rPr>
            </w:pPr>
            <w:r w:rsidRPr="00DE1AD4">
              <w:rPr>
                <w:rFonts w:cs="Times New Roman"/>
                <w:sz w:val="20"/>
                <w:szCs w:val="20"/>
              </w:rPr>
              <w:t>Glomeraceae</w:t>
            </w:r>
          </w:p>
        </w:tc>
        <w:tc>
          <w:tcPr>
            <w:tcW w:w="2552" w:type="dxa"/>
            <w:gridSpan w:val="2"/>
            <w:tcBorders>
              <w:top w:val="single" w:sz="4" w:space="0" w:color="auto"/>
            </w:tcBorders>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12.18</w:t>
            </w:r>
          </w:p>
        </w:tc>
        <w:tc>
          <w:tcPr>
            <w:tcW w:w="992" w:type="dxa"/>
            <w:tcBorders>
              <w:top w:val="single" w:sz="4" w:space="0" w:color="auto"/>
            </w:tcBorders>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4.14</w:t>
            </w:r>
          </w:p>
        </w:tc>
        <w:tc>
          <w:tcPr>
            <w:tcW w:w="992" w:type="dxa"/>
            <w:tcBorders>
              <w:top w:val="single" w:sz="4" w:space="0" w:color="auto"/>
            </w:tcBorders>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0.004</w:t>
            </w:r>
          </w:p>
        </w:tc>
      </w:tr>
      <w:tr w:rsidR="007B5FDA" w:rsidRPr="00F55C45" w:rsidTr="007945C4">
        <w:trPr>
          <w:trHeight w:val="340"/>
        </w:trPr>
        <w:tc>
          <w:tcPr>
            <w:tcW w:w="1560" w:type="dxa"/>
          </w:tcPr>
          <w:p w:rsidR="007B5FDA" w:rsidRPr="00DE1AD4" w:rsidRDefault="007B5FDA" w:rsidP="006A7BF3">
            <w:pPr>
              <w:spacing w:line="240" w:lineRule="auto"/>
              <w:rPr>
                <w:rFonts w:cs="Times New Roman"/>
                <w:sz w:val="20"/>
                <w:szCs w:val="20"/>
              </w:rPr>
            </w:pPr>
            <w:r>
              <w:rPr>
                <w:rFonts w:cs="Times New Roman"/>
                <w:sz w:val="20"/>
                <w:szCs w:val="20"/>
              </w:rPr>
              <w:t>OTU 6</w:t>
            </w:r>
          </w:p>
        </w:tc>
        <w:tc>
          <w:tcPr>
            <w:tcW w:w="2409" w:type="dxa"/>
            <w:gridSpan w:val="2"/>
          </w:tcPr>
          <w:p w:rsidR="007B5FDA" w:rsidRPr="00DE1AD4" w:rsidRDefault="007945C4" w:rsidP="006A7BF3">
            <w:pPr>
              <w:spacing w:line="240" w:lineRule="auto"/>
              <w:jc w:val="left"/>
              <w:rPr>
                <w:rFonts w:cs="Times New Roman"/>
                <w:sz w:val="20"/>
                <w:szCs w:val="20"/>
              </w:rPr>
            </w:pPr>
            <w:r>
              <w:rPr>
                <w:rFonts w:cs="Times New Roman"/>
                <w:sz w:val="20"/>
                <w:szCs w:val="20"/>
              </w:rPr>
              <w:t>Glomeraceae</w:t>
            </w:r>
          </w:p>
        </w:tc>
        <w:tc>
          <w:tcPr>
            <w:tcW w:w="2552" w:type="dxa"/>
            <w:gridSpan w:val="2"/>
          </w:tcPr>
          <w:p w:rsidR="007B5FDA" w:rsidRPr="00DE1AD4" w:rsidRDefault="007945C4" w:rsidP="006A7BF3">
            <w:pPr>
              <w:spacing w:line="240" w:lineRule="auto"/>
              <w:jc w:val="center"/>
              <w:rPr>
                <w:rFonts w:cs="Times New Roman"/>
                <w:sz w:val="20"/>
                <w:szCs w:val="20"/>
              </w:rPr>
            </w:pPr>
            <w:r>
              <w:rPr>
                <w:rFonts w:cs="Times New Roman"/>
                <w:sz w:val="20"/>
                <w:szCs w:val="20"/>
              </w:rPr>
              <w:t>11.96</w:t>
            </w:r>
          </w:p>
        </w:tc>
        <w:tc>
          <w:tcPr>
            <w:tcW w:w="992" w:type="dxa"/>
          </w:tcPr>
          <w:p w:rsidR="007B5FDA" w:rsidRPr="00DE1AD4" w:rsidRDefault="007945C4" w:rsidP="006A7BF3">
            <w:pPr>
              <w:spacing w:line="240" w:lineRule="auto"/>
              <w:jc w:val="center"/>
              <w:rPr>
                <w:rFonts w:cs="Times New Roman"/>
                <w:sz w:val="20"/>
                <w:szCs w:val="20"/>
              </w:rPr>
            </w:pPr>
            <w:r>
              <w:rPr>
                <w:rFonts w:cs="Times New Roman"/>
                <w:sz w:val="20"/>
                <w:szCs w:val="20"/>
              </w:rPr>
              <w:t>0.81</w:t>
            </w:r>
          </w:p>
        </w:tc>
        <w:tc>
          <w:tcPr>
            <w:tcW w:w="992" w:type="dxa"/>
          </w:tcPr>
          <w:p w:rsidR="007B5FDA" w:rsidRPr="00DE1AD4" w:rsidRDefault="007945C4" w:rsidP="006A7BF3">
            <w:pPr>
              <w:spacing w:line="240" w:lineRule="auto"/>
              <w:jc w:val="center"/>
              <w:rPr>
                <w:rFonts w:cs="Times New Roman"/>
                <w:sz w:val="20"/>
                <w:szCs w:val="20"/>
              </w:rPr>
            </w:pPr>
            <w:r>
              <w:rPr>
                <w:rFonts w:cs="Times New Roman"/>
                <w:sz w:val="20"/>
                <w:szCs w:val="20"/>
              </w:rPr>
              <w:t>0.525</w:t>
            </w:r>
          </w:p>
        </w:tc>
      </w:tr>
      <w:tr w:rsidR="00B46350" w:rsidRPr="00F55C45" w:rsidTr="007945C4">
        <w:trPr>
          <w:trHeight w:val="340"/>
        </w:trPr>
        <w:tc>
          <w:tcPr>
            <w:tcW w:w="1560" w:type="dxa"/>
          </w:tcPr>
          <w:p w:rsidR="00B46350" w:rsidRPr="00DE1AD4" w:rsidRDefault="00B46350" w:rsidP="006A7BF3">
            <w:pPr>
              <w:spacing w:line="240" w:lineRule="auto"/>
              <w:rPr>
                <w:rFonts w:cs="Times New Roman"/>
                <w:sz w:val="20"/>
                <w:szCs w:val="20"/>
              </w:rPr>
            </w:pPr>
            <w:r w:rsidRPr="00DE1AD4">
              <w:rPr>
                <w:rFonts w:cs="Times New Roman"/>
                <w:sz w:val="20"/>
                <w:szCs w:val="20"/>
              </w:rPr>
              <w:t>OTU3</w:t>
            </w:r>
          </w:p>
        </w:tc>
        <w:tc>
          <w:tcPr>
            <w:tcW w:w="2409" w:type="dxa"/>
            <w:gridSpan w:val="2"/>
          </w:tcPr>
          <w:p w:rsidR="00B46350" w:rsidRPr="00DE1AD4" w:rsidRDefault="00B46350" w:rsidP="006A7BF3">
            <w:pPr>
              <w:spacing w:line="240" w:lineRule="auto"/>
              <w:jc w:val="left"/>
              <w:rPr>
                <w:rFonts w:cs="Times New Roman"/>
                <w:sz w:val="20"/>
                <w:szCs w:val="20"/>
              </w:rPr>
            </w:pPr>
            <w:r w:rsidRPr="00DE1AD4">
              <w:rPr>
                <w:rFonts w:cs="Times New Roman"/>
                <w:sz w:val="20"/>
                <w:szCs w:val="20"/>
              </w:rPr>
              <w:t>Claroideoglomeraceae</w:t>
            </w:r>
          </w:p>
        </w:tc>
        <w:tc>
          <w:tcPr>
            <w:tcW w:w="2552" w:type="dxa"/>
            <w:gridSpan w:val="2"/>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9.05</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3.49</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0.012</w:t>
            </w:r>
          </w:p>
        </w:tc>
      </w:tr>
      <w:tr w:rsidR="00B46350" w:rsidRPr="00F55C45" w:rsidTr="007945C4">
        <w:trPr>
          <w:trHeight w:val="340"/>
        </w:trPr>
        <w:tc>
          <w:tcPr>
            <w:tcW w:w="1560" w:type="dxa"/>
          </w:tcPr>
          <w:p w:rsidR="00B46350" w:rsidRPr="00DE1AD4" w:rsidRDefault="00B46350" w:rsidP="006A7BF3">
            <w:pPr>
              <w:spacing w:line="240" w:lineRule="auto"/>
              <w:rPr>
                <w:rFonts w:cs="Times New Roman"/>
                <w:sz w:val="20"/>
                <w:szCs w:val="20"/>
              </w:rPr>
            </w:pPr>
            <w:r w:rsidRPr="00DE1AD4">
              <w:rPr>
                <w:rFonts w:cs="Times New Roman"/>
                <w:sz w:val="20"/>
                <w:szCs w:val="20"/>
              </w:rPr>
              <w:t>OTU4</w:t>
            </w:r>
          </w:p>
        </w:tc>
        <w:tc>
          <w:tcPr>
            <w:tcW w:w="2409" w:type="dxa"/>
            <w:gridSpan w:val="2"/>
          </w:tcPr>
          <w:p w:rsidR="00B46350" w:rsidRPr="00DE1AD4" w:rsidRDefault="00B46350" w:rsidP="006A7BF3">
            <w:pPr>
              <w:spacing w:line="240" w:lineRule="auto"/>
              <w:jc w:val="left"/>
              <w:rPr>
                <w:rFonts w:cs="Times New Roman"/>
                <w:sz w:val="20"/>
                <w:szCs w:val="20"/>
              </w:rPr>
            </w:pPr>
            <w:r w:rsidRPr="00DE1AD4">
              <w:rPr>
                <w:rFonts w:cs="Times New Roman"/>
                <w:sz w:val="20"/>
                <w:szCs w:val="20"/>
              </w:rPr>
              <w:t>Claroideoglomeraceae</w:t>
            </w:r>
          </w:p>
        </w:tc>
        <w:tc>
          <w:tcPr>
            <w:tcW w:w="2552" w:type="dxa"/>
            <w:gridSpan w:val="2"/>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8.04</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5.03</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0.001</w:t>
            </w:r>
          </w:p>
        </w:tc>
      </w:tr>
      <w:tr w:rsidR="00B46350" w:rsidRPr="00F55C45" w:rsidTr="007945C4">
        <w:trPr>
          <w:trHeight w:val="340"/>
        </w:trPr>
        <w:tc>
          <w:tcPr>
            <w:tcW w:w="1560" w:type="dxa"/>
          </w:tcPr>
          <w:p w:rsidR="00B46350" w:rsidRPr="00DE1AD4" w:rsidRDefault="00B46350" w:rsidP="006A7BF3">
            <w:pPr>
              <w:spacing w:line="240" w:lineRule="auto"/>
              <w:rPr>
                <w:rFonts w:cs="Times New Roman"/>
                <w:sz w:val="20"/>
                <w:szCs w:val="20"/>
              </w:rPr>
            </w:pPr>
            <w:r w:rsidRPr="00DE1AD4">
              <w:rPr>
                <w:rFonts w:cs="Times New Roman"/>
                <w:sz w:val="20"/>
                <w:szCs w:val="20"/>
              </w:rPr>
              <w:t>OTU5</w:t>
            </w:r>
          </w:p>
        </w:tc>
        <w:tc>
          <w:tcPr>
            <w:tcW w:w="2409" w:type="dxa"/>
            <w:gridSpan w:val="2"/>
          </w:tcPr>
          <w:p w:rsidR="00B46350" w:rsidRPr="00DE1AD4" w:rsidRDefault="00B46350" w:rsidP="006A7BF3">
            <w:pPr>
              <w:spacing w:line="240" w:lineRule="auto"/>
              <w:jc w:val="left"/>
              <w:rPr>
                <w:rFonts w:cs="Times New Roman"/>
                <w:sz w:val="20"/>
                <w:szCs w:val="20"/>
              </w:rPr>
            </w:pPr>
            <w:r w:rsidRPr="00DE1AD4">
              <w:rPr>
                <w:rFonts w:cs="Times New Roman"/>
                <w:sz w:val="20"/>
                <w:szCs w:val="20"/>
              </w:rPr>
              <w:t>Glomeraceae</w:t>
            </w:r>
          </w:p>
        </w:tc>
        <w:tc>
          <w:tcPr>
            <w:tcW w:w="2552" w:type="dxa"/>
            <w:gridSpan w:val="2"/>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7.73</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3.18</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0.018</w:t>
            </w:r>
          </w:p>
        </w:tc>
      </w:tr>
      <w:tr w:rsidR="00B46350" w:rsidRPr="00F55C45" w:rsidTr="007945C4">
        <w:trPr>
          <w:trHeight w:val="340"/>
        </w:trPr>
        <w:tc>
          <w:tcPr>
            <w:tcW w:w="1560" w:type="dxa"/>
          </w:tcPr>
          <w:p w:rsidR="00B46350" w:rsidRPr="00DE1AD4" w:rsidRDefault="00B46350" w:rsidP="006A7BF3">
            <w:pPr>
              <w:spacing w:line="240" w:lineRule="auto"/>
              <w:rPr>
                <w:rFonts w:cs="Times New Roman"/>
                <w:sz w:val="20"/>
                <w:szCs w:val="20"/>
              </w:rPr>
            </w:pPr>
            <w:r w:rsidRPr="00DE1AD4">
              <w:rPr>
                <w:rFonts w:cs="Times New Roman"/>
                <w:sz w:val="20"/>
                <w:szCs w:val="20"/>
              </w:rPr>
              <w:t>OTU8</w:t>
            </w:r>
          </w:p>
        </w:tc>
        <w:tc>
          <w:tcPr>
            <w:tcW w:w="2409" w:type="dxa"/>
            <w:gridSpan w:val="2"/>
          </w:tcPr>
          <w:p w:rsidR="00B46350" w:rsidRPr="00DE1AD4" w:rsidRDefault="00B46350" w:rsidP="006A7BF3">
            <w:pPr>
              <w:spacing w:line="240" w:lineRule="auto"/>
              <w:jc w:val="left"/>
              <w:rPr>
                <w:rFonts w:cs="Times New Roman"/>
                <w:sz w:val="20"/>
                <w:szCs w:val="20"/>
              </w:rPr>
            </w:pPr>
            <w:r w:rsidRPr="00DE1AD4">
              <w:rPr>
                <w:rFonts w:cs="Times New Roman"/>
                <w:sz w:val="20"/>
                <w:szCs w:val="20"/>
              </w:rPr>
              <w:t>Glomeraceae</w:t>
            </w:r>
          </w:p>
        </w:tc>
        <w:tc>
          <w:tcPr>
            <w:tcW w:w="2552" w:type="dxa"/>
            <w:gridSpan w:val="2"/>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7.55</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7.39</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&lt;0.001</w:t>
            </w:r>
          </w:p>
        </w:tc>
      </w:tr>
      <w:tr w:rsidR="00B46350" w:rsidRPr="00F55C45" w:rsidTr="007945C4">
        <w:trPr>
          <w:trHeight w:val="340"/>
        </w:trPr>
        <w:tc>
          <w:tcPr>
            <w:tcW w:w="1560" w:type="dxa"/>
          </w:tcPr>
          <w:p w:rsidR="00B46350" w:rsidRPr="00DE1AD4" w:rsidRDefault="00B46350" w:rsidP="006A7BF3">
            <w:pPr>
              <w:spacing w:line="240" w:lineRule="auto"/>
              <w:rPr>
                <w:rFonts w:cs="Times New Roman"/>
                <w:sz w:val="20"/>
                <w:szCs w:val="20"/>
              </w:rPr>
            </w:pPr>
            <w:r w:rsidRPr="00DE1AD4">
              <w:rPr>
                <w:rFonts w:cs="Times New Roman"/>
                <w:sz w:val="20"/>
                <w:szCs w:val="20"/>
              </w:rPr>
              <w:t>OTU7</w:t>
            </w:r>
          </w:p>
        </w:tc>
        <w:tc>
          <w:tcPr>
            <w:tcW w:w="2409" w:type="dxa"/>
            <w:gridSpan w:val="2"/>
          </w:tcPr>
          <w:p w:rsidR="00B46350" w:rsidRPr="00DE1AD4" w:rsidRDefault="00B46350" w:rsidP="006A7BF3">
            <w:pPr>
              <w:spacing w:line="240" w:lineRule="auto"/>
              <w:jc w:val="left"/>
              <w:rPr>
                <w:rFonts w:cs="Times New Roman"/>
                <w:sz w:val="20"/>
                <w:szCs w:val="20"/>
              </w:rPr>
            </w:pPr>
            <w:r w:rsidRPr="00DE1AD4">
              <w:rPr>
                <w:rFonts w:cs="Times New Roman"/>
                <w:sz w:val="20"/>
                <w:szCs w:val="20"/>
              </w:rPr>
              <w:t>Glomeraceae</w:t>
            </w:r>
          </w:p>
        </w:tc>
        <w:tc>
          <w:tcPr>
            <w:tcW w:w="2552" w:type="dxa"/>
            <w:gridSpan w:val="2"/>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7.09</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7.52</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&lt;0.001</w:t>
            </w:r>
          </w:p>
        </w:tc>
      </w:tr>
      <w:tr w:rsidR="00B46350" w:rsidRPr="00F55C45" w:rsidTr="007945C4">
        <w:trPr>
          <w:trHeight w:val="340"/>
        </w:trPr>
        <w:tc>
          <w:tcPr>
            <w:tcW w:w="1560" w:type="dxa"/>
          </w:tcPr>
          <w:p w:rsidR="00B46350" w:rsidRPr="00DE1AD4" w:rsidRDefault="00B46350" w:rsidP="006A7BF3">
            <w:pPr>
              <w:spacing w:line="240" w:lineRule="auto"/>
              <w:rPr>
                <w:rFonts w:cs="Times New Roman"/>
                <w:sz w:val="20"/>
                <w:szCs w:val="20"/>
              </w:rPr>
            </w:pPr>
            <w:r w:rsidRPr="00DE1AD4">
              <w:rPr>
                <w:rFonts w:cs="Times New Roman"/>
                <w:sz w:val="20"/>
                <w:szCs w:val="20"/>
              </w:rPr>
              <w:t>OTU9</w:t>
            </w:r>
          </w:p>
        </w:tc>
        <w:tc>
          <w:tcPr>
            <w:tcW w:w="2409" w:type="dxa"/>
            <w:gridSpan w:val="2"/>
          </w:tcPr>
          <w:p w:rsidR="00B46350" w:rsidRPr="00DE1AD4" w:rsidRDefault="00B46350" w:rsidP="006A7BF3">
            <w:pPr>
              <w:spacing w:line="240" w:lineRule="auto"/>
              <w:jc w:val="left"/>
              <w:rPr>
                <w:rFonts w:cs="Times New Roman"/>
                <w:sz w:val="20"/>
                <w:szCs w:val="20"/>
              </w:rPr>
            </w:pPr>
            <w:r w:rsidRPr="00DE1AD4">
              <w:rPr>
                <w:rFonts w:cs="Times New Roman"/>
                <w:sz w:val="20"/>
                <w:szCs w:val="20"/>
              </w:rPr>
              <w:t>Glomeraceae</w:t>
            </w:r>
          </w:p>
        </w:tc>
        <w:tc>
          <w:tcPr>
            <w:tcW w:w="2552" w:type="dxa"/>
            <w:gridSpan w:val="2"/>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6.18</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8.11</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&lt;0.001</w:t>
            </w:r>
          </w:p>
        </w:tc>
      </w:tr>
      <w:tr w:rsidR="00B46350" w:rsidRPr="00F55C45" w:rsidTr="007945C4">
        <w:trPr>
          <w:trHeight w:val="340"/>
        </w:trPr>
        <w:tc>
          <w:tcPr>
            <w:tcW w:w="1560" w:type="dxa"/>
          </w:tcPr>
          <w:p w:rsidR="00B46350" w:rsidRPr="00DE1AD4" w:rsidRDefault="00B46350" w:rsidP="006A7BF3">
            <w:pPr>
              <w:spacing w:line="240" w:lineRule="auto"/>
              <w:rPr>
                <w:rFonts w:cs="Times New Roman"/>
                <w:sz w:val="20"/>
                <w:szCs w:val="20"/>
              </w:rPr>
            </w:pPr>
            <w:r w:rsidRPr="00DE1AD4">
              <w:rPr>
                <w:rFonts w:cs="Times New Roman"/>
                <w:sz w:val="20"/>
                <w:szCs w:val="20"/>
              </w:rPr>
              <w:t>OTU34</w:t>
            </w:r>
          </w:p>
        </w:tc>
        <w:tc>
          <w:tcPr>
            <w:tcW w:w="2409" w:type="dxa"/>
            <w:gridSpan w:val="2"/>
          </w:tcPr>
          <w:p w:rsidR="00B46350" w:rsidRPr="00DE1AD4" w:rsidRDefault="00B46350" w:rsidP="006A7BF3">
            <w:pPr>
              <w:spacing w:line="240" w:lineRule="auto"/>
              <w:jc w:val="left"/>
              <w:rPr>
                <w:rFonts w:cs="Times New Roman"/>
                <w:sz w:val="20"/>
                <w:szCs w:val="20"/>
              </w:rPr>
            </w:pPr>
            <w:r w:rsidRPr="00DE1AD4">
              <w:rPr>
                <w:rFonts w:cs="Times New Roman"/>
                <w:sz w:val="20"/>
                <w:szCs w:val="20"/>
              </w:rPr>
              <w:t>Glomeraceae</w:t>
            </w:r>
          </w:p>
        </w:tc>
        <w:tc>
          <w:tcPr>
            <w:tcW w:w="2552" w:type="dxa"/>
            <w:gridSpan w:val="2"/>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4.17</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13.54</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&lt;0.001</w:t>
            </w:r>
          </w:p>
        </w:tc>
      </w:tr>
      <w:tr w:rsidR="00870A20" w:rsidRPr="00F55C45" w:rsidTr="007945C4">
        <w:trPr>
          <w:trHeight w:val="340"/>
        </w:trPr>
        <w:tc>
          <w:tcPr>
            <w:tcW w:w="1560" w:type="dxa"/>
          </w:tcPr>
          <w:p w:rsidR="00870A20" w:rsidRPr="00DE1AD4" w:rsidRDefault="00870A20" w:rsidP="006A7BF3">
            <w:pPr>
              <w:spacing w:line="240" w:lineRule="auto"/>
              <w:rPr>
                <w:rFonts w:cs="Times New Roman"/>
                <w:sz w:val="20"/>
                <w:szCs w:val="20"/>
              </w:rPr>
            </w:pPr>
            <w:r>
              <w:rPr>
                <w:rFonts w:cs="Times New Roman"/>
                <w:sz w:val="20"/>
                <w:szCs w:val="20"/>
              </w:rPr>
              <w:t>OTU16</w:t>
            </w:r>
          </w:p>
        </w:tc>
        <w:tc>
          <w:tcPr>
            <w:tcW w:w="2409" w:type="dxa"/>
            <w:gridSpan w:val="2"/>
          </w:tcPr>
          <w:p w:rsidR="00870A20" w:rsidRPr="00DE1AD4" w:rsidRDefault="00870A20" w:rsidP="006A7BF3">
            <w:pPr>
              <w:spacing w:line="240" w:lineRule="auto"/>
              <w:jc w:val="left"/>
              <w:rPr>
                <w:rFonts w:cs="Times New Roman"/>
                <w:sz w:val="20"/>
                <w:szCs w:val="20"/>
              </w:rPr>
            </w:pPr>
            <w:proofErr w:type="spellStart"/>
            <w:r>
              <w:rPr>
                <w:rFonts w:cs="Times New Roman"/>
                <w:sz w:val="20"/>
                <w:szCs w:val="20"/>
              </w:rPr>
              <w:t>Acaulosporaceae</w:t>
            </w:r>
            <w:proofErr w:type="spellEnd"/>
          </w:p>
        </w:tc>
        <w:tc>
          <w:tcPr>
            <w:tcW w:w="2552" w:type="dxa"/>
            <w:gridSpan w:val="2"/>
          </w:tcPr>
          <w:p w:rsidR="00870A20" w:rsidRPr="00DE1AD4" w:rsidRDefault="00870A20" w:rsidP="006A7BF3">
            <w:pPr>
              <w:spacing w:line="240" w:lineRule="auto"/>
              <w:jc w:val="center"/>
              <w:rPr>
                <w:rFonts w:cs="Times New Roman"/>
                <w:sz w:val="20"/>
                <w:szCs w:val="20"/>
              </w:rPr>
            </w:pPr>
            <w:r>
              <w:rPr>
                <w:rFonts w:cs="Times New Roman"/>
                <w:sz w:val="20"/>
                <w:szCs w:val="20"/>
              </w:rPr>
              <w:t>2.90</w:t>
            </w:r>
          </w:p>
        </w:tc>
        <w:tc>
          <w:tcPr>
            <w:tcW w:w="992" w:type="dxa"/>
          </w:tcPr>
          <w:p w:rsidR="00870A20" w:rsidRPr="00DE1AD4" w:rsidRDefault="00682C5A" w:rsidP="006A7BF3">
            <w:pPr>
              <w:spacing w:line="240" w:lineRule="auto"/>
              <w:jc w:val="center"/>
              <w:rPr>
                <w:rFonts w:cs="Times New Roman"/>
                <w:sz w:val="20"/>
                <w:szCs w:val="20"/>
              </w:rPr>
            </w:pPr>
            <w:r>
              <w:rPr>
                <w:rFonts w:cs="Times New Roman"/>
                <w:sz w:val="20"/>
                <w:szCs w:val="20"/>
              </w:rPr>
              <w:t>1.42</w:t>
            </w:r>
          </w:p>
        </w:tc>
        <w:tc>
          <w:tcPr>
            <w:tcW w:w="992" w:type="dxa"/>
          </w:tcPr>
          <w:p w:rsidR="00870A20" w:rsidRPr="00DE1AD4" w:rsidRDefault="00682C5A" w:rsidP="006A7BF3">
            <w:pPr>
              <w:spacing w:line="240" w:lineRule="auto"/>
              <w:jc w:val="center"/>
              <w:rPr>
                <w:rFonts w:cs="Times New Roman"/>
                <w:sz w:val="20"/>
                <w:szCs w:val="20"/>
              </w:rPr>
            </w:pPr>
            <w:r>
              <w:rPr>
                <w:rFonts w:cs="Times New Roman"/>
                <w:sz w:val="20"/>
                <w:szCs w:val="20"/>
              </w:rPr>
              <w:t>0.237</w:t>
            </w:r>
          </w:p>
        </w:tc>
      </w:tr>
      <w:tr w:rsidR="00B46350" w:rsidRPr="00F55C45" w:rsidTr="007945C4">
        <w:trPr>
          <w:trHeight w:val="340"/>
        </w:trPr>
        <w:tc>
          <w:tcPr>
            <w:tcW w:w="1560" w:type="dxa"/>
          </w:tcPr>
          <w:p w:rsidR="00B46350" w:rsidRPr="00DE1AD4" w:rsidRDefault="00B46350" w:rsidP="006A7BF3">
            <w:pPr>
              <w:spacing w:line="240" w:lineRule="auto"/>
              <w:rPr>
                <w:rFonts w:cs="Times New Roman"/>
                <w:sz w:val="20"/>
                <w:szCs w:val="20"/>
              </w:rPr>
            </w:pPr>
            <w:r w:rsidRPr="00DE1AD4">
              <w:rPr>
                <w:rFonts w:cs="Times New Roman"/>
                <w:sz w:val="20"/>
                <w:szCs w:val="20"/>
              </w:rPr>
              <w:t>OTU10</w:t>
            </w:r>
          </w:p>
        </w:tc>
        <w:tc>
          <w:tcPr>
            <w:tcW w:w="2409" w:type="dxa"/>
            <w:gridSpan w:val="2"/>
          </w:tcPr>
          <w:p w:rsidR="00B46350" w:rsidRPr="00DE1AD4" w:rsidRDefault="00B46350" w:rsidP="006A7BF3">
            <w:pPr>
              <w:spacing w:line="240" w:lineRule="auto"/>
              <w:jc w:val="left"/>
              <w:rPr>
                <w:rFonts w:cs="Times New Roman"/>
                <w:sz w:val="20"/>
                <w:szCs w:val="20"/>
              </w:rPr>
            </w:pPr>
            <w:r w:rsidRPr="00DE1AD4">
              <w:rPr>
                <w:rFonts w:cs="Times New Roman"/>
                <w:sz w:val="20"/>
                <w:szCs w:val="20"/>
              </w:rPr>
              <w:t>Glomeraceae</w:t>
            </w:r>
          </w:p>
        </w:tc>
        <w:tc>
          <w:tcPr>
            <w:tcW w:w="2552" w:type="dxa"/>
            <w:gridSpan w:val="2"/>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2.70</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9.23</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&lt;0.001</w:t>
            </w:r>
          </w:p>
        </w:tc>
      </w:tr>
      <w:tr w:rsidR="00B46350" w:rsidRPr="00F55C45" w:rsidTr="007945C4">
        <w:trPr>
          <w:trHeight w:val="340"/>
        </w:trPr>
        <w:tc>
          <w:tcPr>
            <w:tcW w:w="1560" w:type="dxa"/>
          </w:tcPr>
          <w:p w:rsidR="00B46350" w:rsidRPr="00DE1AD4" w:rsidRDefault="00B46350" w:rsidP="006A7BF3">
            <w:pPr>
              <w:spacing w:line="240" w:lineRule="auto"/>
              <w:rPr>
                <w:rFonts w:cs="Times New Roman"/>
                <w:sz w:val="20"/>
                <w:szCs w:val="20"/>
              </w:rPr>
            </w:pPr>
            <w:r w:rsidRPr="00DE1AD4">
              <w:rPr>
                <w:rFonts w:cs="Times New Roman"/>
                <w:sz w:val="20"/>
                <w:szCs w:val="20"/>
              </w:rPr>
              <w:t>OTU15</w:t>
            </w:r>
          </w:p>
        </w:tc>
        <w:tc>
          <w:tcPr>
            <w:tcW w:w="2409" w:type="dxa"/>
            <w:gridSpan w:val="2"/>
          </w:tcPr>
          <w:p w:rsidR="00B46350" w:rsidRPr="00DE1AD4" w:rsidRDefault="00B46350" w:rsidP="006A7BF3">
            <w:pPr>
              <w:spacing w:line="240" w:lineRule="auto"/>
              <w:jc w:val="left"/>
              <w:rPr>
                <w:rFonts w:cs="Times New Roman"/>
                <w:sz w:val="20"/>
                <w:szCs w:val="20"/>
              </w:rPr>
            </w:pPr>
            <w:r w:rsidRPr="00DE1AD4">
              <w:rPr>
                <w:rFonts w:cs="Times New Roman"/>
                <w:sz w:val="20"/>
                <w:szCs w:val="20"/>
              </w:rPr>
              <w:t>Glomeraceae</w:t>
            </w:r>
          </w:p>
        </w:tc>
        <w:tc>
          <w:tcPr>
            <w:tcW w:w="2552" w:type="dxa"/>
            <w:gridSpan w:val="2"/>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2.66</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3.23</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0.017</w:t>
            </w:r>
          </w:p>
        </w:tc>
      </w:tr>
      <w:tr w:rsidR="00B46350" w:rsidRPr="00F55C45" w:rsidTr="007945C4">
        <w:trPr>
          <w:trHeight w:val="340"/>
        </w:trPr>
        <w:tc>
          <w:tcPr>
            <w:tcW w:w="1560" w:type="dxa"/>
          </w:tcPr>
          <w:p w:rsidR="00B46350" w:rsidRPr="00DE1AD4" w:rsidRDefault="00B46350" w:rsidP="006A7BF3">
            <w:pPr>
              <w:spacing w:line="240" w:lineRule="auto"/>
              <w:rPr>
                <w:rFonts w:cs="Times New Roman"/>
                <w:sz w:val="20"/>
                <w:szCs w:val="20"/>
              </w:rPr>
            </w:pPr>
            <w:r w:rsidRPr="00DE1AD4">
              <w:rPr>
                <w:rFonts w:cs="Times New Roman"/>
                <w:sz w:val="20"/>
                <w:szCs w:val="20"/>
              </w:rPr>
              <w:t>OTU25</w:t>
            </w:r>
          </w:p>
        </w:tc>
        <w:tc>
          <w:tcPr>
            <w:tcW w:w="2409" w:type="dxa"/>
            <w:gridSpan w:val="2"/>
          </w:tcPr>
          <w:p w:rsidR="00B46350" w:rsidRPr="00DE1AD4" w:rsidRDefault="00B46350" w:rsidP="006A7BF3">
            <w:pPr>
              <w:spacing w:line="240" w:lineRule="auto"/>
              <w:jc w:val="left"/>
              <w:rPr>
                <w:rFonts w:cs="Times New Roman"/>
                <w:sz w:val="20"/>
                <w:szCs w:val="20"/>
              </w:rPr>
            </w:pPr>
            <w:r w:rsidRPr="00DE1AD4">
              <w:rPr>
                <w:rFonts w:cs="Times New Roman"/>
                <w:sz w:val="20"/>
                <w:szCs w:val="20"/>
              </w:rPr>
              <w:t>Archaeosporaceae</w:t>
            </w:r>
          </w:p>
        </w:tc>
        <w:tc>
          <w:tcPr>
            <w:tcW w:w="2552" w:type="dxa"/>
            <w:gridSpan w:val="2"/>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1.21</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9.05</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&lt;0.001</w:t>
            </w:r>
          </w:p>
        </w:tc>
      </w:tr>
      <w:tr w:rsidR="00B46350" w:rsidRPr="00F55C45" w:rsidTr="007945C4">
        <w:trPr>
          <w:trHeight w:val="340"/>
        </w:trPr>
        <w:tc>
          <w:tcPr>
            <w:tcW w:w="1560" w:type="dxa"/>
          </w:tcPr>
          <w:p w:rsidR="00B46350" w:rsidRPr="00DE1AD4" w:rsidRDefault="00B46350" w:rsidP="006A7BF3">
            <w:pPr>
              <w:spacing w:line="240" w:lineRule="auto"/>
              <w:rPr>
                <w:rFonts w:cs="Times New Roman"/>
                <w:sz w:val="20"/>
                <w:szCs w:val="20"/>
              </w:rPr>
            </w:pPr>
            <w:r w:rsidRPr="00DE1AD4">
              <w:rPr>
                <w:rFonts w:cs="Times New Roman"/>
                <w:sz w:val="20"/>
                <w:szCs w:val="20"/>
              </w:rPr>
              <w:t>OTU12</w:t>
            </w:r>
          </w:p>
        </w:tc>
        <w:tc>
          <w:tcPr>
            <w:tcW w:w="2409" w:type="dxa"/>
            <w:gridSpan w:val="2"/>
          </w:tcPr>
          <w:p w:rsidR="00B46350" w:rsidRPr="00DE1AD4" w:rsidRDefault="00B46350" w:rsidP="006A7BF3">
            <w:pPr>
              <w:spacing w:line="240" w:lineRule="auto"/>
              <w:jc w:val="left"/>
              <w:rPr>
                <w:rFonts w:cs="Times New Roman"/>
                <w:sz w:val="20"/>
                <w:szCs w:val="20"/>
              </w:rPr>
            </w:pPr>
            <w:r w:rsidRPr="00DE1AD4">
              <w:rPr>
                <w:rFonts w:cs="Times New Roman"/>
                <w:sz w:val="20"/>
                <w:szCs w:val="20"/>
              </w:rPr>
              <w:t>Glomeraceae</w:t>
            </w:r>
          </w:p>
        </w:tc>
        <w:tc>
          <w:tcPr>
            <w:tcW w:w="2552" w:type="dxa"/>
            <w:gridSpan w:val="2"/>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0.85</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3.05</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0.022</w:t>
            </w:r>
          </w:p>
        </w:tc>
      </w:tr>
      <w:tr w:rsidR="00B46350" w:rsidRPr="00F55C45" w:rsidTr="007945C4">
        <w:trPr>
          <w:trHeight w:val="340"/>
        </w:trPr>
        <w:tc>
          <w:tcPr>
            <w:tcW w:w="1560" w:type="dxa"/>
          </w:tcPr>
          <w:p w:rsidR="00B46350" w:rsidRPr="00DE1AD4" w:rsidRDefault="00B46350" w:rsidP="006A7BF3">
            <w:pPr>
              <w:spacing w:line="240" w:lineRule="auto"/>
              <w:rPr>
                <w:rFonts w:cs="Times New Roman"/>
                <w:sz w:val="20"/>
                <w:szCs w:val="20"/>
              </w:rPr>
            </w:pPr>
            <w:r w:rsidRPr="00DE1AD4">
              <w:rPr>
                <w:rFonts w:cs="Times New Roman"/>
                <w:sz w:val="20"/>
                <w:szCs w:val="20"/>
              </w:rPr>
              <w:t>OTU19</w:t>
            </w:r>
          </w:p>
        </w:tc>
        <w:tc>
          <w:tcPr>
            <w:tcW w:w="2409" w:type="dxa"/>
            <w:gridSpan w:val="2"/>
          </w:tcPr>
          <w:p w:rsidR="00B46350" w:rsidRPr="00DE1AD4" w:rsidRDefault="00B46350" w:rsidP="006A7BF3">
            <w:pPr>
              <w:spacing w:line="240" w:lineRule="auto"/>
              <w:jc w:val="left"/>
              <w:rPr>
                <w:rFonts w:cs="Times New Roman"/>
                <w:sz w:val="20"/>
                <w:szCs w:val="20"/>
              </w:rPr>
            </w:pPr>
            <w:r w:rsidRPr="00DE1AD4">
              <w:rPr>
                <w:rFonts w:cs="Times New Roman"/>
                <w:sz w:val="20"/>
                <w:szCs w:val="20"/>
              </w:rPr>
              <w:t>Glomeraceae</w:t>
            </w:r>
          </w:p>
        </w:tc>
        <w:tc>
          <w:tcPr>
            <w:tcW w:w="2552" w:type="dxa"/>
            <w:gridSpan w:val="2"/>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0.39</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6.43</w:t>
            </w:r>
          </w:p>
        </w:tc>
        <w:tc>
          <w:tcPr>
            <w:tcW w:w="992" w:type="dxa"/>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&lt;0.001</w:t>
            </w:r>
          </w:p>
        </w:tc>
      </w:tr>
      <w:tr w:rsidR="00B46350" w:rsidRPr="00F55C45" w:rsidTr="007945C4">
        <w:trPr>
          <w:trHeight w:val="340"/>
        </w:trPr>
        <w:tc>
          <w:tcPr>
            <w:tcW w:w="1560" w:type="dxa"/>
            <w:tcBorders>
              <w:bottom w:val="single" w:sz="4" w:space="0" w:color="auto"/>
            </w:tcBorders>
          </w:tcPr>
          <w:p w:rsidR="00B46350" w:rsidRPr="00DE1AD4" w:rsidRDefault="00B46350" w:rsidP="006A7BF3">
            <w:pPr>
              <w:spacing w:line="240" w:lineRule="auto"/>
              <w:rPr>
                <w:rFonts w:cs="Times New Roman"/>
                <w:sz w:val="20"/>
                <w:szCs w:val="20"/>
              </w:rPr>
            </w:pPr>
            <w:r w:rsidRPr="00DE1AD4">
              <w:rPr>
                <w:rFonts w:cs="Times New Roman"/>
                <w:sz w:val="20"/>
                <w:szCs w:val="20"/>
              </w:rPr>
              <w:t>OTU32*</w:t>
            </w:r>
          </w:p>
        </w:tc>
        <w:tc>
          <w:tcPr>
            <w:tcW w:w="2409" w:type="dxa"/>
            <w:gridSpan w:val="2"/>
            <w:tcBorders>
              <w:bottom w:val="single" w:sz="4" w:space="0" w:color="auto"/>
            </w:tcBorders>
          </w:tcPr>
          <w:p w:rsidR="00B46350" w:rsidRPr="00DE1AD4" w:rsidRDefault="00B46350" w:rsidP="006A7BF3">
            <w:pPr>
              <w:spacing w:line="240" w:lineRule="auto"/>
              <w:jc w:val="left"/>
              <w:rPr>
                <w:rFonts w:cs="Times New Roman"/>
                <w:sz w:val="20"/>
                <w:szCs w:val="20"/>
              </w:rPr>
            </w:pPr>
            <w:r w:rsidRPr="00DE1AD4">
              <w:rPr>
                <w:rFonts w:cs="Times New Roman"/>
                <w:sz w:val="20"/>
                <w:szCs w:val="20"/>
              </w:rPr>
              <w:t>Glomeraceae</w:t>
            </w:r>
          </w:p>
        </w:tc>
        <w:tc>
          <w:tcPr>
            <w:tcW w:w="2552" w:type="dxa"/>
            <w:gridSpan w:val="2"/>
            <w:tcBorders>
              <w:bottom w:val="single" w:sz="4" w:space="0" w:color="auto"/>
            </w:tcBorders>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0.24</w:t>
            </w:r>
          </w:p>
        </w:tc>
        <w:tc>
          <w:tcPr>
            <w:tcW w:w="992" w:type="dxa"/>
            <w:tcBorders>
              <w:bottom w:val="single" w:sz="4" w:space="0" w:color="auto"/>
            </w:tcBorders>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4.19</w:t>
            </w:r>
          </w:p>
        </w:tc>
        <w:tc>
          <w:tcPr>
            <w:tcW w:w="992" w:type="dxa"/>
            <w:tcBorders>
              <w:bottom w:val="single" w:sz="4" w:space="0" w:color="auto"/>
            </w:tcBorders>
          </w:tcPr>
          <w:p w:rsidR="00B46350" w:rsidRPr="00DE1AD4" w:rsidRDefault="00B46350" w:rsidP="006A7BF3">
            <w:pPr>
              <w:spacing w:line="240" w:lineRule="auto"/>
              <w:jc w:val="center"/>
              <w:rPr>
                <w:rFonts w:cs="Times New Roman"/>
                <w:sz w:val="20"/>
                <w:szCs w:val="20"/>
              </w:rPr>
            </w:pPr>
            <w:r w:rsidRPr="00DE1AD4">
              <w:rPr>
                <w:rFonts w:cs="Times New Roman"/>
                <w:sz w:val="20"/>
                <w:szCs w:val="20"/>
              </w:rPr>
              <w:t>0.004</w:t>
            </w:r>
          </w:p>
          <w:p w:rsidR="00B46350" w:rsidRPr="00DE1AD4" w:rsidRDefault="00B46350" w:rsidP="006A7BF3">
            <w:pPr>
              <w:spacing w:line="240" w:lineRule="auto"/>
              <w:jc w:val="center"/>
              <w:rPr>
                <w:rFonts w:cs="Times New Roman"/>
                <w:sz w:val="20"/>
                <w:szCs w:val="20"/>
              </w:rPr>
            </w:pPr>
          </w:p>
        </w:tc>
      </w:tr>
      <w:tr w:rsidR="00B46350" w:rsidRPr="007A1FCF" w:rsidTr="006A7BF3">
        <w:trPr>
          <w:gridAfter w:val="3"/>
          <w:wAfter w:w="4124" w:type="dxa"/>
          <w:trHeight w:val="515"/>
        </w:trPr>
        <w:tc>
          <w:tcPr>
            <w:tcW w:w="3394" w:type="dxa"/>
            <w:gridSpan w:val="2"/>
          </w:tcPr>
          <w:p w:rsidR="00B46350" w:rsidRPr="00446737" w:rsidRDefault="00B46350" w:rsidP="006A7BF3">
            <w:pPr>
              <w:spacing w:line="240" w:lineRule="auto"/>
              <w:rPr>
                <w:rFonts w:cs="Times New Roman"/>
                <w:sz w:val="16"/>
                <w:szCs w:val="16"/>
              </w:rPr>
            </w:pPr>
            <w:r w:rsidRPr="00446737">
              <w:rPr>
                <w:rFonts w:cs="Times New Roman"/>
                <w:sz w:val="16"/>
                <w:szCs w:val="16"/>
              </w:rPr>
              <w:t>*Log10</w:t>
            </w:r>
            <w:r>
              <w:rPr>
                <w:rFonts w:cs="Times New Roman"/>
                <w:sz w:val="16"/>
                <w:szCs w:val="16"/>
              </w:rPr>
              <w:t xml:space="preserve"> </w:t>
            </w:r>
            <w:r w:rsidRPr="00446737">
              <w:rPr>
                <w:rFonts w:cs="Times New Roman"/>
                <w:sz w:val="16"/>
                <w:szCs w:val="16"/>
              </w:rPr>
              <w:t>+1 data transformation for analysis</w:t>
            </w:r>
          </w:p>
        </w:tc>
        <w:tc>
          <w:tcPr>
            <w:tcW w:w="987" w:type="dxa"/>
            <w:gridSpan w:val="2"/>
          </w:tcPr>
          <w:p w:rsidR="00B46350" w:rsidRPr="00446737" w:rsidRDefault="00B46350" w:rsidP="006A7BF3">
            <w:pPr>
              <w:spacing w:line="240" w:lineRule="auto"/>
              <w:rPr>
                <w:rFonts w:cs="Times New Roman"/>
                <w:sz w:val="16"/>
                <w:szCs w:val="16"/>
              </w:rPr>
            </w:pPr>
          </w:p>
        </w:tc>
      </w:tr>
    </w:tbl>
    <w:p w:rsidR="00192CC7" w:rsidRDefault="00192CC7" w:rsidP="00B46350">
      <w:pPr>
        <w:spacing w:line="240" w:lineRule="auto"/>
        <w:sectPr w:rsidR="00192CC7" w:rsidSect="00B46350">
          <w:pgSz w:w="11906" w:h="16838" w:code="9"/>
          <w:pgMar w:top="1134" w:right="1134" w:bottom="1134" w:left="2268" w:header="709" w:footer="709" w:gutter="0"/>
          <w:cols w:space="708"/>
          <w:docGrid w:linePitch="360"/>
        </w:sectPr>
      </w:pPr>
    </w:p>
    <w:p w:rsidR="00B46350" w:rsidRDefault="00B46350" w:rsidP="00B46350">
      <w:pPr>
        <w:spacing w:line="240" w:lineRule="auto"/>
      </w:pPr>
    </w:p>
    <w:p w:rsidR="00B46350" w:rsidRDefault="00E0714D" w:rsidP="00B46350">
      <w:r>
        <w:rPr>
          <w:noProof/>
          <w:lang w:eastAsia="en-GB"/>
        </w:rPr>
        <w:drawing>
          <wp:inline distT="0" distB="0" distL="0" distR="0">
            <wp:extent cx="5400040" cy="7062470"/>
            <wp:effectExtent l="0" t="0" r="0" b="508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CORRECTIONS Fig 3.17.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0040" cy="7062470"/>
                    </a:xfrm>
                    <a:prstGeom prst="rect">
                      <a:avLst/>
                    </a:prstGeom>
                  </pic:spPr>
                </pic:pic>
              </a:graphicData>
            </a:graphic>
          </wp:inline>
        </w:drawing>
      </w:r>
    </w:p>
    <w:p w:rsidR="00B46350" w:rsidRDefault="00B46350" w:rsidP="00B46350"/>
    <w:p w:rsidR="00B46350" w:rsidRPr="00F55C45" w:rsidRDefault="00B46350" w:rsidP="003C6D28">
      <w:pPr>
        <w:pStyle w:val="Caption"/>
      </w:pPr>
      <w:bookmarkStart w:id="334" w:name="_Ref466126057"/>
      <w:bookmarkStart w:id="335" w:name="_Ref467850818"/>
      <w:bookmarkStart w:id="336" w:name="_Toc469982782"/>
      <w:bookmarkStart w:id="337" w:name="OLE_LINK3"/>
      <w:r w:rsidRPr="00F55C45">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17</w:t>
      </w:r>
      <w:r w:rsidR="00C44EF5">
        <w:rPr>
          <w:noProof/>
        </w:rPr>
        <w:fldChar w:fldCharType="end"/>
      </w:r>
      <w:bookmarkEnd w:id="334"/>
      <w:r w:rsidRPr="00F55C45">
        <w:t xml:space="preserve"> </w:t>
      </w:r>
      <w:r>
        <w:t>Principal</w:t>
      </w:r>
      <w:r w:rsidRPr="00F55C45">
        <w:t xml:space="preserve"> Component Analysis (PCA) of OTU relative abundance data. All presented </w:t>
      </w:r>
      <w:r>
        <w:t>principal</w:t>
      </w:r>
      <w:r w:rsidRPr="00F55C45">
        <w:t xml:space="preserve"> component scores were significantly affected by habitat type; a) PC1 and PC2 scores, b) PC4 and PC5 scores, c) PC6 and PC9 scores, d) proportion of variation in data explained by the first ten </w:t>
      </w:r>
      <w:r>
        <w:t>principal</w:t>
      </w:r>
      <w:r w:rsidRPr="00F55C45">
        <w:t xml:space="preserve"> components showing the </w:t>
      </w:r>
      <w:r w:rsidRPr="003C6D28">
        <w:t>majority</w:t>
      </w:r>
      <w:r w:rsidRPr="00F55C45">
        <w:t xml:space="preserve"> of the variation in the data was explained by the first ten </w:t>
      </w:r>
      <w:r>
        <w:t>principal</w:t>
      </w:r>
      <w:r w:rsidRPr="00F55C45">
        <w:t xml:space="preserve"> component scores. Habitat codes are as follows: CB; conventional bush orchards, CS; conventional standard orchards, OS, organic standard orchard, A; arable, W; woodland.</w:t>
      </w:r>
      <w:bookmarkEnd w:id="335"/>
      <w:bookmarkEnd w:id="336"/>
    </w:p>
    <w:bookmarkEnd w:id="337"/>
    <w:p w:rsidR="00B46350" w:rsidRDefault="00E0714D" w:rsidP="00B46350">
      <w:r>
        <w:rPr>
          <w:noProof/>
          <w:lang w:eastAsia="en-GB"/>
        </w:rPr>
        <w:lastRenderedPageBreak/>
        <w:drawing>
          <wp:inline distT="0" distB="0" distL="0" distR="0">
            <wp:extent cx="5400040" cy="706818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CORRECTION Fig 3.18 Leek OTU pres abs.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00040" cy="7068185"/>
                    </a:xfrm>
                    <a:prstGeom prst="rect">
                      <a:avLst/>
                    </a:prstGeom>
                  </pic:spPr>
                </pic:pic>
              </a:graphicData>
            </a:graphic>
          </wp:inline>
        </w:drawing>
      </w:r>
    </w:p>
    <w:p w:rsidR="00B46350" w:rsidRPr="00F55C45" w:rsidRDefault="00B46350" w:rsidP="003C6D28">
      <w:pPr>
        <w:pStyle w:val="Caption"/>
      </w:pPr>
      <w:bookmarkStart w:id="338" w:name="_Ref465010156"/>
      <w:bookmarkStart w:id="339" w:name="_Ref465420656"/>
      <w:bookmarkStart w:id="340" w:name="_Toc469982783"/>
      <w:r w:rsidRPr="00F55C45">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w:instrText>
      </w:r>
      <w:r w:rsidR="00C44EF5">
        <w:instrText xml:space="preserve"> Figure \* ARABIC \s 1 </w:instrText>
      </w:r>
      <w:r w:rsidR="00C44EF5">
        <w:fldChar w:fldCharType="separate"/>
      </w:r>
      <w:r w:rsidR="00E0714D">
        <w:rPr>
          <w:noProof/>
        </w:rPr>
        <w:t>18</w:t>
      </w:r>
      <w:r w:rsidR="00C44EF5">
        <w:rPr>
          <w:noProof/>
        </w:rPr>
        <w:fldChar w:fldCharType="end"/>
      </w:r>
      <w:bookmarkEnd w:id="338"/>
      <w:r w:rsidRPr="00F55C45">
        <w:t xml:space="preserve"> </w:t>
      </w:r>
      <w:r>
        <w:t>Principal</w:t>
      </w:r>
      <w:r w:rsidRPr="00F55C45">
        <w:t xml:space="preserve"> Component Analysis (PCA) of OTU presence and absence data</w:t>
      </w:r>
      <w:bookmarkEnd w:id="339"/>
      <w:r w:rsidRPr="00F55C45">
        <w:t xml:space="preserve">. All presented </w:t>
      </w:r>
      <w:r>
        <w:t>principal</w:t>
      </w:r>
      <w:r w:rsidRPr="00F55C45">
        <w:t xml:space="preserve"> component scores were significantly affected by habitat type; a) PC1 and PC2 scores, b) PC3 and PC4 scores, c) PC5 and PC7 scores, d) proportion of variation in data explained by the first ten </w:t>
      </w:r>
      <w:r>
        <w:t>principal</w:t>
      </w:r>
      <w:r w:rsidRPr="00F55C45">
        <w:t xml:space="preserve"> components showing the majority of the variation in the data was explained by the first ten </w:t>
      </w:r>
      <w:r>
        <w:t>principal</w:t>
      </w:r>
      <w:r w:rsidRPr="00F55C45">
        <w:t xml:space="preserve"> component scores. Habitat codes are as </w:t>
      </w:r>
      <w:r w:rsidRPr="003C6D28">
        <w:t>follows</w:t>
      </w:r>
      <w:r w:rsidRPr="00F55C45">
        <w:t>: CB; conventional bush orchards, CS; conventional standard orchards, OS, organic standard orchard, A; arable, W; woodland.</w:t>
      </w:r>
      <w:bookmarkEnd w:id="340"/>
    </w:p>
    <w:p w:rsidR="003C6D28" w:rsidRDefault="003C6D28" w:rsidP="00B46350">
      <w:pPr>
        <w:pStyle w:val="Caption"/>
        <w:sectPr w:rsidR="003C6D28" w:rsidSect="00192CC7">
          <w:type w:val="evenPage"/>
          <w:pgSz w:w="11906" w:h="16838" w:code="9"/>
          <w:pgMar w:top="1134" w:right="1134" w:bottom="1134" w:left="2268" w:header="709" w:footer="709" w:gutter="0"/>
          <w:cols w:space="708"/>
          <w:docGrid w:linePitch="360"/>
        </w:sectPr>
      </w:pPr>
    </w:p>
    <w:p w:rsidR="00B46350" w:rsidRDefault="00B46350" w:rsidP="00B46350">
      <w:pPr>
        <w:pStyle w:val="Caption"/>
      </w:pPr>
    </w:p>
    <w:p w:rsidR="00B46350" w:rsidRDefault="00B46350" w:rsidP="00B46350">
      <w:r>
        <w:rPr>
          <w:noProof/>
          <w:lang w:eastAsia="en-GB"/>
        </w:rPr>
        <w:drawing>
          <wp:inline distT="0" distB="0" distL="0" distR="0" wp14:anchorId="1CA07B30" wp14:editId="53A2975C">
            <wp:extent cx="5400040" cy="82175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TU_rel_abund_rev_seq_a_h.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00040" cy="8217535"/>
                    </a:xfrm>
                    <a:prstGeom prst="rect">
                      <a:avLst/>
                    </a:prstGeom>
                  </pic:spPr>
                </pic:pic>
              </a:graphicData>
            </a:graphic>
          </wp:inline>
        </w:drawing>
      </w:r>
    </w:p>
    <w:p w:rsidR="00B46350" w:rsidRDefault="00B46350" w:rsidP="00B46350">
      <w:r>
        <w:br w:type="page"/>
      </w:r>
    </w:p>
    <w:p w:rsidR="00B46350" w:rsidRDefault="00B46350" w:rsidP="00B46350">
      <w:r>
        <w:rPr>
          <w:noProof/>
          <w:lang w:eastAsia="en-GB"/>
        </w:rPr>
        <w:lastRenderedPageBreak/>
        <w:drawing>
          <wp:inline distT="0" distB="0" distL="0" distR="0" wp14:anchorId="1F9583BC" wp14:editId="45EB7892">
            <wp:extent cx="5400040" cy="61988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TU_rel_abund_12 to 34.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00040" cy="6198870"/>
                    </a:xfrm>
                    <a:prstGeom prst="rect">
                      <a:avLst/>
                    </a:prstGeom>
                  </pic:spPr>
                </pic:pic>
              </a:graphicData>
            </a:graphic>
          </wp:inline>
        </w:drawing>
      </w:r>
    </w:p>
    <w:p w:rsidR="00B46350" w:rsidRDefault="00B46350" w:rsidP="003C6D28">
      <w:pPr>
        <w:pStyle w:val="Caption"/>
        <w:sectPr w:rsidR="00B46350" w:rsidSect="003C6D28">
          <w:type w:val="evenPage"/>
          <w:pgSz w:w="11906" w:h="16838" w:code="9"/>
          <w:pgMar w:top="1134" w:right="1134" w:bottom="1134" w:left="2268" w:header="709" w:footer="709" w:gutter="0"/>
          <w:cols w:space="708"/>
          <w:docGrid w:linePitch="360"/>
        </w:sectPr>
      </w:pPr>
      <w:bookmarkStart w:id="341" w:name="_Ref466197868"/>
      <w:bookmarkStart w:id="342" w:name="_Ref466197863"/>
      <w:bookmarkStart w:id="343" w:name="_Toc469982784"/>
      <w:r w:rsidRPr="00F55C45">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19</w:t>
      </w:r>
      <w:r w:rsidR="00C44EF5">
        <w:rPr>
          <w:noProof/>
        </w:rPr>
        <w:fldChar w:fldCharType="end"/>
      </w:r>
      <w:bookmarkEnd w:id="341"/>
      <w:r w:rsidRPr="00F55C45">
        <w:t xml:space="preserve"> Average relative abundance of OTUs per habitat type. Figures (a) to (n) present relative abundance of OTUs which show significant differences between habitat types. Habitat codes are as follows: A; arable, CB; conventional bush orchard, CS; conventional standard orchard, OS; organic standard orchard, W; woodland. Error bars show SE of mean (n=25). Treatments with the same letter do not differ significantly from one another (Tukey HSD, </w:t>
      </w:r>
      <w:r w:rsidRPr="00F55C45">
        <w:rPr>
          <w:i/>
        </w:rPr>
        <w:t>P</w:t>
      </w:r>
      <w:r w:rsidRPr="00F55C45">
        <w:t>&lt;0.05).</w:t>
      </w:r>
      <w:bookmarkEnd w:id="342"/>
      <w:bookmarkEnd w:id="343"/>
    </w:p>
    <w:p w:rsidR="00B46350" w:rsidRDefault="00B46350" w:rsidP="00B46350">
      <w:pPr>
        <w:rPr>
          <w:noProof/>
          <w:lang w:eastAsia="en-GB"/>
        </w:rPr>
      </w:pPr>
      <w:r>
        <w:rPr>
          <w:noProof/>
          <w:lang w:eastAsia="en-GB"/>
        </w:rPr>
        <w:lastRenderedPageBreak/>
        <w:t>(a)</w:t>
      </w:r>
      <w:r>
        <w:rPr>
          <w:noProof/>
          <w:lang w:eastAsia="en-GB"/>
        </w:rPr>
        <w:drawing>
          <wp:inline distT="0" distB="0" distL="0" distR="0" wp14:anchorId="757D587F" wp14:editId="64B8E9B5">
            <wp:extent cx="5400040" cy="36004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Rev_seq_Order.png"/>
                    <pic:cNvPicPr/>
                  </pic:nvPicPr>
                  <pic:blipFill>
                    <a:blip r:embed="rId48">
                      <a:extLst>
                        <a:ext uri="{28A0092B-C50C-407E-A947-70E740481C1C}">
                          <a14:useLocalDpi xmlns:a14="http://schemas.microsoft.com/office/drawing/2010/main" val="0"/>
                        </a:ext>
                      </a:extLst>
                    </a:blip>
                    <a:stretch>
                      <a:fillRect/>
                    </a:stretch>
                  </pic:blipFill>
                  <pic:spPr>
                    <a:xfrm>
                      <a:off x="0" y="0"/>
                      <a:ext cx="5400040" cy="3600450"/>
                    </a:xfrm>
                    <a:prstGeom prst="rect">
                      <a:avLst/>
                    </a:prstGeom>
                  </pic:spPr>
                </pic:pic>
              </a:graphicData>
            </a:graphic>
          </wp:inline>
        </w:drawing>
      </w:r>
    </w:p>
    <w:p w:rsidR="00B46350" w:rsidRDefault="00B46350" w:rsidP="00B46350">
      <w:r>
        <w:t>(b)</w:t>
      </w:r>
    </w:p>
    <w:p w:rsidR="00B46350" w:rsidRDefault="00B46350" w:rsidP="00B46350">
      <w:r>
        <w:rPr>
          <w:noProof/>
          <w:lang w:eastAsia="en-GB"/>
        </w:rPr>
        <w:drawing>
          <wp:inline distT="0" distB="0" distL="0" distR="0" wp14:anchorId="24EAC269" wp14:editId="5D310112">
            <wp:extent cx="5400040" cy="360045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Rev_seq_class3.png"/>
                    <pic:cNvPicPr/>
                  </pic:nvPicPr>
                  <pic:blipFill>
                    <a:blip r:embed="rId49">
                      <a:extLst>
                        <a:ext uri="{28A0092B-C50C-407E-A947-70E740481C1C}">
                          <a14:useLocalDpi xmlns:a14="http://schemas.microsoft.com/office/drawing/2010/main" val="0"/>
                        </a:ext>
                      </a:extLst>
                    </a:blip>
                    <a:stretch>
                      <a:fillRect/>
                    </a:stretch>
                  </pic:blipFill>
                  <pic:spPr>
                    <a:xfrm>
                      <a:off x="0" y="0"/>
                      <a:ext cx="5400040" cy="3600450"/>
                    </a:xfrm>
                    <a:prstGeom prst="rect">
                      <a:avLst/>
                    </a:prstGeom>
                  </pic:spPr>
                </pic:pic>
              </a:graphicData>
            </a:graphic>
          </wp:inline>
        </w:drawing>
      </w:r>
    </w:p>
    <w:p w:rsidR="00B46350" w:rsidRDefault="00B46350" w:rsidP="00B46350"/>
    <w:p w:rsidR="00B46350" w:rsidRDefault="00B46350" w:rsidP="00B46350">
      <w:r>
        <w:lastRenderedPageBreak/>
        <w:t>(c)</w:t>
      </w:r>
      <w:r w:rsidRPr="00F80130">
        <w:rPr>
          <w:noProof/>
          <w:lang w:eastAsia="en-GB"/>
        </w:rPr>
        <w:t xml:space="preserve"> </w:t>
      </w:r>
      <w:r>
        <w:rPr>
          <w:noProof/>
          <w:lang w:eastAsia="en-GB"/>
        </w:rPr>
        <w:drawing>
          <wp:inline distT="0" distB="0" distL="0" distR="0" wp14:anchorId="3C0301F5" wp14:editId="5A6ED57D">
            <wp:extent cx="5400040" cy="360045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Rev_Seq_Family.png"/>
                    <pic:cNvPicPr/>
                  </pic:nvPicPr>
                  <pic:blipFill>
                    <a:blip r:embed="rId50">
                      <a:extLst>
                        <a:ext uri="{28A0092B-C50C-407E-A947-70E740481C1C}">
                          <a14:useLocalDpi xmlns:a14="http://schemas.microsoft.com/office/drawing/2010/main" val="0"/>
                        </a:ext>
                      </a:extLst>
                    </a:blip>
                    <a:stretch>
                      <a:fillRect/>
                    </a:stretch>
                  </pic:blipFill>
                  <pic:spPr>
                    <a:xfrm>
                      <a:off x="0" y="0"/>
                      <a:ext cx="5400040" cy="3600450"/>
                    </a:xfrm>
                    <a:prstGeom prst="rect">
                      <a:avLst/>
                    </a:prstGeom>
                  </pic:spPr>
                </pic:pic>
              </a:graphicData>
            </a:graphic>
          </wp:inline>
        </w:drawing>
      </w:r>
    </w:p>
    <w:p w:rsidR="00B46350" w:rsidRDefault="00B46350" w:rsidP="00B46350">
      <w:r>
        <w:t>(d)</w:t>
      </w:r>
      <w:r w:rsidRPr="00F80130">
        <w:rPr>
          <w:noProof/>
          <w:lang w:eastAsia="en-GB"/>
        </w:rPr>
        <w:t xml:space="preserve"> </w:t>
      </w:r>
      <w:r>
        <w:rPr>
          <w:noProof/>
          <w:lang w:eastAsia="en-GB"/>
        </w:rPr>
        <w:drawing>
          <wp:inline distT="0" distB="0" distL="0" distR="0" wp14:anchorId="6901132B" wp14:editId="69495500">
            <wp:extent cx="5400040" cy="360045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REv_seq_genus.png"/>
                    <pic:cNvPicPr/>
                  </pic:nvPicPr>
                  <pic:blipFill>
                    <a:blip r:embed="rId51">
                      <a:extLst>
                        <a:ext uri="{28A0092B-C50C-407E-A947-70E740481C1C}">
                          <a14:useLocalDpi xmlns:a14="http://schemas.microsoft.com/office/drawing/2010/main" val="0"/>
                        </a:ext>
                      </a:extLst>
                    </a:blip>
                    <a:stretch>
                      <a:fillRect/>
                    </a:stretch>
                  </pic:blipFill>
                  <pic:spPr>
                    <a:xfrm>
                      <a:off x="0" y="0"/>
                      <a:ext cx="5400040" cy="3600450"/>
                    </a:xfrm>
                    <a:prstGeom prst="rect">
                      <a:avLst/>
                    </a:prstGeom>
                  </pic:spPr>
                </pic:pic>
              </a:graphicData>
            </a:graphic>
          </wp:inline>
        </w:drawing>
      </w:r>
    </w:p>
    <w:p w:rsidR="00B46350" w:rsidRPr="00F55C45" w:rsidRDefault="00B46350" w:rsidP="003C6D28">
      <w:pPr>
        <w:pStyle w:val="Caption"/>
      </w:pPr>
      <w:bookmarkStart w:id="344" w:name="_Ref468735587"/>
      <w:bookmarkStart w:id="345" w:name="_Toc469982785"/>
      <w:r w:rsidRPr="00F55C45">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w:instrText>
      </w:r>
      <w:r w:rsidR="00C44EF5">
        <w:instrText xml:space="preserve">e \* ARABIC \s 1 </w:instrText>
      </w:r>
      <w:r w:rsidR="00C44EF5">
        <w:fldChar w:fldCharType="separate"/>
      </w:r>
      <w:r w:rsidR="00E0714D">
        <w:rPr>
          <w:noProof/>
        </w:rPr>
        <w:t>20</w:t>
      </w:r>
      <w:r w:rsidR="00C44EF5">
        <w:rPr>
          <w:noProof/>
        </w:rPr>
        <w:fldChar w:fldCharType="end"/>
      </w:r>
      <w:bookmarkEnd w:id="344"/>
      <w:r w:rsidRPr="00F55C45">
        <w:t xml:space="preserve">. Classification of OTUs identified from </w:t>
      </w:r>
      <w:r w:rsidR="003D1BB6">
        <w:t>NS31</w:t>
      </w:r>
      <w:r w:rsidR="00177540">
        <w:t>-AML2</w:t>
      </w:r>
      <w:r w:rsidR="003D1BB6">
        <w:t xml:space="preserve"> SSU gene fragments </w:t>
      </w:r>
      <w:r w:rsidRPr="00F55C45">
        <w:t xml:space="preserve">reverse sequences by (a) order, (b) class, (c) family and (d) genus. Only samples with a read depth of </w:t>
      </w:r>
      <w:r w:rsidRPr="00F55C45">
        <w:rPr>
          <w:rFonts w:cs="Times New Roman"/>
        </w:rPr>
        <w:t>≥</w:t>
      </w:r>
      <w:r w:rsidRPr="00F55C45">
        <w:t xml:space="preserve">1500 are presented. OTU abundance is standardised to 1500 reads. Habitat codes </w:t>
      </w:r>
      <w:r w:rsidRPr="003C6D28">
        <w:t>are</w:t>
      </w:r>
      <w:r w:rsidRPr="00F55C45">
        <w:t xml:space="preserve"> as follows:  A; arable, CB; conventional bush orchard, CS; conventional standard orchard, OS; organic standard orchard, W; woodland.</w:t>
      </w:r>
      <w:bookmarkEnd w:id="345"/>
    </w:p>
    <w:p w:rsidR="00B46350" w:rsidRDefault="00B46350" w:rsidP="00B46350">
      <w:pPr>
        <w:pStyle w:val="Heading3"/>
      </w:pPr>
      <w:bookmarkStart w:id="346" w:name="_Toc469855049"/>
      <w:bookmarkStart w:id="347" w:name="_Toc469856049"/>
      <w:bookmarkStart w:id="348" w:name="_Toc469931958"/>
      <w:bookmarkStart w:id="349" w:name="_Toc469982279"/>
      <w:r>
        <w:lastRenderedPageBreak/>
        <w:t>Comparison of TRFLP and Illumina Sequen</w:t>
      </w:r>
      <w:r w:rsidR="00B1039D">
        <w:t>cing for AMF richness</w:t>
      </w:r>
      <w:r>
        <w:t xml:space="preserve"> and community structure</w:t>
      </w:r>
      <w:bookmarkEnd w:id="346"/>
      <w:bookmarkEnd w:id="347"/>
      <w:bookmarkEnd w:id="348"/>
      <w:bookmarkEnd w:id="349"/>
    </w:p>
    <w:p w:rsidR="00B46350" w:rsidRDefault="00B46350" w:rsidP="00B46350">
      <w:r>
        <w:t xml:space="preserve">This study used a combination of two molecular methods to characterise AMF communities; TRFLP analysis and Illumina sequencing.  TRFLP is a high throughput community fingerprinting technique and therefore a relatively quick and inexpensive method for assessing the AMF communities within all 750 leek bait root samples (6 replicates per habitat x 5 habitats per site group x 25 site groups). Furthermore using two restriction enzymes is known to improve separation of fungal taxa. The advantage of using two restriction enzymes was demonstrated by the increased level of significance shown when  examining differences in richness and Simpson’s diversity using grouped TRFs from restriction with </w:t>
      </w:r>
      <w:proofErr w:type="spellStart"/>
      <w:r w:rsidRPr="00D87FE2">
        <w:rPr>
          <w:i/>
        </w:rPr>
        <w:t>Hinf</w:t>
      </w:r>
      <w:proofErr w:type="spellEnd"/>
      <w:r>
        <w:t xml:space="preserve">-I and </w:t>
      </w:r>
      <w:r w:rsidR="00DE1AD4">
        <w:rPr>
          <w:i/>
        </w:rPr>
        <w:t>HpyCH4-III</w:t>
      </w:r>
      <w:r w:rsidRPr="004A33C7">
        <w:t xml:space="preserve"> (e.g. see </w:t>
      </w:r>
      <w:r w:rsidRPr="004A33C7">
        <w:fldChar w:fldCharType="begin"/>
      </w:r>
      <w:r w:rsidRPr="004A33C7">
        <w:instrText xml:space="preserve"> REF _Ref464925703 \h </w:instrText>
      </w:r>
      <w:r>
        <w:instrText xml:space="preserve"> \* MERGEFORMAT </w:instrText>
      </w:r>
      <w:r w:rsidRPr="004A33C7">
        <w:fldChar w:fldCharType="separate"/>
      </w:r>
      <w:r w:rsidR="00E0714D" w:rsidRPr="00F55C45">
        <w:t xml:space="preserve">Figure </w:t>
      </w:r>
      <w:r w:rsidR="00E0714D">
        <w:rPr>
          <w:noProof/>
        </w:rPr>
        <w:t>3.12</w:t>
      </w:r>
      <w:r w:rsidRPr="004A33C7">
        <w:fldChar w:fldCharType="end"/>
      </w:r>
      <w:r w:rsidRPr="004A33C7">
        <w:t>)</w:t>
      </w:r>
      <w:r>
        <w:t xml:space="preserve"> in comparison to analysis using TRFs produced by either enzyme separately. </w:t>
      </w:r>
    </w:p>
    <w:p w:rsidR="00B46350" w:rsidRDefault="00B46350" w:rsidP="00B46350">
      <w:r>
        <w:t>Illumina sequencing is a powerful molecular technique for studying AMF communities due to the higher resolution of AMF type separation per sample. However Illumina sequencing is costly and required a significant amount of time for sample preparation and therefore it was only possible to sequence 95 samples. This meant that a subset of 19 out of the original 25 site groups were selected. Per site group, one</w:t>
      </w:r>
      <w:r w:rsidR="00EF714B">
        <w:t xml:space="preserve"> pooled sample comprised of the six replicates from </w:t>
      </w:r>
      <w:r>
        <w:t>each of the habitat typ</w:t>
      </w:r>
      <w:r w:rsidR="00EF714B">
        <w:t>es was sequenced</w:t>
      </w:r>
      <w:r>
        <w:t xml:space="preserve">. Therefore for this study, Illumina sequencing could not allow the same level of replication as TRFLP. </w:t>
      </w:r>
      <w:r w:rsidR="00EF714B">
        <w:t>As sequencing of large sample sizes becomes more affordable and rapid, it is likely to replace TRFLP due to its higher precision.</w:t>
      </w:r>
    </w:p>
    <w:p w:rsidR="00B46350" w:rsidRPr="00546F73" w:rsidRDefault="00B46350" w:rsidP="00B46350">
      <w:r>
        <w:t>Overall, analysis results for the two methods were consistent and the combined use of these two molecular methods allowed both replication and a relatively high level of resolution for taxa identification.</w:t>
      </w:r>
    </w:p>
    <w:p w:rsidR="00B46350" w:rsidRDefault="00B46350" w:rsidP="00B46350">
      <w:pPr>
        <w:pStyle w:val="Heading4"/>
        <w:numPr>
          <w:ilvl w:val="3"/>
          <w:numId w:val="1"/>
        </w:numPr>
      </w:pPr>
      <w:r>
        <w:t>Identification of predicted restriction sites for most common OTUs</w:t>
      </w:r>
    </w:p>
    <w:p w:rsidR="00B46350" w:rsidRDefault="00B46350" w:rsidP="00B46350">
      <w:r>
        <w:t>To compare the separation of taxa by Illumina sequencing with that of TRFLP analysis we carried out in silico restriction of OTUs as follows. For the 28 OTUs which accounted for over 1% of sequences in at least one habitat type (</w:t>
      </w:r>
      <w:r>
        <w:fldChar w:fldCharType="begin"/>
      </w:r>
      <w:r>
        <w:instrText xml:space="preserve"> REF _Ref467063971 \h </w:instrText>
      </w:r>
      <w:r>
        <w:fldChar w:fldCharType="separate"/>
      </w:r>
      <w:r w:rsidR="00E0714D" w:rsidRPr="000326D7">
        <w:t xml:space="preserve">Table </w:t>
      </w:r>
      <w:r w:rsidR="00E0714D">
        <w:rPr>
          <w:noProof/>
        </w:rPr>
        <w:t>3</w:t>
      </w:r>
      <w:r w:rsidR="00E0714D" w:rsidRPr="000326D7">
        <w:t>.</w:t>
      </w:r>
      <w:r w:rsidR="00E0714D">
        <w:rPr>
          <w:noProof/>
        </w:rPr>
        <w:t>7</w:t>
      </w:r>
      <w:r>
        <w:fldChar w:fldCharType="end"/>
      </w:r>
      <w:r>
        <w:t xml:space="preserve">) all sequence accessions of the closest matching virtual taxa were downloaded from </w:t>
      </w:r>
      <w:proofErr w:type="spellStart"/>
      <w:r>
        <w:t>MaarjAM</w:t>
      </w:r>
      <w:proofErr w:type="spellEnd"/>
      <w:r>
        <w:t xml:space="preserve"> and aligned with the OTU using Muscle (EMBI-BI, Welcome Genome Campus,  2016) . The alignment was then uploaded to </w:t>
      </w:r>
      <w:proofErr w:type="spellStart"/>
      <w:r>
        <w:t>Genedoc</w:t>
      </w:r>
      <w:proofErr w:type="spellEnd"/>
      <w:r>
        <w:t xml:space="preserve"> (Multiple sequence alignment editor and shading utility version 2.7)</w:t>
      </w:r>
      <w:r w:rsidR="00492A84">
        <w:t xml:space="preserve"> </w:t>
      </w:r>
      <w:r>
        <w:fldChar w:fldCharType="begin"/>
      </w:r>
      <w:r w:rsidR="00954B3D">
        <w:instrText xml:space="preserve"> ADDIN ZOTERO_ITEM CSL_CITATION {"citationID":"10q0m4k8um","properties":{"formattedCitation":"(Nicholas &amp; Nicholas, 1997)","plainCitation":"(Nicholas &amp; Nicholas, 1997)"},"citationItems":[{"id":438,"uris":["http://zotero.org/users/local/d1gJDEOw/items/GX5WQBM5"],"uri":["http://zotero.org/users/local/d1gJDEOw/items/GX5WQBM5"],"itemData":{"id":438,"type":"article-journal","title":"GeneDoc: a tool for editing and annotating multiple sequence alignments","container-title":"Distributed by the author.  http://www.psc.edu/biomed/genedoc","source":"CiteULike","shortTitle":"GeneDoc","author":[{"family":"Nicholas","given":"KB"},{"family":"Nicholas","given":"HBJ"}],"issued":{"date-parts":[["1997"]]}}}],"schema":"https://github.com/citation-style-language/schema/raw/master/csl-citation.json"} </w:instrText>
      </w:r>
      <w:r>
        <w:fldChar w:fldCharType="separate"/>
      </w:r>
      <w:r w:rsidR="00954B3D" w:rsidRPr="00954B3D">
        <w:rPr>
          <w:rFonts w:cs="Times New Roman"/>
        </w:rPr>
        <w:t>(Nicholas &amp; Nicholas, 1997)</w:t>
      </w:r>
      <w:r>
        <w:fldChar w:fldCharType="end"/>
      </w:r>
      <w:r>
        <w:t xml:space="preserve">. </w:t>
      </w:r>
      <w:r w:rsidRPr="00A61E66">
        <w:rPr>
          <w:i/>
        </w:rPr>
        <w:t>In silico</w:t>
      </w:r>
      <w:r>
        <w:t xml:space="preserve"> restriction was then performed separately for both the restriction enzymes used for the TRFLP analysis; </w:t>
      </w:r>
      <w:proofErr w:type="spellStart"/>
      <w:r w:rsidRPr="001761B5">
        <w:rPr>
          <w:i/>
        </w:rPr>
        <w:t>Hinf</w:t>
      </w:r>
      <w:proofErr w:type="spellEnd"/>
      <w:r>
        <w:t>-I which has a 5’-G</w:t>
      </w:r>
      <w:r>
        <w:rPr>
          <w:rFonts w:cs="Times New Roman"/>
        </w:rPr>
        <w:t>ˇ</w:t>
      </w:r>
      <w:r>
        <w:t xml:space="preserve">ANTC-3’ site restriction site and </w:t>
      </w:r>
      <w:r w:rsidR="00DE1AD4">
        <w:rPr>
          <w:i/>
        </w:rPr>
        <w:t>HpyCH4-III</w:t>
      </w:r>
      <w:r>
        <w:t xml:space="preserve"> which has a 5’-ACN</w:t>
      </w:r>
      <w:r>
        <w:rPr>
          <w:rFonts w:cs="Times New Roman"/>
        </w:rPr>
        <w:t>ˇ</w:t>
      </w:r>
      <w:r>
        <w:t>GT-3’ restriction site. Predicted restriction fragment lengths (</w:t>
      </w:r>
      <w:proofErr w:type="spellStart"/>
      <w:r>
        <w:t>bp</w:t>
      </w:r>
      <w:proofErr w:type="spellEnd"/>
      <w:r>
        <w:t xml:space="preserve">) for the AML1 to AML2 820bp sequences were recorded for restriction with both </w:t>
      </w:r>
      <w:r w:rsidRPr="00413156">
        <w:rPr>
          <w:i/>
        </w:rPr>
        <w:t>Hinf</w:t>
      </w:r>
      <w:r>
        <w:t xml:space="preserve">-1 and </w:t>
      </w:r>
      <w:r w:rsidR="00DE1AD4">
        <w:rPr>
          <w:i/>
        </w:rPr>
        <w:t>HpyCH4-III</w:t>
      </w:r>
      <w:r>
        <w:t xml:space="preserve"> (</w:t>
      </w:r>
      <w:r>
        <w:fldChar w:fldCharType="begin"/>
      </w:r>
      <w:r>
        <w:instrText xml:space="preserve"> REF _Ref467063971 \h </w:instrText>
      </w:r>
      <w:r>
        <w:fldChar w:fldCharType="separate"/>
      </w:r>
      <w:r w:rsidR="00E0714D" w:rsidRPr="000326D7">
        <w:t xml:space="preserve">Table </w:t>
      </w:r>
      <w:r w:rsidR="00E0714D">
        <w:rPr>
          <w:noProof/>
        </w:rPr>
        <w:t>3</w:t>
      </w:r>
      <w:r w:rsidR="00E0714D" w:rsidRPr="000326D7">
        <w:t>.</w:t>
      </w:r>
      <w:r w:rsidR="00E0714D">
        <w:rPr>
          <w:noProof/>
        </w:rPr>
        <w:t>7</w:t>
      </w:r>
      <w:r>
        <w:fldChar w:fldCharType="end"/>
      </w:r>
      <w:r>
        <w:t xml:space="preserve">).  Although the selected VTs matched closely for the 250bp aligned per OTU (see phylogenetic trees: </w:t>
      </w:r>
      <w:r w:rsidR="00192CC7">
        <w:fldChar w:fldCharType="begin"/>
      </w:r>
      <w:r w:rsidR="00192CC7">
        <w:instrText xml:space="preserve"> REF _Ref469560189 \h </w:instrText>
      </w:r>
      <w:r w:rsidR="00192CC7">
        <w:fldChar w:fldCharType="separate"/>
      </w:r>
      <w:r w:rsidR="00E0714D" w:rsidRPr="00F55C45">
        <w:t xml:space="preserve">Figure </w:t>
      </w:r>
      <w:r w:rsidR="00E0714D">
        <w:rPr>
          <w:noProof/>
        </w:rPr>
        <w:t>3</w:t>
      </w:r>
      <w:r w:rsidR="00E0714D">
        <w:t>.</w:t>
      </w:r>
      <w:r w:rsidR="00E0714D">
        <w:rPr>
          <w:noProof/>
        </w:rPr>
        <w:t>3</w:t>
      </w:r>
      <w:r w:rsidR="00192CC7">
        <w:fldChar w:fldCharType="end"/>
      </w:r>
      <w:r w:rsidR="00192CC7">
        <w:t xml:space="preserve"> </w:t>
      </w:r>
      <w:r>
        <w:t>to</w:t>
      </w:r>
      <w:r w:rsidR="00192CC7">
        <w:t xml:space="preserve"> </w:t>
      </w:r>
      <w:r w:rsidR="00192CC7">
        <w:fldChar w:fldCharType="begin"/>
      </w:r>
      <w:r w:rsidR="00192CC7">
        <w:instrText xml:space="preserve"> REF _Ref469560195 \h </w:instrText>
      </w:r>
      <w:r w:rsidR="00192CC7">
        <w:fldChar w:fldCharType="separate"/>
      </w:r>
      <w:r w:rsidR="00E0714D" w:rsidRPr="003C6D28">
        <w:t xml:space="preserve">Figure </w:t>
      </w:r>
      <w:r w:rsidR="00E0714D">
        <w:rPr>
          <w:noProof/>
        </w:rPr>
        <w:t>3</w:t>
      </w:r>
      <w:r w:rsidR="00E0714D" w:rsidRPr="003C6D28">
        <w:t>.</w:t>
      </w:r>
      <w:r w:rsidR="00E0714D">
        <w:rPr>
          <w:noProof/>
        </w:rPr>
        <w:t>11</w:t>
      </w:r>
      <w:r w:rsidR="00192CC7">
        <w:fldChar w:fldCharType="end"/>
      </w:r>
      <w:r>
        <w:t xml:space="preserve">) it is </w:t>
      </w:r>
      <w:r w:rsidR="00223448">
        <w:t>recognised</w:t>
      </w:r>
      <w:r>
        <w:t xml:space="preserve"> that VT matches are not certain due to the short length of the OTU sequence and therefore restriction sites of the matched virtual taxa are referred to as “predicted” restriction sites per OTU. Certainty of virtual taxa matches with OTUs could be </w:t>
      </w:r>
      <w:r>
        <w:lastRenderedPageBreak/>
        <w:t xml:space="preserve">improved by using longer OTU sequences however here this was not possible due to the poor quality of the reverse reads from the Illumina </w:t>
      </w:r>
      <w:proofErr w:type="spellStart"/>
      <w:r>
        <w:t>Miseq</w:t>
      </w:r>
      <w:proofErr w:type="spellEnd"/>
      <w:r>
        <w:t xml:space="preserve"> analysis. </w:t>
      </w:r>
    </w:p>
    <w:p w:rsidR="00B46350" w:rsidRPr="0058336F" w:rsidRDefault="00B46350" w:rsidP="00B46350">
      <w:r>
        <w:t>Spearman’s rank correlation coefficient was used to test how well TRF fragment relative abundance correlated with corresponding OTU relative abundance (</w:t>
      </w:r>
      <w:r>
        <w:fldChar w:fldCharType="begin"/>
      </w:r>
      <w:r>
        <w:instrText xml:space="preserve"> REF _Ref467446738 \h </w:instrText>
      </w:r>
      <w:r>
        <w:fldChar w:fldCharType="separate"/>
      </w:r>
      <w:r w:rsidR="00E0714D" w:rsidRPr="00C526A7">
        <w:t xml:space="preserve">Figure </w:t>
      </w:r>
      <w:r w:rsidR="00E0714D">
        <w:rPr>
          <w:noProof/>
        </w:rPr>
        <w:t>3</w:t>
      </w:r>
      <w:r w:rsidR="00E0714D">
        <w:t>.</w:t>
      </w:r>
      <w:r w:rsidR="00E0714D">
        <w:rPr>
          <w:noProof/>
        </w:rPr>
        <w:t>21</w:t>
      </w:r>
      <w:r>
        <w:fldChar w:fldCharType="end"/>
      </w:r>
      <w:r>
        <w:t>). A positive correlation was shown for 6/7 TRF fragment sizes demonstrating that there is consistency between AMF type relative abundances predicted by TRFLP and Illumina Sequencing.  TRF richness and OTU richness were not correlated (</w:t>
      </w:r>
      <w:r>
        <w:fldChar w:fldCharType="begin"/>
      </w:r>
      <w:r>
        <w:instrText xml:space="preserve"> REF _Ref467446741 \h </w:instrText>
      </w:r>
      <w:r>
        <w:fldChar w:fldCharType="separate"/>
      </w:r>
      <w:r w:rsidR="00E0714D" w:rsidRPr="00F55C45">
        <w:t xml:space="preserve">Figure </w:t>
      </w:r>
      <w:r w:rsidR="00E0714D">
        <w:rPr>
          <w:noProof/>
        </w:rPr>
        <w:t>3</w:t>
      </w:r>
      <w:r w:rsidR="00E0714D">
        <w:t>.</w:t>
      </w:r>
      <w:r w:rsidR="00E0714D">
        <w:rPr>
          <w:noProof/>
        </w:rPr>
        <w:t>22</w:t>
      </w:r>
      <w:r>
        <w:fldChar w:fldCharType="end"/>
      </w:r>
      <w:r>
        <w:t xml:space="preserve">) however this is to be expected due to far higher resolution of AMF type separation by Illumina sequencing. </w:t>
      </w:r>
    </w:p>
    <w:p w:rsidR="00B46350" w:rsidRDefault="00B46350" w:rsidP="00B46350"/>
    <w:p w:rsidR="00B46350" w:rsidRDefault="00B46350" w:rsidP="00B46350">
      <w:pPr>
        <w:sectPr w:rsidR="00B46350" w:rsidSect="00B46350">
          <w:type w:val="evenPage"/>
          <w:pgSz w:w="11906" w:h="16838" w:code="9"/>
          <w:pgMar w:top="1134" w:right="1134" w:bottom="1134" w:left="2268" w:header="709" w:footer="709" w:gutter="0"/>
          <w:cols w:space="708"/>
          <w:docGrid w:linePitch="360"/>
        </w:sectPr>
      </w:pPr>
    </w:p>
    <w:tbl>
      <w:tblPr>
        <w:tblStyle w:val="TableGrid"/>
        <w:tblpPr w:leftFromText="180" w:rightFromText="180" w:vertAnchor="text" w:horzAnchor="margin" w:tblpY="-896"/>
        <w:tblW w:w="13608" w:type="dxa"/>
        <w:tblLayout w:type="fixed"/>
        <w:tblLook w:val="04A0" w:firstRow="1" w:lastRow="0" w:firstColumn="1" w:lastColumn="0" w:noHBand="0" w:noVBand="1"/>
      </w:tblPr>
      <w:tblGrid>
        <w:gridCol w:w="709"/>
        <w:gridCol w:w="1559"/>
        <w:gridCol w:w="1843"/>
        <w:gridCol w:w="1559"/>
        <w:gridCol w:w="2127"/>
        <w:gridCol w:w="2551"/>
        <w:gridCol w:w="3260"/>
      </w:tblGrid>
      <w:tr w:rsidR="00B46350" w:rsidTr="00B46350">
        <w:trPr>
          <w:trHeight w:val="630"/>
        </w:trPr>
        <w:tc>
          <w:tcPr>
            <w:tcW w:w="13608" w:type="dxa"/>
            <w:gridSpan w:val="7"/>
            <w:tcBorders>
              <w:top w:val="nil"/>
              <w:left w:val="nil"/>
              <w:bottom w:val="single" w:sz="4" w:space="0" w:color="auto"/>
              <w:right w:val="nil"/>
            </w:tcBorders>
          </w:tcPr>
          <w:p w:rsidR="00B46350" w:rsidRDefault="00B46350" w:rsidP="000F2456">
            <w:pPr>
              <w:pStyle w:val="Caption"/>
              <w:rPr>
                <w:rFonts w:cs="Times New Roman"/>
                <w:szCs w:val="20"/>
              </w:rPr>
            </w:pPr>
            <w:bookmarkStart w:id="350" w:name="_Ref467063971"/>
            <w:bookmarkStart w:id="351" w:name="_Ref467063967"/>
            <w:bookmarkStart w:id="352" w:name="_Toc469868581"/>
            <w:r w:rsidRPr="000326D7">
              <w:lastRenderedPageBreak/>
              <w:t xml:space="preserve">Table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Pr="000326D7">
              <w:t>.</w:t>
            </w:r>
            <w:r w:rsidR="00C44EF5">
              <w:fldChar w:fldCharType="begin"/>
            </w:r>
            <w:r w:rsidR="00C44EF5">
              <w:instrText xml:space="preserve"> SEQ Table \* ARABIC \s 1 </w:instrText>
            </w:r>
            <w:r w:rsidR="00C44EF5">
              <w:fldChar w:fldCharType="separate"/>
            </w:r>
            <w:r w:rsidR="00E0714D">
              <w:rPr>
                <w:noProof/>
              </w:rPr>
              <w:t>7</w:t>
            </w:r>
            <w:r w:rsidR="00C44EF5">
              <w:rPr>
                <w:noProof/>
              </w:rPr>
              <w:fldChar w:fldCharType="end"/>
            </w:r>
            <w:bookmarkEnd w:id="350"/>
            <w:r>
              <w:rPr>
                <w:rFonts w:cs="Times New Roman"/>
                <w:szCs w:val="20"/>
              </w:rPr>
              <w:t xml:space="preserve"> </w:t>
            </w:r>
            <w:r w:rsidR="00CB56B4" w:rsidRPr="000326D7">
              <w:rPr>
                <w:rFonts w:cs="Times New Roman"/>
                <w:szCs w:val="20"/>
              </w:rPr>
              <w:t xml:space="preserve">Closest matches of OTUs to fungal virtual taxa within the </w:t>
            </w:r>
            <w:proofErr w:type="spellStart"/>
            <w:r w:rsidR="00CB56B4" w:rsidRPr="000326D7">
              <w:rPr>
                <w:rFonts w:cs="Times New Roman"/>
                <w:szCs w:val="20"/>
              </w:rPr>
              <w:t>MaarjAM</w:t>
            </w:r>
            <w:proofErr w:type="spellEnd"/>
            <w:r w:rsidR="00CB56B4" w:rsidRPr="000326D7">
              <w:rPr>
                <w:rFonts w:cs="Times New Roman"/>
                <w:szCs w:val="20"/>
              </w:rPr>
              <w:t xml:space="preserve"> database based on a neighbour joining phylogenetic tree</w:t>
            </w:r>
            <w:r w:rsidR="00CB56B4">
              <w:rPr>
                <w:rFonts w:cs="Times New Roman"/>
                <w:szCs w:val="20"/>
              </w:rPr>
              <w:t xml:space="preserve"> (Fig 3.3)</w:t>
            </w:r>
            <w:r w:rsidR="00CB56B4" w:rsidRPr="000326D7">
              <w:rPr>
                <w:rFonts w:cs="Times New Roman"/>
                <w:szCs w:val="20"/>
              </w:rPr>
              <w:t xml:space="preserve">. Restriction of the closest matched fungal virtual taxa was performed in silico for </w:t>
            </w:r>
            <w:proofErr w:type="spellStart"/>
            <w:r w:rsidR="00CB56B4" w:rsidRPr="000326D7">
              <w:rPr>
                <w:rFonts w:cs="Times New Roman"/>
                <w:i/>
                <w:szCs w:val="20"/>
              </w:rPr>
              <w:t>Hinf</w:t>
            </w:r>
            <w:proofErr w:type="spellEnd"/>
            <w:r w:rsidR="00CB56B4" w:rsidRPr="000326D7">
              <w:rPr>
                <w:rFonts w:cs="Times New Roman"/>
                <w:szCs w:val="20"/>
              </w:rPr>
              <w:t xml:space="preserve">-I and </w:t>
            </w:r>
            <w:r w:rsidR="00CB56B4">
              <w:rPr>
                <w:rFonts w:cs="Times New Roman"/>
                <w:i/>
                <w:szCs w:val="20"/>
              </w:rPr>
              <w:t>HpyCH4-III</w:t>
            </w:r>
            <w:r w:rsidR="00CB56B4" w:rsidRPr="000326D7">
              <w:rPr>
                <w:rFonts w:cs="Times New Roman"/>
                <w:szCs w:val="20"/>
              </w:rPr>
              <w:t xml:space="preserve"> restriction enzymes to predict the diagnostic TRF fragments that </w:t>
            </w:r>
            <w:r w:rsidR="00CB56B4">
              <w:rPr>
                <w:rFonts w:cs="Times New Roman"/>
                <w:szCs w:val="20"/>
              </w:rPr>
              <w:t>may</w:t>
            </w:r>
            <w:r w:rsidR="00CB56B4" w:rsidRPr="000326D7">
              <w:rPr>
                <w:rFonts w:cs="Times New Roman"/>
                <w:szCs w:val="20"/>
              </w:rPr>
              <w:t xml:space="preserve"> be produced by r</w:t>
            </w:r>
            <w:r w:rsidR="00CB56B4">
              <w:rPr>
                <w:rFonts w:cs="Times New Roman"/>
                <w:szCs w:val="20"/>
              </w:rPr>
              <w:t>estriction of these AMF types. This i</w:t>
            </w:r>
            <w:r w:rsidR="00CB56B4" w:rsidRPr="000326D7">
              <w:rPr>
                <w:rFonts w:cs="Times New Roman"/>
                <w:szCs w:val="20"/>
              </w:rPr>
              <w:t>n silico restriction was performed for</w:t>
            </w:r>
            <w:r w:rsidR="00CB56B4">
              <w:rPr>
                <w:rFonts w:cs="Times New Roman"/>
                <w:szCs w:val="20"/>
              </w:rPr>
              <w:t xml:space="preserve"> the closest matched virtual taxa of all</w:t>
            </w:r>
            <w:r w:rsidR="00CB56B4" w:rsidRPr="000326D7">
              <w:rPr>
                <w:rFonts w:cs="Times New Roman"/>
                <w:szCs w:val="20"/>
              </w:rPr>
              <w:t xml:space="preserve"> OTUs which accounted for ≥1% of sequences in at least one habitat type (28/79 OTUs).</w:t>
            </w:r>
            <w:r w:rsidR="00CB56B4">
              <w:rPr>
                <w:rFonts w:cs="Times New Roman"/>
                <w:szCs w:val="20"/>
              </w:rPr>
              <w:t xml:space="preserve"> Observed TRFs of the same size are coloured the same to highlight the range of different AMF types which could potentially produce each observed TRF</w:t>
            </w:r>
            <w:bookmarkEnd w:id="351"/>
            <w:bookmarkEnd w:id="352"/>
          </w:p>
          <w:p w:rsidR="00B46350" w:rsidRPr="008A48EA" w:rsidRDefault="00B46350" w:rsidP="00B46350">
            <w:pPr>
              <w:spacing w:line="240" w:lineRule="auto"/>
              <w:rPr>
                <w:b/>
                <w:sz w:val="18"/>
                <w:szCs w:val="18"/>
              </w:rPr>
            </w:pPr>
          </w:p>
        </w:tc>
      </w:tr>
      <w:tr w:rsidR="00B46350" w:rsidTr="00B46350">
        <w:trPr>
          <w:trHeight w:val="630"/>
        </w:trPr>
        <w:tc>
          <w:tcPr>
            <w:tcW w:w="709" w:type="dxa"/>
            <w:tcBorders>
              <w:top w:val="single" w:sz="4" w:space="0" w:color="auto"/>
              <w:left w:val="nil"/>
              <w:bottom w:val="single" w:sz="4" w:space="0" w:color="auto"/>
              <w:right w:val="nil"/>
            </w:tcBorders>
          </w:tcPr>
          <w:p w:rsidR="00B46350" w:rsidRPr="008A48EA" w:rsidRDefault="00B46350" w:rsidP="00B46350">
            <w:pPr>
              <w:spacing w:line="240" w:lineRule="auto"/>
              <w:rPr>
                <w:b/>
                <w:sz w:val="18"/>
                <w:szCs w:val="18"/>
              </w:rPr>
            </w:pPr>
            <w:r w:rsidRPr="008A48EA">
              <w:rPr>
                <w:b/>
                <w:sz w:val="18"/>
                <w:szCs w:val="18"/>
              </w:rPr>
              <w:t>OTU</w:t>
            </w:r>
          </w:p>
        </w:tc>
        <w:tc>
          <w:tcPr>
            <w:tcW w:w="1559" w:type="dxa"/>
            <w:tcBorders>
              <w:top w:val="single" w:sz="4" w:space="0" w:color="auto"/>
              <w:left w:val="nil"/>
              <w:bottom w:val="single" w:sz="4" w:space="0" w:color="auto"/>
              <w:right w:val="nil"/>
            </w:tcBorders>
          </w:tcPr>
          <w:p w:rsidR="00B46350" w:rsidRPr="008A48EA" w:rsidRDefault="00B46350" w:rsidP="00B46350">
            <w:pPr>
              <w:spacing w:line="240" w:lineRule="auto"/>
              <w:jc w:val="left"/>
              <w:rPr>
                <w:b/>
                <w:sz w:val="18"/>
                <w:szCs w:val="18"/>
              </w:rPr>
            </w:pPr>
            <w:r w:rsidRPr="008A48EA">
              <w:rPr>
                <w:b/>
                <w:sz w:val="18"/>
                <w:szCs w:val="18"/>
              </w:rPr>
              <w:t>Proportion of total sequences (%)</w:t>
            </w:r>
          </w:p>
        </w:tc>
        <w:tc>
          <w:tcPr>
            <w:tcW w:w="8080" w:type="dxa"/>
            <w:gridSpan w:val="4"/>
            <w:tcBorders>
              <w:top w:val="single" w:sz="4" w:space="0" w:color="auto"/>
              <w:left w:val="nil"/>
              <w:bottom w:val="single" w:sz="4" w:space="0" w:color="auto"/>
              <w:right w:val="nil"/>
            </w:tcBorders>
          </w:tcPr>
          <w:p w:rsidR="00B46350" w:rsidRPr="008A48EA" w:rsidRDefault="00B46350" w:rsidP="00B46350">
            <w:pPr>
              <w:spacing w:line="240" w:lineRule="auto"/>
              <w:rPr>
                <w:b/>
                <w:sz w:val="18"/>
                <w:szCs w:val="18"/>
              </w:rPr>
            </w:pPr>
            <w:r w:rsidRPr="008A48EA">
              <w:rPr>
                <w:b/>
                <w:sz w:val="18"/>
                <w:szCs w:val="18"/>
              </w:rPr>
              <w:t xml:space="preserve">TRF length of fragments produced from in silico digestion of closest matched fungal virtual taxa from the </w:t>
            </w:r>
            <w:proofErr w:type="spellStart"/>
            <w:r w:rsidRPr="008A48EA">
              <w:rPr>
                <w:b/>
                <w:sz w:val="18"/>
                <w:szCs w:val="18"/>
              </w:rPr>
              <w:t>MaarjAM</w:t>
            </w:r>
            <w:proofErr w:type="spellEnd"/>
            <w:r w:rsidRPr="008A48EA">
              <w:rPr>
                <w:b/>
                <w:sz w:val="18"/>
                <w:szCs w:val="18"/>
              </w:rPr>
              <w:t xml:space="preserve"> database and the closest matching TRF size produced from TRFLP restriction. All TRF lengths are in base pairs (</w:t>
            </w:r>
            <w:proofErr w:type="spellStart"/>
            <w:r w:rsidRPr="008A48EA">
              <w:rPr>
                <w:b/>
                <w:sz w:val="18"/>
                <w:szCs w:val="18"/>
              </w:rPr>
              <w:t>bp</w:t>
            </w:r>
            <w:proofErr w:type="spellEnd"/>
            <w:r w:rsidRPr="008A48EA">
              <w:rPr>
                <w:b/>
                <w:sz w:val="18"/>
                <w:szCs w:val="18"/>
              </w:rPr>
              <w:t>)</w:t>
            </w:r>
          </w:p>
        </w:tc>
        <w:tc>
          <w:tcPr>
            <w:tcW w:w="3260" w:type="dxa"/>
            <w:tcBorders>
              <w:top w:val="single" w:sz="4" w:space="0" w:color="auto"/>
              <w:left w:val="nil"/>
              <w:bottom w:val="single" w:sz="4" w:space="0" w:color="auto"/>
              <w:right w:val="nil"/>
            </w:tcBorders>
          </w:tcPr>
          <w:p w:rsidR="00B46350" w:rsidRPr="008A48EA" w:rsidRDefault="00B46350" w:rsidP="00B46350">
            <w:pPr>
              <w:spacing w:line="240" w:lineRule="auto"/>
              <w:rPr>
                <w:b/>
                <w:sz w:val="18"/>
                <w:szCs w:val="18"/>
              </w:rPr>
            </w:pPr>
            <w:r w:rsidRPr="008A48EA">
              <w:rPr>
                <w:b/>
                <w:sz w:val="18"/>
                <w:szCs w:val="18"/>
              </w:rPr>
              <w:t xml:space="preserve">Closest matched virtual taxa from </w:t>
            </w:r>
            <w:proofErr w:type="spellStart"/>
            <w:r w:rsidRPr="008A48EA">
              <w:rPr>
                <w:b/>
                <w:sz w:val="18"/>
                <w:szCs w:val="18"/>
              </w:rPr>
              <w:t>MaarjAM</w:t>
            </w:r>
            <w:proofErr w:type="spellEnd"/>
            <w:r w:rsidRPr="008A48EA">
              <w:rPr>
                <w:b/>
                <w:sz w:val="18"/>
                <w:szCs w:val="18"/>
              </w:rPr>
              <w:t xml:space="preserve"> database</w:t>
            </w:r>
          </w:p>
        </w:tc>
      </w:tr>
      <w:tr w:rsidR="00B46350" w:rsidTr="00B46350">
        <w:tc>
          <w:tcPr>
            <w:tcW w:w="709" w:type="dxa"/>
            <w:tcBorders>
              <w:top w:val="single" w:sz="4" w:space="0" w:color="auto"/>
              <w:left w:val="nil"/>
              <w:bottom w:val="nil"/>
              <w:right w:val="nil"/>
            </w:tcBorders>
          </w:tcPr>
          <w:p w:rsidR="00B46350" w:rsidRPr="008A48EA" w:rsidRDefault="00B46350" w:rsidP="00B46350">
            <w:pPr>
              <w:spacing w:line="240" w:lineRule="auto"/>
              <w:jc w:val="center"/>
              <w:rPr>
                <w:sz w:val="18"/>
                <w:szCs w:val="18"/>
              </w:rPr>
            </w:pPr>
          </w:p>
        </w:tc>
        <w:tc>
          <w:tcPr>
            <w:tcW w:w="1559" w:type="dxa"/>
            <w:tcBorders>
              <w:top w:val="single" w:sz="4" w:space="0" w:color="auto"/>
              <w:left w:val="nil"/>
              <w:bottom w:val="nil"/>
              <w:right w:val="nil"/>
            </w:tcBorders>
          </w:tcPr>
          <w:p w:rsidR="00B46350" w:rsidRPr="008A48EA" w:rsidRDefault="00B46350" w:rsidP="00B46350">
            <w:pPr>
              <w:spacing w:line="240" w:lineRule="auto"/>
              <w:jc w:val="center"/>
              <w:rPr>
                <w:sz w:val="18"/>
                <w:szCs w:val="18"/>
              </w:rPr>
            </w:pPr>
          </w:p>
        </w:tc>
        <w:tc>
          <w:tcPr>
            <w:tcW w:w="1843" w:type="dxa"/>
            <w:tcBorders>
              <w:top w:val="single" w:sz="4" w:space="0" w:color="auto"/>
              <w:left w:val="nil"/>
              <w:bottom w:val="nil"/>
              <w:right w:val="nil"/>
            </w:tcBorders>
          </w:tcPr>
          <w:p w:rsidR="00B46350" w:rsidRPr="008A48EA" w:rsidRDefault="00B46350" w:rsidP="00B46350">
            <w:pPr>
              <w:spacing w:line="240" w:lineRule="auto"/>
              <w:rPr>
                <w:sz w:val="18"/>
                <w:szCs w:val="18"/>
              </w:rPr>
            </w:pPr>
            <w:proofErr w:type="spellStart"/>
            <w:r w:rsidRPr="008A48EA">
              <w:rPr>
                <w:i/>
                <w:sz w:val="18"/>
                <w:szCs w:val="18"/>
              </w:rPr>
              <w:t>Hinf</w:t>
            </w:r>
            <w:proofErr w:type="spellEnd"/>
            <w:r w:rsidRPr="008A48EA">
              <w:rPr>
                <w:sz w:val="18"/>
                <w:szCs w:val="18"/>
              </w:rPr>
              <w:t xml:space="preserve">-I in silico </w:t>
            </w:r>
          </w:p>
        </w:tc>
        <w:tc>
          <w:tcPr>
            <w:tcW w:w="1559" w:type="dxa"/>
            <w:tcBorders>
              <w:top w:val="single" w:sz="4" w:space="0" w:color="auto"/>
              <w:left w:val="nil"/>
              <w:bottom w:val="nil"/>
              <w:right w:val="nil"/>
            </w:tcBorders>
          </w:tcPr>
          <w:p w:rsidR="00B46350" w:rsidRPr="00C2594B" w:rsidRDefault="00B46350" w:rsidP="00B46350">
            <w:pPr>
              <w:spacing w:line="240" w:lineRule="auto"/>
              <w:rPr>
                <w:i/>
                <w:sz w:val="18"/>
                <w:szCs w:val="18"/>
              </w:rPr>
            </w:pPr>
            <w:proofErr w:type="spellStart"/>
            <w:r w:rsidRPr="00C2594B">
              <w:rPr>
                <w:i/>
                <w:sz w:val="18"/>
                <w:szCs w:val="18"/>
              </w:rPr>
              <w:t>Hinf</w:t>
            </w:r>
            <w:proofErr w:type="spellEnd"/>
            <w:r w:rsidRPr="00C2594B">
              <w:rPr>
                <w:i/>
                <w:sz w:val="18"/>
                <w:szCs w:val="18"/>
              </w:rPr>
              <w:t xml:space="preserve">-I </w:t>
            </w:r>
            <w:r w:rsidRPr="00C2594B">
              <w:rPr>
                <w:sz w:val="18"/>
                <w:szCs w:val="18"/>
              </w:rPr>
              <w:t>observed)</w:t>
            </w:r>
          </w:p>
        </w:tc>
        <w:tc>
          <w:tcPr>
            <w:tcW w:w="2127" w:type="dxa"/>
            <w:tcBorders>
              <w:top w:val="single" w:sz="4" w:space="0" w:color="auto"/>
              <w:left w:val="nil"/>
              <w:bottom w:val="nil"/>
              <w:right w:val="nil"/>
            </w:tcBorders>
          </w:tcPr>
          <w:p w:rsidR="00B46350" w:rsidRPr="008A48EA" w:rsidRDefault="00DE1AD4" w:rsidP="00B46350">
            <w:pPr>
              <w:spacing w:line="240" w:lineRule="auto"/>
              <w:rPr>
                <w:i/>
                <w:sz w:val="18"/>
                <w:szCs w:val="18"/>
              </w:rPr>
            </w:pPr>
            <w:r>
              <w:rPr>
                <w:i/>
                <w:sz w:val="18"/>
                <w:szCs w:val="18"/>
              </w:rPr>
              <w:t>HpyCH4-III</w:t>
            </w:r>
            <w:r w:rsidR="00B46350" w:rsidRPr="008A48EA">
              <w:rPr>
                <w:sz w:val="18"/>
                <w:szCs w:val="18"/>
              </w:rPr>
              <w:t xml:space="preserve"> in silico </w:t>
            </w:r>
          </w:p>
        </w:tc>
        <w:tc>
          <w:tcPr>
            <w:tcW w:w="2551" w:type="dxa"/>
            <w:tcBorders>
              <w:top w:val="single" w:sz="4" w:space="0" w:color="auto"/>
              <w:left w:val="nil"/>
              <w:bottom w:val="nil"/>
              <w:right w:val="nil"/>
            </w:tcBorders>
          </w:tcPr>
          <w:p w:rsidR="00B46350" w:rsidRPr="008A48EA" w:rsidRDefault="00DE1AD4" w:rsidP="00B46350">
            <w:pPr>
              <w:spacing w:line="240" w:lineRule="auto"/>
              <w:rPr>
                <w:sz w:val="18"/>
                <w:szCs w:val="18"/>
              </w:rPr>
            </w:pPr>
            <w:r>
              <w:rPr>
                <w:i/>
                <w:sz w:val="18"/>
                <w:szCs w:val="18"/>
              </w:rPr>
              <w:t>HpyCH4-III</w:t>
            </w:r>
            <w:r w:rsidR="00B46350" w:rsidRPr="008A48EA">
              <w:rPr>
                <w:sz w:val="18"/>
                <w:szCs w:val="18"/>
              </w:rPr>
              <w:t xml:space="preserve"> observed </w:t>
            </w:r>
          </w:p>
        </w:tc>
        <w:tc>
          <w:tcPr>
            <w:tcW w:w="3260" w:type="dxa"/>
            <w:tcBorders>
              <w:top w:val="single" w:sz="4" w:space="0" w:color="auto"/>
              <w:left w:val="nil"/>
              <w:bottom w:val="nil"/>
              <w:right w:val="nil"/>
            </w:tcBorders>
          </w:tcPr>
          <w:p w:rsidR="00B46350" w:rsidRPr="008A48EA" w:rsidRDefault="00B46350" w:rsidP="00B46350">
            <w:pPr>
              <w:spacing w:line="240" w:lineRule="auto"/>
              <w:rPr>
                <w:sz w:val="18"/>
                <w:szCs w:val="18"/>
              </w:rPr>
            </w:pP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1</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12.18</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375, 424</w:t>
            </w:r>
          </w:p>
        </w:tc>
        <w:tc>
          <w:tcPr>
            <w:tcW w:w="1559" w:type="dxa"/>
            <w:tcBorders>
              <w:top w:val="nil"/>
              <w:left w:val="nil"/>
              <w:bottom w:val="nil"/>
              <w:right w:val="nil"/>
            </w:tcBorders>
          </w:tcPr>
          <w:p w:rsidR="00B46350" w:rsidRPr="00F00459" w:rsidRDefault="00B46350" w:rsidP="00B46350">
            <w:pPr>
              <w:spacing w:line="240" w:lineRule="auto"/>
              <w:rPr>
                <w:sz w:val="18"/>
                <w:szCs w:val="18"/>
              </w:rPr>
            </w:pPr>
            <w:r w:rsidRPr="00F00459">
              <w:rPr>
                <w:b/>
                <w:color w:val="FF66FF"/>
                <w:sz w:val="18"/>
                <w:szCs w:val="18"/>
              </w:rPr>
              <w:t>376</w:t>
            </w:r>
            <w:r w:rsidRPr="00F00459">
              <w:rPr>
                <w:sz w:val="18"/>
                <w:szCs w:val="18"/>
              </w:rPr>
              <w:t>,</w:t>
            </w:r>
            <w:r w:rsidRPr="00C2594B">
              <w:rPr>
                <w:sz w:val="18"/>
                <w:szCs w:val="18"/>
              </w:rPr>
              <w:t xml:space="preserve"> 424</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434, 698</w:t>
            </w:r>
          </w:p>
        </w:tc>
        <w:tc>
          <w:tcPr>
            <w:tcW w:w="2551" w:type="dxa"/>
            <w:tcBorders>
              <w:top w:val="nil"/>
              <w:left w:val="nil"/>
              <w:bottom w:val="nil"/>
              <w:right w:val="nil"/>
            </w:tcBorders>
            <w:shd w:val="clear" w:color="auto" w:fill="auto"/>
          </w:tcPr>
          <w:p w:rsidR="00B46350" w:rsidRPr="00C2594B" w:rsidRDefault="00B46350" w:rsidP="00B46350">
            <w:pPr>
              <w:spacing w:line="240" w:lineRule="auto"/>
              <w:rPr>
                <w:sz w:val="18"/>
                <w:szCs w:val="18"/>
              </w:rPr>
            </w:pPr>
            <w:r w:rsidRPr="00F00459">
              <w:rPr>
                <w:b/>
                <w:color w:val="FF0000"/>
                <w:sz w:val="18"/>
                <w:szCs w:val="18"/>
              </w:rPr>
              <w:t>431</w:t>
            </w:r>
            <w:r w:rsidRPr="00C2594B">
              <w:rPr>
                <w:sz w:val="18"/>
                <w:szCs w:val="18"/>
              </w:rPr>
              <w:t xml:space="preserve">, </w:t>
            </w:r>
            <w:r w:rsidR="00A05F2B" w:rsidRPr="00C2594B">
              <w:rPr>
                <w:sz w:val="18"/>
                <w:szCs w:val="18"/>
              </w:rPr>
              <w:t>6</w:t>
            </w:r>
            <w:r w:rsidRPr="00C2594B">
              <w:rPr>
                <w:sz w:val="18"/>
                <w:szCs w:val="18"/>
              </w:rPr>
              <w:t>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Pr>
                <w:sz w:val="18"/>
                <w:szCs w:val="18"/>
              </w:rPr>
              <w:t xml:space="preserve">VTX00345 </w:t>
            </w:r>
            <w:r w:rsidRPr="00496976">
              <w:rPr>
                <w:i/>
                <w:sz w:val="18"/>
                <w:szCs w:val="18"/>
              </w:rPr>
              <w:t>Glomus</w:t>
            </w:r>
          </w:p>
        </w:tc>
      </w:tr>
      <w:tr w:rsidR="00B46350" w:rsidTr="00B46350">
        <w:trPr>
          <w:trHeight w:val="140"/>
        </w:trPr>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6</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11.96</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375, 758</w:t>
            </w:r>
          </w:p>
        </w:tc>
        <w:tc>
          <w:tcPr>
            <w:tcW w:w="1559" w:type="dxa"/>
            <w:tcBorders>
              <w:top w:val="nil"/>
              <w:left w:val="nil"/>
              <w:bottom w:val="nil"/>
              <w:right w:val="nil"/>
            </w:tcBorders>
          </w:tcPr>
          <w:p w:rsidR="00B46350" w:rsidRPr="00F00459" w:rsidRDefault="00B46350" w:rsidP="00B46350">
            <w:pPr>
              <w:spacing w:line="240" w:lineRule="auto"/>
              <w:rPr>
                <w:b/>
                <w:sz w:val="18"/>
                <w:szCs w:val="18"/>
              </w:rPr>
            </w:pPr>
            <w:r w:rsidRPr="00F00459">
              <w:rPr>
                <w:b/>
                <w:color w:val="FF66FF"/>
                <w:sz w:val="18"/>
                <w:szCs w:val="18"/>
              </w:rPr>
              <w:t>376</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396, 434, 697</w:t>
            </w:r>
          </w:p>
        </w:tc>
        <w:tc>
          <w:tcPr>
            <w:tcW w:w="2551" w:type="dxa"/>
            <w:tcBorders>
              <w:top w:val="nil"/>
              <w:left w:val="nil"/>
              <w:bottom w:val="nil"/>
              <w:right w:val="nil"/>
            </w:tcBorders>
            <w:shd w:val="clear" w:color="auto" w:fill="auto"/>
          </w:tcPr>
          <w:p w:rsidR="00B46350" w:rsidRPr="00C2594B" w:rsidRDefault="00B46350" w:rsidP="00B46350">
            <w:pPr>
              <w:spacing w:line="240" w:lineRule="auto"/>
              <w:rPr>
                <w:sz w:val="18"/>
                <w:szCs w:val="18"/>
              </w:rPr>
            </w:pPr>
            <w:r w:rsidRPr="00F00459">
              <w:rPr>
                <w:b/>
                <w:color w:val="2F5496" w:themeColor="accent5" w:themeShade="BF"/>
                <w:sz w:val="18"/>
                <w:szCs w:val="18"/>
              </w:rPr>
              <w:t>393</w:t>
            </w:r>
            <w:r w:rsidRPr="00C2594B">
              <w:rPr>
                <w:sz w:val="18"/>
                <w:szCs w:val="18"/>
              </w:rPr>
              <w:t>, 434,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VTX00114</w:t>
            </w:r>
            <w:r>
              <w:rPr>
                <w:sz w:val="18"/>
                <w:szCs w:val="18"/>
              </w:rPr>
              <w:t xml:space="preserve">, </w:t>
            </w:r>
            <w:r w:rsidRPr="008A48EA">
              <w:rPr>
                <w:sz w:val="18"/>
                <w:szCs w:val="18"/>
              </w:rPr>
              <w:t>VTX00113</w:t>
            </w:r>
            <w:r w:rsidRPr="00496976">
              <w:rPr>
                <w:i/>
                <w:sz w:val="18"/>
                <w:szCs w:val="18"/>
              </w:rPr>
              <w:t>Glomus</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3</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9.05</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67, 520, 738</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C2594B">
              <w:rPr>
                <w:sz w:val="18"/>
                <w:szCs w:val="18"/>
              </w:rPr>
              <w:t>-, 518</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549, 704</w:t>
            </w:r>
          </w:p>
        </w:tc>
        <w:tc>
          <w:tcPr>
            <w:tcW w:w="2551" w:type="dxa"/>
            <w:tcBorders>
              <w:top w:val="nil"/>
              <w:left w:val="nil"/>
              <w:bottom w:val="nil"/>
              <w:right w:val="nil"/>
            </w:tcBorders>
            <w:shd w:val="clear" w:color="auto" w:fill="auto"/>
          </w:tcPr>
          <w:p w:rsidR="00B46350" w:rsidRPr="00C2594B" w:rsidRDefault="00B46350" w:rsidP="00B46350">
            <w:pPr>
              <w:spacing w:line="240" w:lineRule="auto"/>
              <w:rPr>
                <w:sz w:val="18"/>
                <w:szCs w:val="18"/>
              </w:rPr>
            </w:pPr>
            <w:r w:rsidRPr="00F00459">
              <w:rPr>
                <w:color w:val="00B0F0"/>
                <w:sz w:val="18"/>
                <w:szCs w:val="18"/>
              </w:rPr>
              <w:t>547</w:t>
            </w:r>
            <w:r w:rsidRPr="00C2594B">
              <w:rPr>
                <w:sz w:val="18"/>
                <w:szCs w:val="18"/>
              </w:rPr>
              <w:t>, 705</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VTX00193 </w:t>
            </w:r>
            <w:proofErr w:type="spellStart"/>
            <w:r w:rsidRPr="00496976">
              <w:rPr>
                <w:i/>
                <w:sz w:val="18"/>
                <w:szCs w:val="18"/>
              </w:rPr>
              <w:t>Claroideoglomus</w:t>
            </w:r>
            <w:proofErr w:type="spellEnd"/>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4</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8.04</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67, 739, 765</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C2594B">
              <w:rPr>
                <w:sz w:val="18"/>
                <w:szCs w:val="18"/>
              </w:rPr>
              <w:t>-, 765</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550, 705</w:t>
            </w:r>
          </w:p>
        </w:tc>
        <w:tc>
          <w:tcPr>
            <w:tcW w:w="2551" w:type="dxa"/>
            <w:tcBorders>
              <w:top w:val="nil"/>
              <w:left w:val="nil"/>
              <w:bottom w:val="nil"/>
              <w:right w:val="nil"/>
            </w:tcBorders>
            <w:shd w:val="clear" w:color="auto" w:fill="auto"/>
          </w:tcPr>
          <w:p w:rsidR="00B46350" w:rsidRPr="00C2594B" w:rsidRDefault="00B46350" w:rsidP="00B46350">
            <w:pPr>
              <w:spacing w:line="240" w:lineRule="auto"/>
              <w:rPr>
                <w:sz w:val="18"/>
                <w:szCs w:val="18"/>
              </w:rPr>
            </w:pPr>
            <w:r w:rsidRPr="00F00459">
              <w:rPr>
                <w:color w:val="00B0F0"/>
                <w:sz w:val="18"/>
                <w:szCs w:val="18"/>
              </w:rPr>
              <w:t>547</w:t>
            </w:r>
            <w:r w:rsidRPr="00C2594B">
              <w:rPr>
                <w:sz w:val="18"/>
                <w:szCs w:val="18"/>
              </w:rPr>
              <w:t>, 705</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VTX00057 </w:t>
            </w:r>
            <w:proofErr w:type="spellStart"/>
            <w:r w:rsidRPr="00496976">
              <w:rPr>
                <w:i/>
                <w:sz w:val="18"/>
                <w:szCs w:val="18"/>
              </w:rPr>
              <w:t>Claroideoglomus</w:t>
            </w:r>
            <w:proofErr w:type="spellEnd"/>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5</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7.73</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515, 759</w:t>
            </w:r>
          </w:p>
        </w:tc>
        <w:tc>
          <w:tcPr>
            <w:tcW w:w="1559" w:type="dxa"/>
            <w:tcBorders>
              <w:top w:val="nil"/>
              <w:left w:val="nil"/>
              <w:bottom w:val="nil"/>
              <w:right w:val="nil"/>
            </w:tcBorders>
          </w:tcPr>
          <w:p w:rsidR="00B46350" w:rsidRPr="00F00459" w:rsidRDefault="00B46350" w:rsidP="00B46350">
            <w:pPr>
              <w:spacing w:line="240" w:lineRule="auto"/>
              <w:rPr>
                <w:sz w:val="18"/>
                <w:szCs w:val="18"/>
              </w:rPr>
            </w:pPr>
            <w:r w:rsidRPr="00F00459">
              <w:rPr>
                <w:b/>
                <w:color w:val="00B050"/>
                <w:sz w:val="18"/>
                <w:szCs w:val="18"/>
              </w:rPr>
              <w:t>512</w:t>
            </w:r>
            <w:r w:rsidRPr="00F00459">
              <w:rPr>
                <w:sz w:val="18"/>
                <w:szCs w:val="18"/>
              </w:rPr>
              <w:t>, 518</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366, 397 435, 699</w:t>
            </w:r>
          </w:p>
        </w:tc>
        <w:tc>
          <w:tcPr>
            <w:tcW w:w="2551" w:type="dxa"/>
            <w:tcBorders>
              <w:top w:val="nil"/>
              <w:left w:val="nil"/>
              <w:bottom w:val="nil"/>
              <w:right w:val="nil"/>
            </w:tcBorders>
            <w:shd w:val="clear" w:color="auto" w:fill="auto"/>
          </w:tcPr>
          <w:p w:rsidR="00B46350" w:rsidRPr="00C2594B" w:rsidRDefault="00B46350" w:rsidP="00B46350">
            <w:pPr>
              <w:spacing w:line="240" w:lineRule="auto"/>
              <w:rPr>
                <w:sz w:val="18"/>
                <w:szCs w:val="18"/>
              </w:rPr>
            </w:pPr>
            <w:r w:rsidRPr="00F00459">
              <w:rPr>
                <w:b/>
                <w:color w:val="FFC000"/>
                <w:sz w:val="18"/>
                <w:szCs w:val="18"/>
              </w:rPr>
              <w:t>353</w:t>
            </w:r>
            <w:r w:rsidRPr="00C2594B">
              <w:rPr>
                <w:sz w:val="18"/>
                <w:szCs w:val="18"/>
              </w:rPr>
              <w:t>, 393,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Pr>
                <w:sz w:val="18"/>
                <w:szCs w:val="18"/>
              </w:rPr>
              <w:t xml:space="preserve">VTX00067, </w:t>
            </w:r>
            <w:r w:rsidRPr="008A48EA">
              <w:rPr>
                <w:sz w:val="18"/>
                <w:szCs w:val="18"/>
              </w:rPr>
              <w:t xml:space="preserve">VTX00195 </w:t>
            </w:r>
            <w:r w:rsidRPr="00496976">
              <w:rPr>
                <w:i/>
                <w:sz w:val="18"/>
                <w:szCs w:val="18"/>
              </w:rPr>
              <w:t>Glomus</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8</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7.55</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422, 512, 755</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7030A0"/>
                <w:sz w:val="18"/>
                <w:szCs w:val="18"/>
              </w:rPr>
              <w:t>424</w:t>
            </w:r>
            <w:r w:rsidRPr="00C2594B">
              <w:rPr>
                <w:sz w:val="18"/>
                <w:szCs w:val="18"/>
              </w:rPr>
              <w:t xml:space="preserve"> 512</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432, 695</w:t>
            </w:r>
          </w:p>
        </w:tc>
        <w:tc>
          <w:tcPr>
            <w:tcW w:w="2551" w:type="dxa"/>
            <w:tcBorders>
              <w:top w:val="nil"/>
              <w:left w:val="nil"/>
              <w:bottom w:val="nil"/>
              <w:right w:val="nil"/>
            </w:tcBorders>
            <w:shd w:val="clear" w:color="auto" w:fill="auto"/>
          </w:tcPr>
          <w:p w:rsidR="00B46350" w:rsidRPr="00C2594B" w:rsidRDefault="00B46350" w:rsidP="00B46350">
            <w:pPr>
              <w:spacing w:line="240" w:lineRule="auto"/>
              <w:rPr>
                <w:sz w:val="18"/>
                <w:szCs w:val="18"/>
              </w:rPr>
            </w:pPr>
            <w:r w:rsidRPr="00F00459">
              <w:rPr>
                <w:b/>
                <w:color w:val="FF0000"/>
                <w:sz w:val="18"/>
                <w:szCs w:val="18"/>
              </w:rPr>
              <w:t>431</w:t>
            </w:r>
            <w:r w:rsidRPr="00C2594B">
              <w:rPr>
                <w:sz w:val="18"/>
                <w:szCs w:val="18"/>
              </w:rPr>
              <w:t>,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VTX00143 </w:t>
            </w:r>
            <w:r w:rsidRPr="00496976">
              <w:rPr>
                <w:i/>
                <w:sz w:val="18"/>
                <w:szCs w:val="18"/>
              </w:rPr>
              <w:t>Glomus</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7</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7.09</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375, 424, 755</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FF66FF"/>
                <w:sz w:val="18"/>
                <w:szCs w:val="18"/>
              </w:rPr>
              <w:t>376</w:t>
            </w:r>
            <w:r w:rsidRPr="00C2594B">
              <w:rPr>
                <w:sz w:val="18"/>
                <w:szCs w:val="18"/>
              </w:rPr>
              <w:t>, 424</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396, 434, 698</w:t>
            </w:r>
          </w:p>
        </w:tc>
        <w:tc>
          <w:tcPr>
            <w:tcW w:w="2551" w:type="dxa"/>
            <w:tcBorders>
              <w:top w:val="nil"/>
              <w:left w:val="nil"/>
              <w:bottom w:val="nil"/>
              <w:right w:val="nil"/>
            </w:tcBorders>
            <w:shd w:val="clear" w:color="auto" w:fill="auto"/>
          </w:tcPr>
          <w:p w:rsidR="00B46350" w:rsidRPr="00C2594B" w:rsidRDefault="00B46350" w:rsidP="00B46350">
            <w:pPr>
              <w:spacing w:line="240" w:lineRule="auto"/>
              <w:rPr>
                <w:sz w:val="18"/>
                <w:szCs w:val="18"/>
              </w:rPr>
            </w:pPr>
            <w:r w:rsidRPr="00F00459">
              <w:rPr>
                <w:b/>
                <w:color w:val="2F5496" w:themeColor="accent5" w:themeShade="BF"/>
                <w:sz w:val="18"/>
                <w:szCs w:val="18"/>
              </w:rPr>
              <w:t>393</w:t>
            </w:r>
            <w:r w:rsidRPr="00C2594B">
              <w:rPr>
                <w:sz w:val="18"/>
                <w:szCs w:val="18"/>
              </w:rPr>
              <w:t>, 431,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VTX00309 </w:t>
            </w:r>
            <w:r w:rsidRPr="00496976">
              <w:rPr>
                <w:i/>
                <w:sz w:val="18"/>
                <w:szCs w:val="18"/>
              </w:rPr>
              <w:t>Glomus</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9</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6.18</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423, 513, 757</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7030A0"/>
                <w:sz w:val="18"/>
                <w:szCs w:val="18"/>
              </w:rPr>
              <w:t>424</w:t>
            </w:r>
            <w:r w:rsidRPr="00C2594B">
              <w:rPr>
                <w:sz w:val="18"/>
                <w:szCs w:val="18"/>
              </w:rPr>
              <w:t>, 512</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433, 697</w:t>
            </w:r>
          </w:p>
        </w:tc>
        <w:tc>
          <w:tcPr>
            <w:tcW w:w="2551" w:type="dxa"/>
            <w:tcBorders>
              <w:top w:val="nil"/>
              <w:left w:val="nil"/>
              <w:bottom w:val="nil"/>
              <w:right w:val="nil"/>
            </w:tcBorders>
            <w:shd w:val="clear" w:color="auto" w:fill="auto"/>
          </w:tcPr>
          <w:p w:rsidR="00B46350" w:rsidRPr="00C2594B" w:rsidRDefault="00B46350" w:rsidP="00B46350">
            <w:pPr>
              <w:spacing w:line="240" w:lineRule="auto"/>
              <w:rPr>
                <w:sz w:val="18"/>
                <w:szCs w:val="18"/>
              </w:rPr>
            </w:pPr>
            <w:r w:rsidRPr="00F00459">
              <w:rPr>
                <w:b/>
                <w:color w:val="FF0000"/>
                <w:sz w:val="18"/>
                <w:szCs w:val="18"/>
              </w:rPr>
              <w:t>431</w:t>
            </w:r>
            <w:r w:rsidRPr="00C2594B">
              <w:rPr>
                <w:sz w:val="18"/>
                <w:szCs w:val="18"/>
              </w:rPr>
              <w:t>,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VTX00163 </w:t>
            </w:r>
            <w:r w:rsidRPr="00496976">
              <w:rPr>
                <w:i/>
                <w:sz w:val="18"/>
                <w:szCs w:val="18"/>
              </w:rPr>
              <w:t>Glomus</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34</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4.17</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515, 759</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00B050"/>
                <w:sz w:val="18"/>
                <w:szCs w:val="18"/>
              </w:rPr>
              <w:t>512</w:t>
            </w:r>
            <w:r w:rsidRPr="00F00459">
              <w:rPr>
                <w:sz w:val="18"/>
                <w:szCs w:val="18"/>
              </w:rPr>
              <w:t>, 518</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397, 435, 698</w:t>
            </w:r>
          </w:p>
        </w:tc>
        <w:tc>
          <w:tcPr>
            <w:tcW w:w="2551" w:type="dxa"/>
            <w:tcBorders>
              <w:top w:val="nil"/>
              <w:left w:val="nil"/>
              <w:bottom w:val="nil"/>
              <w:right w:val="nil"/>
            </w:tcBorders>
            <w:shd w:val="clear" w:color="auto" w:fill="auto"/>
          </w:tcPr>
          <w:p w:rsidR="00B46350" w:rsidRPr="00C2594B" w:rsidRDefault="00B46350" w:rsidP="00B46350">
            <w:pPr>
              <w:spacing w:line="240" w:lineRule="auto"/>
              <w:rPr>
                <w:sz w:val="18"/>
                <w:szCs w:val="18"/>
              </w:rPr>
            </w:pPr>
            <w:r w:rsidRPr="00F00459">
              <w:rPr>
                <w:b/>
                <w:color w:val="2F5496" w:themeColor="accent5" w:themeShade="BF"/>
                <w:sz w:val="18"/>
                <w:szCs w:val="18"/>
              </w:rPr>
              <w:t>393</w:t>
            </w:r>
            <w:r w:rsidRPr="00C2594B">
              <w:rPr>
                <w:sz w:val="18"/>
                <w:szCs w:val="18"/>
              </w:rPr>
              <w:t>, 393, 431, 399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VTX0065 </w:t>
            </w:r>
            <w:r w:rsidRPr="00496976">
              <w:rPr>
                <w:i/>
                <w:sz w:val="18"/>
                <w:szCs w:val="18"/>
              </w:rPr>
              <w:t>Glomus</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16</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2.90</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67, 376, 760</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C2594B">
              <w:rPr>
                <w:sz w:val="18"/>
                <w:szCs w:val="18"/>
              </w:rPr>
              <w:t>-, 376</w:t>
            </w:r>
          </w:p>
        </w:tc>
        <w:tc>
          <w:tcPr>
            <w:tcW w:w="2127" w:type="dxa"/>
            <w:tcBorders>
              <w:top w:val="nil"/>
              <w:left w:val="nil"/>
              <w:bottom w:val="nil"/>
              <w:right w:val="nil"/>
            </w:tcBorders>
          </w:tcPr>
          <w:p w:rsidR="00B46350" w:rsidRPr="008A48EA" w:rsidRDefault="00B46350" w:rsidP="00B46350">
            <w:pPr>
              <w:tabs>
                <w:tab w:val="center" w:pos="955"/>
              </w:tabs>
              <w:spacing w:line="240" w:lineRule="auto"/>
              <w:rPr>
                <w:sz w:val="18"/>
                <w:szCs w:val="18"/>
              </w:rPr>
            </w:pPr>
            <w:r w:rsidRPr="008A48EA">
              <w:rPr>
                <w:sz w:val="18"/>
                <w:szCs w:val="18"/>
              </w:rPr>
              <w:t>357, 545, 700</w:t>
            </w:r>
          </w:p>
        </w:tc>
        <w:tc>
          <w:tcPr>
            <w:tcW w:w="2551" w:type="dxa"/>
            <w:tcBorders>
              <w:top w:val="nil"/>
              <w:left w:val="nil"/>
              <w:bottom w:val="nil"/>
              <w:right w:val="nil"/>
            </w:tcBorders>
            <w:shd w:val="clear" w:color="auto" w:fill="auto"/>
          </w:tcPr>
          <w:p w:rsidR="00B46350" w:rsidRPr="00C2594B" w:rsidRDefault="00B46350" w:rsidP="00B46350">
            <w:pPr>
              <w:spacing w:line="240" w:lineRule="auto"/>
              <w:rPr>
                <w:sz w:val="18"/>
                <w:szCs w:val="18"/>
              </w:rPr>
            </w:pPr>
            <w:r w:rsidRPr="00F00459">
              <w:rPr>
                <w:b/>
                <w:color w:val="FFC000"/>
                <w:sz w:val="18"/>
                <w:szCs w:val="18"/>
              </w:rPr>
              <w:t>353</w:t>
            </w:r>
            <w:r w:rsidRPr="00C2594B">
              <w:rPr>
                <w:sz w:val="18"/>
                <w:szCs w:val="18"/>
              </w:rPr>
              <w:t>, 547, 700</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VTX00030 </w:t>
            </w:r>
            <w:proofErr w:type="spellStart"/>
            <w:r w:rsidRPr="008A48EA">
              <w:rPr>
                <w:sz w:val="18"/>
                <w:szCs w:val="18"/>
              </w:rPr>
              <w:t>A</w:t>
            </w:r>
            <w:r w:rsidRPr="00496976">
              <w:rPr>
                <w:i/>
                <w:sz w:val="18"/>
                <w:szCs w:val="18"/>
              </w:rPr>
              <w:t>caulospora</w:t>
            </w:r>
            <w:proofErr w:type="spellEnd"/>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10</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2.70</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424, 515</w:t>
            </w:r>
          </w:p>
        </w:tc>
        <w:tc>
          <w:tcPr>
            <w:tcW w:w="1559" w:type="dxa"/>
            <w:tcBorders>
              <w:top w:val="nil"/>
              <w:left w:val="nil"/>
              <w:bottom w:val="nil"/>
              <w:right w:val="nil"/>
            </w:tcBorders>
          </w:tcPr>
          <w:p w:rsidR="00B46350" w:rsidRPr="00F00459" w:rsidRDefault="00B46350" w:rsidP="00B46350">
            <w:pPr>
              <w:spacing w:line="240" w:lineRule="auto"/>
              <w:rPr>
                <w:b/>
                <w:sz w:val="18"/>
                <w:szCs w:val="18"/>
              </w:rPr>
            </w:pPr>
            <w:r w:rsidRPr="00F00459">
              <w:rPr>
                <w:b/>
                <w:color w:val="7030A0"/>
                <w:sz w:val="18"/>
                <w:szCs w:val="18"/>
              </w:rPr>
              <w:t>424</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434, 700</w:t>
            </w:r>
          </w:p>
        </w:tc>
        <w:tc>
          <w:tcPr>
            <w:tcW w:w="2551" w:type="dxa"/>
            <w:tcBorders>
              <w:top w:val="nil"/>
              <w:left w:val="nil"/>
              <w:bottom w:val="nil"/>
              <w:right w:val="nil"/>
            </w:tcBorders>
            <w:shd w:val="clear" w:color="auto" w:fill="auto"/>
          </w:tcPr>
          <w:p w:rsidR="00B46350" w:rsidRPr="00F00459" w:rsidRDefault="00B46350" w:rsidP="00B46350">
            <w:pPr>
              <w:spacing w:line="240" w:lineRule="auto"/>
              <w:rPr>
                <w:sz w:val="18"/>
                <w:szCs w:val="18"/>
              </w:rPr>
            </w:pPr>
            <w:r w:rsidRPr="00F00459">
              <w:rPr>
                <w:b/>
                <w:color w:val="FF0000"/>
                <w:sz w:val="18"/>
                <w:szCs w:val="18"/>
              </w:rPr>
              <w:t>431</w:t>
            </w:r>
            <w:r w:rsidRPr="00C2594B">
              <w:rPr>
                <w:sz w:val="18"/>
                <w:szCs w:val="18"/>
              </w:rPr>
              <w:t>,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VTX00417 </w:t>
            </w:r>
            <w:r w:rsidRPr="00496976">
              <w:rPr>
                <w:i/>
                <w:sz w:val="18"/>
                <w:szCs w:val="18"/>
              </w:rPr>
              <w:t>Glomus</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15</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2.66</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67, 423, 513</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C2594B">
              <w:rPr>
                <w:sz w:val="18"/>
                <w:szCs w:val="18"/>
              </w:rPr>
              <w:t>-, 424, 512</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432, 697, 757</w:t>
            </w:r>
          </w:p>
        </w:tc>
        <w:tc>
          <w:tcPr>
            <w:tcW w:w="2551" w:type="dxa"/>
            <w:tcBorders>
              <w:top w:val="nil"/>
              <w:left w:val="nil"/>
              <w:bottom w:val="nil"/>
              <w:right w:val="nil"/>
            </w:tcBorders>
            <w:shd w:val="clear" w:color="auto" w:fill="auto"/>
          </w:tcPr>
          <w:p w:rsidR="00B46350" w:rsidRPr="00F00459" w:rsidRDefault="00B46350" w:rsidP="00B46350">
            <w:pPr>
              <w:spacing w:line="240" w:lineRule="auto"/>
              <w:rPr>
                <w:sz w:val="18"/>
                <w:szCs w:val="18"/>
              </w:rPr>
            </w:pPr>
            <w:r w:rsidRPr="00F00459">
              <w:rPr>
                <w:b/>
                <w:color w:val="FF0000"/>
                <w:sz w:val="18"/>
                <w:szCs w:val="18"/>
              </w:rPr>
              <w:t>431</w:t>
            </w:r>
            <w:r w:rsidRPr="00C2594B">
              <w:rPr>
                <w:sz w:val="18"/>
                <w:szCs w:val="18"/>
              </w:rPr>
              <w:t>,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VTX00143 </w:t>
            </w:r>
            <w:r w:rsidRPr="00496976">
              <w:rPr>
                <w:i/>
                <w:sz w:val="18"/>
                <w:szCs w:val="18"/>
              </w:rPr>
              <w:t>Glomus</w:t>
            </w:r>
            <w:r w:rsidRPr="008A48EA">
              <w:rPr>
                <w:sz w:val="18"/>
                <w:szCs w:val="18"/>
              </w:rPr>
              <w:t xml:space="preserve"> </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11</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1.86</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424, 758</w:t>
            </w:r>
          </w:p>
        </w:tc>
        <w:tc>
          <w:tcPr>
            <w:tcW w:w="1559" w:type="dxa"/>
            <w:tcBorders>
              <w:top w:val="nil"/>
              <w:left w:val="nil"/>
              <w:bottom w:val="nil"/>
              <w:right w:val="nil"/>
            </w:tcBorders>
          </w:tcPr>
          <w:p w:rsidR="00B46350" w:rsidRPr="00F00459" w:rsidRDefault="00B46350" w:rsidP="00B46350">
            <w:pPr>
              <w:spacing w:line="240" w:lineRule="auto"/>
              <w:rPr>
                <w:b/>
                <w:sz w:val="18"/>
                <w:szCs w:val="18"/>
              </w:rPr>
            </w:pPr>
            <w:r w:rsidRPr="00F00459">
              <w:rPr>
                <w:b/>
                <w:color w:val="7030A0"/>
                <w:sz w:val="18"/>
                <w:szCs w:val="18"/>
              </w:rPr>
              <w:t>424</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434, 698</w:t>
            </w:r>
          </w:p>
        </w:tc>
        <w:tc>
          <w:tcPr>
            <w:tcW w:w="2551" w:type="dxa"/>
            <w:tcBorders>
              <w:top w:val="nil"/>
              <w:left w:val="nil"/>
              <w:bottom w:val="nil"/>
              <w:right w:val="nil"/>
            </w:tcBorders>
            <w:shd w:val="clear" w:color="auto" w:fill="auto"/>
          </w:tcPr>
          <w:p w:rsidR="00B46350" w:rsidRPr="00F00459" w:rsidRDefault="00B46350" w:rsidP="00B46350">
            <w:pPr>
              <w:spacing w:line="240" w:lineRule="auto"/>
              <w:rPr>
                <w:sz w:val="18"/>
                <w:szCs w:val="18"/>
              </w:rPr>
            </w:pPr>
            <w:r w:rsidRPr="00F00459">
              <w:rPr>
                <w:b/>
                <w:color w:val="FF0000"/>
                <w:sz w:val="18"/>
                <w:szCs w:val="18"/>
              </w:rPr>
              <w:t>431</w:t>
            </w:r>
            <w:r w:rsidRPr="00C2594B">
              <w:rPr>
                <w:sz w:val="18"/>
                <w:szCs w:val="18"/>
              </w:rPr>
              <w:t>,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VTX00122 </w:t>
            </w:r>
            <w:r w:rsidRPr="00496976">
              <w:rPr>
                <w:i/>
                <w:sz w:val="18"/>
                <w:szCs w:val="18"/>
              </w:rPr>
              <w:t>Glomus</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17</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1.56</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757, 513</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C00000"/>
                <w:sz w:val="18"/>
                <w:szCs w:val="18"/>
              </w:rPr>
              <w:t>765</w:t>
            </w:r>
            <w:r w:rsidRPr="00C2594B">
              <w:rPr>
                <w:sz w:val="18"/>
                <w:szCs w:val="18"/>
              </w:rPr>
              <w:t>, 512</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433, 697</w:t>
            </w:r>
          </w:p>
        </w:tc>
        <w:tc>
          <w:tcPr>
            <w:tcW w:w="2551" w:type="dxa"/>
            <w:tcBorders>
              <w:top w:val="nil"/>
              <w:left w:val="nil"/>
              <w:bottom w:val="nil"/>
              <w:right w:val="nil"/>
            </w:tcBorders>
            <w:shd w:val="clear" w:color="auto" w:fill="auto"/>
          </w:tcPr>
          <w:p w:rsidR="00B46350" w:rsidRPr="00F00459" w:rsidRDefault="00B46350" w:rsidP="00B46350">
            <w:pPr>
              <w:spacing w:line="240" w:lineRule="auto"/>
              <w:rPr>
                <w:sz w:val="18"/>
                <w:szCs w:val="18"/>
              </w:rPr>
            </w:pPr>
            <w:r w:rsidRPr="00F00459">
              <w:rPr>
                <w:b/>
                <w:color w:val="FF0000"/>
                <w:sz w:val="18"/>
                <w:szCs w:val="18"/>
              </w:rPr>
              <w:t>431</w:t>
            </w:r>
            <w:r w:rsidRPr="00C2594B">
              <w:rPr>
                <w:sz w:val="18"/>
                <w:szCs w:val="18"/>
              </w:rPr>
              <w:t>,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VTX00234 </w:t>
            </w:r>
            <w:r w:rsidRPr="00496976">
              <w:rPr>
                <w:i/>
                <w:sz w:val="18"/>
                <w:szCs w:val="18"/>
              </w:rPr>
              <w:t>Glomus</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25</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1.21</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67, 331, 756</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C2594B">
              <w:rPr>
                <w:sz w:val="18"/>
                <w:szCs w:val="18"/>
              </w:rPr>
              <w:t>-</w:t>
            </w:r>
          </w:p>
        </w:tc>
        <w:tc>
          <w:tcPr>
            <w:tcW w:w="2127" w:type="dxa"/>
            <w:tcBorders>
              <w:top w:val="nil"/>
              <w:left w:val="nil"/>
              <w:bottom w:val="nil"/>
              <w:right w:val="nil"/>
            </w:tcBorders>
          </w:tcPr>
          <w:p w:rsidR="00B46350" w:rsidRPr="008A48EA" w:rsidRDefault="00B46350" w:rsidP="00B46350">
            <w:pPr>
              <w:tabs>
                <w:tab w:val="center" w:pos="955"/>
              </w:tabs>
              <w:spacing w:line="240" w:lineRule="auto"/>
              <w:rPr>
                <w:sz w:val="18"/>
                <w:szCs w:val="18"/>
              </w:rPr>
            </w:pPr>
            <w:r w:rsidRPr="008A48EA">
              <w:rPr>
                <w:sz w:val="18"/>
                <w:szCs w:val="18"/>
              </w:rPr>
              <w:t>544, 698</w:t>
            </w:r>
            <w:r w:rsidRPr="008A48EA">
              <w:rPr>
                <w:sz w:val="18"/>
                <w:szCs w:val="18"/>
              </w:rPr>
              <w:tab/>
            </w:r>
          </w:p>
        </w:tc>
        <w:tc>
          <w:tcPr>
            <w:tcW w:w="2551" w:type="dxa"/>
            <w:tcBorders>
              <w:top w:val="nil"/>
              <w:left w:val="nil"/>
              <w:bottom w:val="nil"/>
              <w:right w:val="nil"/>
            </w:tcBorders>
            <w:shd w:val="clear" w:color="auto" w:fill="auto"/>
          </w:tcPr>
          <w:p w:rsidR="00B46350" w:rsidRPr="00F00459" w:rsidRDefault="00B46350" w:rsidP="00B46350">
            <w:pPr>
              <w:spacing w:line="240" w:lineRule="auto"/>
              <w:rPr>
                <w:sz w:val="18"/>
                <w:szCs w:val="18"/>
              </w:rPr>
            </w:pPr>
            <w:r w:rsidRPr="00F00459">
              <w:rPr>
                <w:color w:val="00B0F0"/>
                <w:sz w:val="18"/>
                <w:szCs w:val="18"/>
              </w:rPr>
              <w:t>547</w:t>
            </w:r>
            <w:r w:rsidRPr="00C2594B">
              <w:rPr>
                <w:sz w:val="18"/>
                <w:szCs w:val="18"/>
              </w:rPr>
              <w:t>,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VTX00245 </w:t>
            </w:r>
            <w:proofErr w:type="spellStart"/>
            <w:r w:rsidRPr="00496976">
              <w:rPr>
                <w:i/>
                <w:sz w:val="18"/>
                <w:szCs w:val="18"/>
              </w:rPr>
              <w:t>Archaeospora</w:t>
            </w:r>
            <w:proofErr w:type="spellEnd"/>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20</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1.08</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67, 331, 756</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C2594B">
              <w:rPr>
                <w:sz w:val="18"/>
                <w:szCs w:val="18"/>
              </w:rPr>
              <w:t>-</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544, 698</w:t>
            </w:r>
          </w:p>
        </w:tc>
        <w:tc>
          <w:tcPr>
            <w:tcW w:w="2551" w:type="dxa"/>
            <w:tcBorders>
              <w:top w:val="nil"/>
              <w:left w:val="nil"/>
              <w:bottom w:val="nil"/>
              <w:right w:val="nil"/>
            </w:tcBorders>
            <w:shd w:val="clear" w:color="auto" w:fill="auto"/>
          </w:tcPr>
          <w:p w:rsidR="00B46350" w:rsidRPr="00F00459" w:rsidRDefault="00B46350" w:rsidP="00B46350">
            <w:pPr>
              <w:spacing w:line="240" w:lineRule="auto"/>
              <w:rPr>
                <w:sz w:val="18"/>
                <w:szCs w:val="18"/>
              </w:rPr>
            </w:pPr>
            <w:r w:rsidRPr="00F00459">
              <w:rPr>
                <w:color w:val="00B0F0"/>
                <w:sz w:val="18"/>
                <w:szCs w:val="18"/>
              </w:rPr>
              <w:t>547</w:t>
            </w:r>
            <w:r w:rsidRPr="00C2594B">
              <w:rPr>
                <w:sz w:val="18"/>
                <w:szCs w:val="18"/>
              </w:rPr>
              <w:t>,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VTX00245 </w:t>
            </w:r>
            <w:proofErr w:type="spellStart"/>
            <w:r w:rsidRPr="00496976">
              <w:rPr>
                <w:i/>
                <w:sz w:val="18"/>
                <w:szCs w:val="18"/>
              </w:rPr>
              <w:t>Archaeospora</w:t>
            </w:r>
            <w:proofErr w:type="spellEnd"/>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26</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0.92</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67, 375, 516</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C2594B">
              <w:rPr>
                <w:sz w:val="18"/>
                <w:szCs w:val="18"/>
              </w:rPr>
              <w:t>-, 375, 518</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435, 545, 700</w:t>
            </w:r>
          </w:p>
        </w:tc>
        <w:tc>
          <w:tcPr>
            <w:tcW w:w="2551"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FF0000"/>
                <w:sz w:val="18"/>
                <w:szCs w:val="18"/>
              </w:rPr>
              <w:t>431</w:t>
            </w:r>
            <w:r w:rsidRPr="00C2594B">
              <w:rPr>
                <w:sz w:val="18"/>
                <w:szCs w:val="18"/>
              </w:rPr>
              <w:t>, 547, 705</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VTX00061 </w:t>
            </w:r>
            <w:proofErr w:type="spellStart"/>
            <w:r>
              <w:rPr>
                <w:i/>
                <w:sz w:val="18"/>
                <w:szCs w:val="18"/>
              </w:rPr>
              <w:t>Diversispora</w:t>
            </w:r>
            <w:proofErr w:type="spellEnd"/>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12</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0.87</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424, 757</w:t>
            </w:r>
          </w:p>
        </w:tc>
        <w:tc>
          <w:tcPr>
            <w:tcW w:w="1559" w:type="dxa"/>
            <w:tcBorders>
              <w:top w:val="nil"/>
              <w:left w:val="nil"/>
              <w:bottom w:val="nil"/>
              <w:right w:val="nil"/>
            </w:tcBorders>
          </w:tcPr>
          <w:p w:rsidR="00B46350" w:rsidRPr="00F00459" w:rsidRDefault="00B46350" w:rsidP="00B46350">
            <w:pPr>
              <w:spacing w:line="240" w:lineRule="auto"/>
              <w:rPr>
                <w:b/>
                <w:sz w:val="18"/>
                <w:szCs w:val="18"/>
              </w:rPr>
            </w:pPr>
            <w:r w:rsidRPr="00F00459">
              <w:rPr>
                <w:b/>
                <w:color w:val="7030A0"/>
                <w:sz w:val="18"/>
                <w:szCs w:val="18"/>
              </w:rPr>
              <w:t>424</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396, 434, 697</w:t>
            </w:r>
          </w:p>
        </w:tc>
        <w:tc>
          <w:tcPr>
            <w:tcW w:w="2551"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2F5496" w:themeColor="accent5" w:themeShade="BF"/>
                <w:sz w:val="18"/>
                <w:szCs w:val="18"/>
              </w:rPr>
              <w:t>393</w:t>
            </w:r>
            <w:r w:rsidRPr="00C2594B">
              <w:rPr>
                <w:sz w:val="18"/>
                <w:szCs w:val="18"/>
              </w:rPr>
              <w:t>, 431,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VTX00072 </w:t>
            </w:r>
            <w:r w:rsidRPr="00496976">
              <w:rPr>
                <w:i/>
                <w:sz w:val="18"/>
                <w:szCs w:val="18"/>
              </w:rPr>
              <w:t>Glomus</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22</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0.82</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423, 513, 757</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7030A0"/>
                <w:sz w:val="18"/>
                <w:szCs w:val="18"/>
              </w:rPr>
              <w:t>424</w:t>
            </w:r>
            <w:r w:rsidRPr="00C2594B">
              <w:rPr>
                <w:sz w:val="18"/>
                <w:szCs w:val="18"/>
              </w:rPr>
              <w:t>, 512</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433, 697</w:t>
            </w:r>
          </w:p>
        </w:tc>
        <w:tc>
          <w:tcPr>
            <w:tcW w:w="2551"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FF0000"/>
                <w:sz w:val="18"/>
                <w:szCs w:val="18"/>
              </w:rPr>
              <w:t>431</w:t>
            </w:r>
            <w:r w:rsidRPr="00C2594B">
              <w:rPr>
                <w:sz w:val="18"/>
                <w:szCs w:val="18"/>
              </w:rPr>
              <w:t>,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VTX00222 </w:t>
            </w:r>
            <w:r w:rsidRPr="00496976">
              <w:rPr>
                <w:i/>
                <w:sz w:val="18"/>
                <w:szCs w:val="18"/>
              </w:rPr>
              <w:t>Glomus</w:t>
            </w:r>
            <w:r w:rsidRPr="008A48EA">
              <w:rPr>
                <w:sz w:val="18"/>
                <w:szCs w:val="18"/>
              </w:rPr>
              <w:t xml:space="preserve"> </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13</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0.79</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391, 423, 757</w:t>
            </w:r>
          </w:p>
        </w:tc>
        <w:tc>
          <w:tcPr>
            <w:tcW w:w="1559" w:type="dxa"/>
            <w:tcBorders>
              <w:top w:val="nil"/>
              <w:left w:val="nil"/>
              <w:bottom w:val="nil"/>
              <w:right w:val="nil"/>
            </w:tcBorders>
          </w:tcPr>
          <w:p w:rsidR="00B46350" w:rsidRPr="00F00459" w:rsidRDefault="00B46350" w:rsidP="00B46350">
            <w:pPr>
              <w:spacing w:line="240" w:lineRule="auto"/>
              <w:rPr>
                <w:b/>
                <w:sz w:val="18"/>
                <w:szCs w:val="18"/>
              </w:rPr>
            </w:pPr>
            <w:r w:rsidRPr="00F00459">
              <w:rPr>
                <w:b/>
                <w:color w:val="7030A0"/>
                <w:sz w:val="18"/>
                <w:szCs w:val="18"/>
              </w:rPr>
              <w:t>424</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433, 698</w:t>
            </w:r>
          </w:p>
        </w:tc>
        <w:tc>
          <w:tcPr>
            <w:tcW w:w="2551"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FF0000"/>
                <w:sz w:val="18"/>
                <w:szCs w:val="18"/>
              </w:rPr>
              <w:t>431</w:t>
            </w:r>
            <w:r w:rsidRPr="00C2594B">
              <w:rPr>
                <w:sz w:val="18"/>
                <w:szCs w:val="18"/>
              </w:rPr>
              <w:t>,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VTX00125</w:t>
            </w:r>
            <w:r w:rsidRPr="00496976">
              <w:rPr>
                <w:i/>
                <w:sz w:val="18"/>
                <w:szCs w:val="18"/>
              </w:rPr>
              <w:t xml:space="preserve"> Glomus</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24</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0.66</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375, 424, 758</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FF66FF"/>
                <w:sz w:val="18"/>
                <w:szCs w:val="18"/>
              </w:rPr>
              <w:t>376</w:t>
            </w:r>
            <w:r w:rsidRPr="00C2594B">
              <w:rPr>
                <w:sz w:val="18"/>
                <w:szCs w:val="18"/>
              </w:rPr>
              <w:t>, 424</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434, 698</w:t>
            </w:r>
          </w:p>
        </w:tc>
        <w:tc>
          <w:tcPr>
            <w:tcW w:w="2551"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FF0000"/>
                <w:sz w:val="18"/>
                <w:szCs w:val="18"/>
              </w:rPr>
              <w:t>431</w:t>
            </w:r>
            <w:r w:rsidRPr="00C2594B">
              <w:rPr>
                <w:sz w:val="18"/>
                <w:szCs w:val="18"/>
              </w:rPr>
              <w:t>,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VTX00345 </w:t>
            </w:r>
            <w:r w:rsidRPr="00496976">
              <w:rPr>
                <w:i/>
                <w:sz w:val="18"/>
                <w:szCs w:val="18"/>
              </w:rPr>
              <w:t>Glomus</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23</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0.64</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67, 740, 766</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C2594B">
              <w:rPr>
                <w:sz w:val="18"/>
                <w:szCs w:val="18"/>
              </w:rPr>
              <w:t>-, 765</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344, 368, 551, 706</w:t>
            </w:r>
          </w:p>
        </w:tc>
        <w:tc>
          <w:tcPr>
            <w:tcW w:w="2551"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FF0000"/>
                <w:sz w:val="18"/>
                <w:szCs w:val="18"/>
              </w:rPr>
              <w:t>431</w:t>
            </w:r>
            <w:r w:rsidRPr="00C2594B">
              <w:rPr>
                <w:sz w:val="18"/>
                <w:szCs w:val="18"/>
              </w:rPr>
              <w:t>, 547, 705</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Pr>
                <w:sz w:val="18"/>
                <w:szCs w:val="18"/>
              </w:rPr>
              <w:t xml:space="preserve">VTX00225 </w:t>
            </w:r>
            <w:proofErr w:type="spellStart"/>
            <w:r w:rsidRPr="00496976">
              <w:rPr>
                <w:i/>
                <w:sz w:val="18"/>
                <w:szCs w:val="18"/>
              </w:rPr>
              <w:t>Claroideoglomus</w:t>
            </w:r>
            <w:proofErr w:type="spellEnd"/>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81</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0.62</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331, 758</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C2594B">
              <w:rPr>
                <w:sz w:val="18"/>
                <w:szCs w:val="18"/>
              </w:rPr>
              <w:t>-</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434, 698</w:t>
            </w:r>
          </w:p>
        </w:tc>
        <w:tc>
          <w:tcPr>
            <w:tcW w:w="2551"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FF0000"/>
                <w:sz w:val="18"/>
                <w:szCs w:val="18"/>
              </w:rPr>
              <w:t>431</w:t>
            </w:r>
            <w:r w:rsidRPr="00C2594B">
              <w:rPr>
                <w:sz w:val="18"/>
                <w:szCs w:val="18"/>
              </w:rPr>
              <w:t>,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VTX00200 </w:t>
            </w:r>
            <w:r w:rsidRPr="00496976">
              <w:rPr>
                <w:i/>
                <w:sz w:val="18"/>
                <w:szCs w:val="18"/>
              </w:rPr>
              <w:t>Glomus</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38</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0.61</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423, 513, 757</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7030A0"/>
                <w:sz w:val="18"/>
                <w:szCs w:val="18"/>
              </w:rPr>
              <w:t>424</w:t>
            </w:r>
            <w:r w:rsidRPr="00C2594B">
              <w:rPr>
                <w:sz w:val="18"/>
                <w:szCs w:val="18"/>
              </w:rPr>
              <w:t xml:space="preserve">, 512, </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433 , 697</w:t>
            </w:r>
          </w:p>
        </w:tc>
        <w:tc>
          <w:tcPr>
            <w:tcW w:w="2551"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FF0000"/>
                <w:sz w:val="18"/>
                <w:szCs w:val="18"/>
              </w:rPr>
              <w:t>431</w:t>
            </w:r>
            <w:r w:rsidRPr="00C2594B">
              <w:rPr>
                <w:sz w:val="18"/>
                <w:szCs w:val="18"/>
              </w:rPr>
              <w:t>,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VTX00163 </w:t>
            </w:r>
            <w:r w:rsidRPr="00496976">
              <w:rPr>
                <w:i/>
                <w:sz w:val="18"/>
                <w:szCs w:val="18"/>
              </w:rPr>
              <w:t>Glomus</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40</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0.44</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376, 424, 755</w:t>
            </w:r>
          </w:p>
        </w:tc>
        <w:tc>
          <w:tcPr>
            <w:tcW w:w="1559"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FF66FF"/>
                <w:sz w:val="18"/>
                <w:szCs w:val="18"/>
              </w:rPr>
              <w:t>376</w:t>
            </w:r>
            <w:r w:rsidRPr="00C2594B">
              <w:rPr>
                <w:sz w:val="18"/>
                <w:szCs w:val="18"/>
              </w:rPr>
              <w:t xml:space="preserve">, 424, </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435, 697</w:t>
            </w:r>
          </w:p>
        </w:tc>
        <w:tc>
          <w:tcPr>
            <w:tcW w:w="2551"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FF0000"/>
                <w:sz w:val="18"/>
                <w:szCs w:val="18"/>
              </w:rPr>
              <w:t>431</w:t>
            </w:r>
            <w:r w:rsidRPr="00C2594B">
              <w:rPr>
                <w:sz w:val="18"/>
                <w:szCs w:val="18"/>
              </w:rPr>
              <w:t>,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VTX00219 </w:t>
            </w:r>
            <w:r w:rsidRPr="00496976">
              <w:rPr>
                <w:i/>
                <w:sz w:val="18"/>
                <w:szCs w:val="18"/>
              </w:rPr>
              <w:t>Glomus</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18</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0.42</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424, 756</w:t>
            </w:r>
          </w:p>
        </w:tc>
        <w:tc>
          <w:tcPr>
            <w:tcW w:w="1559" w:type="dxa"/>
            <w:tcBorders>
              <w:top w:val="nil"/>
              <w:left w:val="nil"/>
              <w:bottom w:val="nil"/>
              <w:right w:val="nil"/>
            </w:tcBorders>
          </w:tcPr>
          <w:p w:rsidR="00B46350" w:rsidRPr="00F00459" w:rsidRDefault="00B46350" w:rsidP="00B46350">
            <w:pPr>
              <w:spacing w:line="240" w:lineRule="auto"/>
              <w:rPr>
                <w:b/>
                <w:sz w:val="18"/>
                <w:szCs w:val="18"/>
              </w:rPr>
            </w:pPr>
            <w:r w:rsidRPr="00F00459">
              <w:rPr>
                <w:b/>
                <w:color w:val="7030A0"/>
                <w:sz w:val="18"/>
                <w:szCs w:val="18"/>
              </w:rPr>
              <w:t>424</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434, 697</w:t>
            </w:r>
          </w:p>
        </w:tc>
        <w:tc>
          <w:tcPr>
            <w:tcW w:w="2551"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FF0000"/>
                <w:sz w:val="18"/>
                <w:szCs w:val="18"/>
              </w:rPr>
              <w:t>431</w:t>
            </w:r>
            <w:r w:rsidRPr="00C2594B">
              <w:rPr>
                <w:sz w:val="18"/>
                <w:szCs w:val="18"/>
              </w:rPr>
              <w:t>,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VTX00309 </w:t>
            </w:r>
            <w:r w:rsidRPr="00496976">
              <w:rPr>
                <w:i/>
                <w:sz w:val="18"/>
                <w:szCs w:val="18"/>
              </w:rPr>
              <w:t>Glomus</w:t>
            </w:r>
          </w:p>
        </w:tc>
      </w:tr>
      <w:tr w:rsidR="00B46350" w:rsidTr="00B46350">
        <w:tc>
          <w:tcPr>
            <w:tcW w:w="70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19</w:t>
            </w:r>
          </w:p>
        </w:tc>
        <w:tc>
          <w:tcPr>
            <w:tcW w:w="1559" w:type="dxa"/>
            <w:tcBorders>
              <w:top w:val="nil"/>
              <w:left w:val="nil"/>
              <w:bottom w:val="nil"/>
              <w:right w:val="nil"/>
            </w:tcBorders>
          </w:tcPr>
          <w:p w:rsidR="00B46350" w:rsidRPr="008A48EA" w:rsidRDefault="00B46350" w:rsidP="00B46350">
            <w:pPr>
              <w:spacing w:line="240" w:lineRule="auto"/>
              <w:jc w:val="center"/>
              <w:rPr>
                <w:sz w:val="18"/>
                <w:szCs w:val="18"/>
              </w:rPr>
            </w:pPr>
            <w:r w:rsidRPr="008A48EA">
              <w:rPr>
                <w:sz w:val="18"/>
                <w:szCs w:val="18"/>
              </w:rPr>
              <w:t>0.39</w:t>
            </w:r>
          </w:p>
        </w:tc>
        <w:tc>
          <w:tcPr>
            <w:tcW w:w="1843"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424, 758</w:t>
            </w:r>
          </w:p>
        </w:tc>
        <w:tc>
          <w:tcPr>
            <w:tcW w:w="1559" w:type="dxa"/>
            <w:tcBorders>
              <w:top w:val="nil"/>
              <w:left w:val="nil"/>
              <w:bottom w:val="nil"/>
              <w:right w:val="nil"/>
            </w:tcBorders>
          </w:tcPr>
          <w:p w:rsidR="00B46350" w:rsidRPr="00F00459" w:rsidRDefault="00B46350" w:rsidP="00B46350">
            <w:pPr>
              <w:spacing w:line="240" w:lineRule="auto"/>
              <w:rPr>
                <w:b/>
                <w:sz w:val="18"/>
                <w:szCs w:val="18"/>
              </w:rPr>
            </w:pPr>
            <w:r w:rsidRPr="00F00459">
              <w:rPr>
                <w:b/>
                <w:color w:val="7030A0"/>
                <w:sz w:val="18"/>
                <w:szCs w:val="18"/>
              </w:rPr>
              <w:t>424</w:t>
            </w:r>
          </w:p>
        </w:tc>
        <w:tc>
          <w:tcPr>
            <w:tcW w:w="2127"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434, 698</w:t>
            </w:r>
          </w:p>
        </w:tc>
        <w:tc>
          <w:tcPr>
            <w:tcW w:w="2551" w:type="dxa"/>
            <w:tcBorders>
              <w:top w:val="nil"/>
              <w:left w:val="nil"/>
              <w:bottom w:val="nil"/>
              <w:right w:val="nil"/>
            </w:tcBorders>
          </w:tcPr>
          <w:p w:rsidR="00B46350" w:rsidRPr="00C2594B" w:rsidRDefault="00B46350" w:rsidP="00B46350">
            <w:pPr>
              <w:spacing w:line="240" w:lineRule="auto"/>
              <w:rPr>
                <w:sz w:val="18"/>
                <w:szCs w:val="18"/>
              </w:rPr>
            </w:pPr>
            <w:r w:rsidRPr="00F00459">
              <w:rPr>
                <w:b/>
                <w:color w:val="FF0000"/>
                <w:sz w:val="18"/>
                <w:szCs w:val="18"/>
              </w:rPr>
              <w:t>431</w:t>
            </w:r>
            <w:r w:rsidRPr="00C2594B">
              <w:rPr>
                <w:sz w:val="18"/>
                <w:szCs w:val="18"/>
              </w:rPr>
              <w:t>, 699</w:t>
            </w:r>
          </w:p>
        </w:tc>
        <w:tc>
          <w:tcPr>
            <w:tcW w:w="3260" w:type="dxa"/>
            <w:tcBorders>
              <w:top w:val="nil"/>
              <w:left w:val="nil"/>
              <w:bottom w:val="nil"/>
              <w:right w:val="nil"/>
            </w:tcBorders>
          </w:tcPr>
          <w:p w:rsidR="00B46350" w:rsidRPr="008A48EA" w:rsidRDefault="00B46350" w:rsidP="00B46350">
            <w:pPr>
              <w:spacing w:line="240" w:lineRule="auto"/>
              <w:rPr>
                <w:sz w:val="18"/>
                <w:szCs w:val="18"/>
              </w:rPr>
            </w:pPr>
            <w:r w:rsidRPr="008A48EA">
              <w:rPr>
                <w:sz w:val="18"/>
                <w:szCs w:val="18"/>
              </w:rPr>
              <w:t xml:space="preserve">VTX00123 </w:t>
            </w:r>
            <w:r w:rsidRPr="00496976">
              <w:rPr>
                <w:i/>
                <w:sz w:val="18"/>
                <w:szCs w:val="18"/>
              </w:rPr>
              <w:t>Glomus</w:t>
            </w:r>
          </w:p>
        </w:tc>
      </w:tr>
      <w:tr w:rsidR="00B46350" w:rsidTr="00B46350">
        <w:trPr>
          <w:trHeight w:val="211"/>
        </w:trPr>
        <w:tc>
          <w:tcPr>
            <w:tcW w:w="709" w:type="dxa"/>
            <w:tcBorders>
              <w:top w:val="nil"/>
              <w:left w:val="nil"/>
              <w:bottom w:val="single" w:sz="4" w:space="0" w:color="auto"/>
              <w:right w:val="nil"/>
            </w:tcBorders>
          </w:tcPr>
          <w:p w:rsidR="00B46350" w:rsidRPr="008A48EA" w:rsidRDefault="00B46350" w:rsidP="00B46350">
            <w:pPr>
              <w:spacing w:line="240" w:lineRule="auto"/>
              <w:jc w:val="center"/>
              <w:rPr>
                <w:sz w:val="18"/>
                <w:szCs w:val="18"/>
              </w:rPr>
            </w:pPr>
            <w:r w:rsidRPr="008A48EA">
              <w:rPr>
                <w:sz w:val="18"/>
                <w:szCs w:val="18"/>
              </w:rPr>
              <w:t>33</w:t>
            </w:r>
          </w:p>
        </w:tc>
        <w:tc>
          <w:tcPr>
            <w:tcW w:w="1559" w:type="dxa"/>
            <w:tcBorders>
              <w:top w:val="nil"/>
              <w:left w:val="nil"/>
              <w:bottom w:val="single" w:sz="4" w:space="0" w:color="auto"/>
              <w:right w:val="nil"/>
            </w:tcBorders>
          </w:tcPr>
          <w:p w:rsidR="00B46350" w:rsidRPr="008A48EA" w:rsidRDefault="00B46350" w:rsidP="00B46350">
            <w:pPr>
              <w:spacing w:line="240" w:lineRule="auto"/>
              <w:jc w:val="center"/>
              <w:rPr>
                <w:sz w:val="18"/>
                <w:szCs w:val="18"/>
              </w:rPr>
            </w:pPr>
            <w:r w:rsidRPr="008A48EA">
              <w:rPr>
                <w:sz w:val="18"/>
                <w:szCs w:val="18"/>
              </w:rPr>
              <w:t>0.32</w:t>
            </w:r>
          </w:p>
        </w:tc>
        <w:tc>
          <w:tcPr>
            <w:tcW w:w="1843" w:type="dxa"/>
            <w:tcBorders>
              <w:top w:val="nil"/>
              <w:left w:val="nil"/>
              <w:bottom w:val="single" w:sz="4" w:space="0" w:color="auto"/>
              <w:right w:val="nil"/>
            </w:tcBorders>
          </w:tcPr>
          <w:p w:rsidR="00B46350" w:rsidRPr="008A48EA" w:rsidRDefault="00B46350" w:rsidP="00B46350">
            <w:pPr>
              <w:spacing w:line="240" w:lineRule="auto"/>
              <w:rPr>
                <w:sz w:val="18"/>
                <w:szCs w:val="18"/>
              </w:rPr>
            </w:pPr>
            <w:r w:rsidRPr="008A48EA">
              <w:rPr>
                <w:sz w:val="18"/>
                <w:szCs w:val="18"/>
              </w:rPr>
              <w:t>424, 758</w:t>
            </w:r>
          </w:p>
        </w:tc>
        <w:tc>
          <w:tcPr>
            <w:tcW w:w="1559" w:type="dxa"/>
            <w:tcBorders>
              <w:top w:val="nil"/>
              <w:left w:val="nil"/>
              <w:bottom w:val="single" w:sz="4" w:space="0" w:color="auto"/>
              <w:right w:val="nil"/>
            </w:tcBorders>
          </w:tcPr>
          <w:p w:rsidR="00B46350" w:rsidRPr="00F00459" w:rsidRDefault="00B46350" w:rsidP="00B46350">
            <w:pPr>
              <w:spacing w:line="240" w:lineRule="auto"/>
              <w:rPr>
                <w:b/>
                <w:sz w:val="18"/>
                <w:szCs w:val="18"/>
              </w:rPr>
            </w:pPr>
            <w:r w:rsidRPr="00F00459">
              <w:rPr>
                <w:b/>
                <w:color w:val="7030A0"/>
                <w:sz w:val="18"/>
                <w:szCs w:val="18"/>
              </w:rPr>
              <w:t>424</w:t>
            </w:r>
          </w:p>
        </w:tc>
        <w:tc>
          <w:tcPr>
            <w:tcW w:w="2127" w:type="dxa"/>
            <w:tcBorders>
              <w:top w:val="nil"/>
              <w:left w:val="nil"/>
              <w:bottom w:val="single" w:sz="4" w:space="0" w:color="auto"/>
              <w:right w:val="nil"/>
            </w:tcBorders>
          </w:tcPr>
          <w:p w:rsidR="00B46350" w:rsidRPr="008A48EA" w:rsidRDefault="00B46350" w:rsidP="00B46350">
            <w:pPr>
              <w:spacing w:line="240" w:lineRule="auto"/>
              <w:rPr>
                <w:sz w:val="18"/>
                <w:szCs w:val="18"/>
              </w:rPr>
            </w:pPr>
            <w:r w:rsidRPr="008A48EA">
              <w:rPr>
                <w:sz w:val="18"/>
                <w:szCs w:val="18"/>
              </w:rPr>
              <w:t>434, 698</w:t>
            </w:r>
          </w:p>
        </w:tc>
        <w:tc>
          <w:tcPr>
            <w:tcW w:w="2551" w:type="dxa"/>
            <w:tcBorders>
              <w:top w:val="nil"/>
              <w:left w:val="nil"/>
              <w:bottom w:val="single" w:sz="4" w:space="0" w:color="auto"/>
              <w:right w:val="nil"/>
            </w:tcBorders>
          </w:tcPr>
          <w:p w:rsidR="00B46350" w:rsidRPr="00C2594B" w:rsidRDefault="00B46350" w:rsidP="00B46350">
            <w:pPr>
              <w:spacing w:line="240" w:lineRule="auto"/>
              <w:rPr>
                <w:sz w:val="18"/>
                <w:szCs w:val="18"/>
              </w:rPr>
            </w:pPr>
            <w:r w:rsidRPr="00F00459">
              <w:rPr>
                <w:b/>
                <w:color w:val="FF0000"/>
                <w:sz w:val="18"/>
                <w:szCs w:val="18"/>
              </w:rPr>
              <w:t>431</w:t>
            </w:r>
            <w:r w:rsidRPr="00C2594B">
              <w:rPr>
                <w:sz w:val="18"/>
                <w:szCs w:val="18"/>
              </w:rPr>
              <w:t>, 699</w:t>
            </w:r>
          </w:p>
        </w:tc>
        <w:tc>
          <w:tcPr>
            <w:tcW w:w="3260" w:type="dxa"/>
            <w:tcBorders>
              <w:top w:val="nil"/>
              <w:left w:val="nil"/>
              <w:bottom w:val="single" w:sz="4" w:space="0" w:color="auto"/>
              <w:right w:val="nil"/>
            </w:tcBorders>
          </w:tcPr>
          <w:p w:rsidR="00B46350" w:rsidRPr="008A48EA" w:rsidRDefault="00B46350" w:rsidP="00B46350">
            <w:pPr>
              <w:spacing w:line="240" w:lineRule="auto"/>
              <w:rPr>
                <w:sz w:val="18"/>
                <w:szCs w:val="18"/>
              </w:rPr>
            </w:pPr>
            <w:r w:rsidRPr="008A48EA">
              <w:rPr>
                <w:sz w:val="18"/>
                <w:szCs w:val="18"/>
              </w:rPr>
              <w:t xml:space="preserve">VTX00122 </w:t>
            </w:r>
            <w:r w:rsidRPr="00496976">
              <w:rPr>
                <w:i/>
                <w:sz w:val="18"/>
                <w:szCs w:val="18"/>
              </w:rPr>
              <w:t>Glomus</w:t>
            </w:r>
          </w:p>
        </w:tc>
      </w:tr>
    </w:tbl>
    <w:p w:rsidR="00B46350" w:rsidRDefault="00B46350" w:rsidP="00B46350">
      <w:pPr>
        <w:sectPr w:rsidR="00B46350" w:rsidSect="00B46350">
          <w:pgSz w:w="16838" w:h="11906" w:orient="landscape" w:code="9"/>
          <w:pgMar w:top="2268" w:right="1134" w:bottom="1134" w:left="1134" w:header="709" w:footer="709" w:gutter="0"/>
          <w:cols w:space="708"/>
          <w:docGrid w:linePitch="360"/>
        </w:sectPr>
      </w:pPr>
    </w:p>
    <w:tbl>
      <w:tblPr>
        <w:tblStyle w:val="TableGrid"/>
        <w:tblW w:w="86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4252"/>
      </w:tblGrid>
      <w:tr w:rsidR="00B46350" w:rsidRPr="00FA5DC7" w:rsidTr="00E95851">
        <w:trPr>
          <w:jc w:val="center"/>
        </w:trPr>
        <w:tc>
          <w:tcPr>
            <w:tcW w:w="4390" w:type="dxa"/>
          </w:tcPr>
          <w:p w:rsidR="00B46350" w:rsidRPr="00192CC7" w:rsidRDefault="00192CC7" w:rsidP="00192CC7">
            <w:pPr>
              <w:spacing w:line="259" w:lineRule="auto"/>
              <w:rPr>
                <w:rFonts w:cs="Times New Roman"/>
                <w:sz w:val="18"/>
                <w:szCs w:val="18"/>
              </w:rPr>
            </w:pPr>
            <w:r>
              <w:rPr>
                <w:rFonts w:cs="Times New Roman"/>
                <w:i/>
                <w:sz w:val="24"/>
                <w:szCs w:val="24"/>
              </w:rPr>
              <w:lastRenderedPageBreak/>
              <w:t>(</w:t>
            </w:r>
            <w:r w:rsidRPr="00192CC7">
              <w:rPr>
                <w:rFonts w:cs="Times New Roman"/>
                <w:i/>
                <w:sz w:val="24"/>
                <w:szCs w:val="24"/>
              </w:rPr>
              <w:t>a)</w:t>
            </w:r>
            <w:r>
              <w:rPr>
                <w:rFonts w:cs="Times New Roman"/>
                <w:i/>
                <w:sz w:val="24"/>
                <w:szCs w:val="24"/>
              </w:rPr>
              <w:t xml:space="preserve"> </w:t>
            </w:r>
            <w:proofErr w:type="spellStart"/>
            <w:r w:rsidR="00B46350" w:rsidRPr="00192CC7">
              <w:rPr>
                <w:rFonts w:cs="Times New Roman"/>
                <w:i/>
                <w:sz w:val="24"/>
                <w:szCs w:val="24"/>
              </w:rPr>
              <w:t>Hinf</w:t>
            </w:r>
            <w:proofErr w:type="spellEnd"/>
            <w:r w:rsidR="00B46350" w:rsidRPr="00192CC7">
              <w:rPr>
                <w:rFonts w:cs="Times New Roman"/>
                <w:sz w:val="24"/>
                <w:szCs w:val="24"/>
              </w:rPr>
              <w:t xml:space="preserve">-I 376 </w:t>
            </w:r>
            <w:r w:rsidR="00B46350" w:rsidRPr="00192CC7">
              <w:rPr>
                <w:rFonts w:cs="Times New Roman"/>
                <w:b/>
                <w:sz w:val="18"/>
                <w:szCs w:val="18"/>
              </w:rPr>
              <w:t>(R</w:t>
            </w:r>
            <w:r w:rsidR="00B46350" w:rsidRPr="00192CC7">
              <w:rPr>
                <w:rFonts w:cs="Times New Roman"/>
                <w:b/>
                <w:sz w:val="18"/>
                <w:szCs w:val="18"/>
                <w:vertAlign w:val="subscript"/>
              </w:rPr>
              <w:t>s</w:t>
            </w:r>
            <w:r w:rsidR="00B46350" w:rsidRPr="00192CC7">
              <w:rPr>
                <w:rFonts w:cs="Times New Roman"/>
                <w:b/>
                <w:sz w:val="18"/>
                <w:szCs w:val="18"/>
                <w:vertAlign w:val="superscript"/>
              </w:rPr>
              <w:t>2</w:t>
            </w:r>
            <w:r w:rsidR="00B46350" w:rsidRPr="00192CC7">
              <w:rPr>
                <w:rFonts w:cs="Times New Roman"/>
                <w:b/>
                <w:sz w:val="18"/>
                <w:szCs w:val="18"/>
              </w:rPr>
              <w:t xml:space="preserve"> =0.346, </w:t>
            </w:r>
            <w:r w:rsidR="00B46350" w:rsidRPr="00192CC7">
              <w:rPr>
                <w:rFonts w:cs="Times New Roman"/>
                <w:b/>
                <w:i/>
                <w:sz w:val="18"/>
                <w:szCs w:val="18"/>
              </w:rPr>
              <w:t>P</w:t>
            </w:r>
            <w:r w:rsidR="00B46350" w:rsidRPr="00192CC7">
              <w:rPr>
                <w:rFonts w:cs="Times New Roman"/>
                <w:b/>
                <w:sz w:val="18"/>
                <w:szCs w:val="18"/>
              </w:rPr>
              <w:t>=&lt;0.001, n =95)</w:t>
            </w:r>
          </w:p>
          <w:p w:rsidR="00B46350" w:rsidRPr="00FA5DC7" w:rsidRDefault="00B46350" w:rsidP="00E95851">
            <w:pPr>
              <w:rPr>
                <w:rFonts w:cs="Times New Roman"/>
                <w:sz w:val="24"/>
                <w:szCs w:val="24"/>
              </w:rPr>
            </w:pPr>
            <w:r w:rsidRPr="00FA5DC7">
              <w:rPr>
                <w:rFonts w:cs="Times New Roman"/>
                <w:noProof/>
                <w:sz w:val="24"/>
                <w:szCs w:val="24"/>
                <w:lang w:eastAsia="en-GB"/>
              </w:rPr>
              <w:drawing>
                <wp:inline distT="0" distB="0" distL="0" distR="0" wp14:anchorId="3D4ECEEC" wp14:editId="1364F91F">
                  <wp:extent cx="2520000" cy="163841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Hinf_376.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20000" cy="1638415"/>
                          </a:xfrm>
                          <a:prstGeom prst="rect">
                            <a:avLst/>
                          </a:prstGeom>
                        </pic:spPr>
                      </pic:pic>
                    </a:graphicData>
                  </a:graphic>
                </wp:inline>
              </w:drawing>
            </w:r>
          </w:p>
        </w:tc>
        <w:tc>
          <w:tcPr>
            <w:tcW w:w="4252" w:type="dxa"/>
          </w:tcPr>
          <w:p w:rsidR="00B46350" w:rsidRPr="00192CC7" w:rsidRDefault="00192CC7" w:rsidP="00192CC7">
            <w:pPr>
              <w:spacing w:line="259" w:lineRule="auto"/>
              <w:ind w:left="60"/>
              <w:rPr>
                <w:rFonts w:cs="Times New Roman"/>
                <w:sz w:val="24"/>
                <w:szCs w:val="24"/>
              </w:rPr>
            </w:pPr>
            <w:r>
              <w:rPr>
                <w:rFonts w:cs="Times New Roman"/>
                <w:i/>
                <w:sz w:val="24"/>
                <w:szCs w:val="24"/>
              </w:rPr>
              <w:t xml:space="preserve">(b) </w:t>
            </w:r>
            <w:proofErr w:type="spellStart"/>
            <w:r w:rsidR="00B46350" w:rsidRPr="00192CC7">
              <w:rPr>
                <w:rFonts w:cs="Times New Roman"/>
                <w:i/>
                <w:sz w:val="24"/>
                <w:szCs w:val="24"/>
              </w:rPr>
              <w:t>Hinf</w:t>
            </w:r>
            <w:proofErr w:type="spellEnd"/>
            <w:r w:rsidR="00B46350" w:rsidRPr="00192CC7">
              <w:rPr>
                <w:rFonts w:cs="Times New Roman"/>
                <w:sz w:val="24"/>
                <w:szCs w:val="24"/>
              </w:rPr>
              <w:t xml:space="preserve">-I 434 </w:t>
            </w:r>
            <w:r w:rsidR="00B46350" w:rsidRPr="00192CC7">
              <w:rPr>
                <w:rFonts w:cs="Times New Roman"/>
                <w:b/>
                <w:sz w:val="18"/>
                <w:szCs w:val="18"/>
              </w:rPr>
              <w:t>(  R</w:t>
            </w:r>
            <w:r w:rsidR="00B46350" w:rsidRPr="00192CC7">
              <w:rPr>
                <w:rFonts w:cs="Times New Roman"/>
                <w:b/>
                <w:sz w:val="18"/>
                <w:szCs w:val="18"/>
                <w:vertAlign w:val="subscript"/>
              </w:rPr>
              <w:t>s</w:t>
            </w:r>
            <w:r w:rsidR="00B46350" w:rsidRPr="00192CC7">
              <w:rPr>
                <w:rFonts w:cs="Times New Roman"/>
                <w:b/>
                <w:sz w:val="18"/>
                <w:szCs w:val="18"/>
                <w:vertAlign w:val="superscript"/>
              </w:rPr>
              <w:t>2</w:t>
            </w:r>
            <w:r w:rsidR="00B46350" w:rsidRPr="00192CC7">
              <w:rPr>
                <w:rFonts w:cs="Times New Roman"/>
                <w:b/>
                <w:sz w:val="18"/>
                <w:szCs w:val="18"/>
              </w:rPr>
              <w:t>=0.361, P=&lt;0.001, n = 95</w:t>
            </w:r>
          </w:p>
          <w:p w:rsidR="00B46350" w:rsidRPr="00FA5DC7" w:rsidRDefault="00B46350" w:rsidP="00E95851">
            <w:pPr>
              <w:rPr>
                <w:rFonts w:cs="Times New Roman"/>
                <w:sz w:val="24"/>
                <w:szCs w:val="24"/>
              </w:rPr>
            </w:pPr>
            <w:r w:rsidRPr="00FA5DC7">
              <w:rPr>
                <w:rFonts w:cs="Times New Roman"/>
                <w:noProof/>
                <w:sz w:val="24"/>
                <w:szCs w:val="24"/>
                <w:lang w:eastAsia="en-GB"/>
              </w:rPr>
              <w:drawing>
                <wp:inline distT="0" distB="0" distL="0" distR="0" wp14:anchorId="23B5D562" wp14:editId="11C7D025">
                  <wp:extent cx="2520000" cy="163841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Hinf_424.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20000" cy="1638415"/>
                          </a:xfrm>
                          <a:prstGeom prst="rect">
                            <a:avLst/>
                          </a:prstGeom>
                        </pic:spPr>
                      </pic:pic>
                    </a:graphicData>
                  </a:graphic>
                </wp:inline>
              </w:drawing>
            </w:r>
          </w:p>
        </w:tc>
      </w:tr>
      <w:tr w:rsidR="00B46350" w:rsidRPr="00FA5DC7" w:rsidTr="00E95851">
        <w:trPr>
          <w:jc w:val="center"/>
        </w:trPr>
        <w:tc>
          <w:tcPr>
            <w:tcW w:w="4390" w:type="dxa"/>
          </w:tcPr>
          <w:p w:rsidR="00B46350" w:rsidRPr="00192CC7" w:rsidRDefault="00192CC7" w:rsidP="00192CC7">
            <w:pPr>
              <w:spacing w:line="259" w:lineRule="auto"/>
              <w:ind w:left="60"/>
              <w:rPr>
                <w:rFonts w:cs="Times New Roman"/>
                <w:sz w:val="24"/>
                <w:szCs w:val="24"/>
              </w:rPr>
            </w:pPr>
            <w:r>
              <w:rPr>
                <w:rFonts w:cs="Times New Roman"/>
                <w:i/>
                <w:sz w:val="24"/>
                <w:szCs w:val="24"/>
              </w:rPr>
              <w:t xml:space="preserve">(c) </w:t>
            </w:r>
            <w:proofErr w:type="spellStart"/>
            <w:r w:rsidR="00B46350" w:rsidRPr="00192CC7">
              <w:rPr>
                <w:rFonts w:cs="Times New Roman"/>
                <w:i/>
                <w:sz w:val="24"/>
                <w:szCs w:val="24"/>
              </w:rPr>
              <w:t>Hinf</w:t>
            </w:r>
            <w:proofErr w:type="spellEnd"/>
            <w:r w:rsidR="00B46350" w:rsidRPr="00192CC7">
              <w:rPr>
                <w:rFonts w:cs="Times New Roman"/>
                <w:sz w:val="24"/>
                <w:szCs w:val="24"/>
              </w:rPr>
              <w:t xml:space="preserve">-I 512, 518 </w:t>
            </w:r>
            <w:r w:rsidR="00B46350" w:rsidRPr="00192CC7">
              <w:rPr>
                <w:rFonts w:cs="Times New Roman"/>
                <w:b/>
                <w:sz w:val="18"/>
                <w:szCs w:val="18"/>
              </w:rPr>
              <w:t>( R</w:t>
            </w:r>
            <w:r w:rsidR="00B46350" w:rsidRPr="00192CC7">
              <w:rPr>
                <w:rFonts w:cs="Times New Roman"/>
                <w:b/>
                <w:sz w:val="18"/>
                <w:szCs w:val="18"/>
                <w:vertAlign w:val="subscript"/>
              </w:rPr>
              <w:t>s</w:t>
            </w:r>
            <w:r w:rsidR="00B46350" w:rsidRPr="00192CC7">
              <w:rPr>
                <w:rFonts w:cs="Times New Roman"/>
                <w:b/>
                <w:sz w:val="18"/>
                <w:szCs w:val="18"/>
                <w:vertAlign w:val="superscript"/>
              </w:rPr>
              <w:t>2</w:t>
            </w:r>
            <w:r w:rsidR="00B46350" w:rsidRPr="00192CC7">
              <w:rPr>
                <w:rFonts w:cs="Times New Roman"/>
                <w:b/>
                <w:sz w:val="18"/>
                <w:szCs w:val="18"/>
              </w:rPr>
              <w:t>=0.577, P&lt;0.001, n=95)</w:t>
            </w:r>
          </w:p>
          <w:p w:rsidR="00B46350" w:rsidRPr="00FA5DC7" w:rsidRDefault="00B46350" w:rsidP="00E95851">
            <w:pPr>
              <w:rPr>
                <w:rFonts w:cs="Times New Roman"/>
                <w:sz w:val="24"/>
                <w:szCs w:val="24"/>
              </w:rPr>
            </w:pPr>
            <w:r w:rsidRPr="00FA5DC7">
              <w:rPr>
                <w:rFonts w:cs="Times New Roman"/>
                <w:noProof/>
                <w:sz w:val="24"/>
                <w:szCs w:val="24"/>
                <w:lang w:eastAsia="en-GB"/>
              </w:rPr>
              <w:drawing>
                <wp:inline distT="0" distB="0" distL="0" distR="0" wp14:anchorId="3988D01E" wp14:editId="50A4DCF9">
                  <wp:extent cx="2520000" cy="163841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hinf_512_518.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20000" cy="1638415"/>
                          </a:xfrm>
                          <a:prstGeom prst="rect">
                            <a:avLst/>
                          </a:prstGeom>
                        </pic:spPr>
                      </pic:pic>
                    </a:graphicData>
                  </a:graphic>
                </wp:inline>
              </w:drawing>
            </w:r>
          </w:p>
        </w:tc>
        <w:tc>
          <w:tcPr>
            <w:tcW w:w="4252" w:type="dxa"/>
          </w:tcPr>
          <w:p w:rsidR="00B46350" w:rsidRPr="00192CC7" w:rsidRDefault="00192CC7" w:rsidP="00192CC7">
            <w:pPr>
              <w:spacing w:line="259" w:lineRule="auto"/>
              <w:ind w:left="60"/>
              <w:rPr>
                <w:rFonts w:cs="Times New Roman"/>
                <w:sz w:val="24"/>
                <w:szCs w:val="24"/>
              </w:rPr>
            </w:pPr>
            <w:r>
              <w:rPr>
                <w:rFonts w:cs="Times New Roman"/>
                <w:i/>
                <w:sz w:val="24"/>
                <w:szCs w:val="24"/>
              </w:rPr>
              <w:t xml:space="preserve">(d) </w:t>
            </w:r>
            <w:r w:rsidR="00DE1AD4">
              <w:rPr>
                <w:rFonts w:cs="Times New Roman"/>
                <w:i/>
                <w:sz w:val="24"/>
                <w:szCs w:val="24"/>
              </w:rPr>
              <w:t>HpyCH4-III</w:t>
            </w:r>
            <w:r w:rsidR="00B46350" w:rsidRPr="00192CC7">
              <w:rPr>
                <w:rFonts w:cs="Times New Roman"/>
                <w:sz w:val="24"/>
                <w:szCs w:val="24"/>
              </w:rPr>
              <w:t xml:space="preserve"> 353 </w:t>
            </w:r>
            <w:r w:rsidR="00B46350" w:rsidRPr="00192CC7">
              <w:rPr>
                <w:rFonts w:cs="Times New Roman"/>
                <w:sz w:val="18"/>
                <w:szCs w:val="18"/>
              </w:rPr>
              <w:t>(</w:t>
            </w:r>
            <w:r w:rsidR="00B46350" w:rsidRPr="00192CC7">
              <w:rPr>
                <w:rFonts w:cs="Times New Roman"/>
                <w:b/>
                <w:sz w:val="18"/>
                <w:szCs w:val="18"/>
              </w:rPr>
              <w:t xml:space="preserve"> </w:t>
            </w:r>
            <w:r w:rsidR="00B46350" w:rsidRPr="00192CC7">
              <w:rPr>
                <w:rFonts w:cs="Times New Roman"/>
                <w:sz w:val="18"/>
                <w:szCs w:val="18"/>
              </w:rPr>
              <w:t>R</w:t>
            </w:r>
            <w:r w:rsidR="00B46350" w:rsidRPr="00192CC7">
              <w:rPr>
                <w:rFonts w:cs="Times New Roman"/>
                <w:sz w:val="18"/>
                <w:szCs w:val="18"/>
                <w:vertAlign w:val="subscript"/>
              </w:rPr>
              <w:t>s</w:t>
            </w:r>
            <w:r w:rsidR="00B46350" w:rsidRPr="00192CC7">
              <w:rPr>
                <w:rFonts w:cs="Times New Roman"/>
                <w:sz w:val="18"/>
                <w:szCs w:val="18"/>
                <w:vertAlign w:val="superscript"/>
              </w:rPr>
              <w:t>2</w:t>
            </w:r>
            <w:r w:rsidR="00B46350" w:rsidRPr="00192CC7">
              <w:rPr>
                <w:rFonts w:cs="Times New Roman"/>
                <w:sz w:val="18"/>
                <w:szCs w:val="18"/>
              </w:rPr>
              <w:t>=0.160, P=0.121, n=95)</w:t>
            </w:r>
          </w:p>
          <w:p w:rsidR="00B46350" w:rsidRPr="00FA5DC7" w:rsidRDefault="00B46350" w:rsidP="00E95851">
            <w:pPr>
              <w:rPr>
                <w:rFonts w:cs="Times New Roman"/>
                <w:sz w:val="24"/>
                <w:szCs w:val="24"/>
              </w:rPr>
            </w:pPr>
            <w:r w:rsidRPr="00FA5DC7">
              <w:rPr>
                <w:rFonts w:cs="Times New Roman"/>
                <w:noProof/>
                <w:sz w:val="24"/>
                <w:szCs w:val="24"/>
                <w:lang w:eastAsia="en-GB"/>
              </w:rPr>
              <w:drawing>
                <wp:inline distT="0" distB="0" distL="0" distR="0" wp14:anchorId="5FBE20A2" wp14:editId="1BF6E170">
                  <wp:extent cx="2520000" cy="163841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hpy_353.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20000" cy="1638415"/>
                          </a:xfrm>
                          <a:prstGeom prst="rect">
                            <a:avLst/>
                          </a:prstGeom>
                        </pic:spPr>
                      </pic:pic>
                    </a:graphicData>
                  </a:graphic>
                </wp:inline>
              </w:drawing>
            </w:r>
          </w:p>
        </w:tc>
      </w:tr>
      <w:tr w:rsidR="00B46350" w:rsidRPr="00FA5DC7" w:rsidTr="00E95851">
        <w:trPr>
          <w:jc w:val="center"/>
        </w:trPr>
        <w:tc>
          <w:tcPr>
            <w:tcW w:w="4390" w:type="dxa"/>
          </w:tcPr>
          <w:p w:rsidR="00B46350" w:rsidRPr="00192CC7" w:rsidRDefault="00192CC7" w:rsidP="00192CC7">
            <w:pPr>
              <w:spacing w:line="259" w:lineRule="auto"/>
              <w:ind w:left="60"/>
              <w:rPr>
                <w:rFonts w:cs="Times New Roman"/>
                <w:sz w:val="24"/>
                <w:szCs w:val="24"/>
              </w:rPr>
            </w:pPr>
            <w:r>
              <w:rPr>
                <w:rFonts w:cs="Times New Roman"/>
                <w:i/>
                <w:sz w:val="24"/>
                <w:szCs w:val="24"/>
              </w:rPr>
              <w:t xml:space="preserve">(e) </w:t>
            </w:r>
            <w:r w:rsidR="00DE1AD4">
              <w:rPr>
                <w:rFonts w:cs="Times New Roman"/>
                <w:i/>
                <w:sz w:val="24"/>
                <w:szCs w:val="24"/>
              </w:rPr>
              <w:t>HpyCH4-III</w:t>
            </w:r>
            <w:r w:rsidR="00B46350" w:rsidRPr="00192CC7">
              <w:rPr>
                <w:rFonts w:cs="Times New Roman"/>
                <w:sz w:val="24"/>
                <w:szCs w:val="24"/>
              </w:rPr>
              <w:t xml:space="preserve"> 393 </w:t>
            </w:r>
            <w:r w:rsidR="00B46350" w:rsidRPr="00192CC7">
              <w:rPr>
                <w:rFonts w:cs="Times New Roman"/>
                <w:b/>
                <w:sz w:val="18"/>
                <w:szCs w:val="18"/>
              </w:rPr>
              <w:t>( R</w:t>
            </w:r>
            <w:r w:rsidR="00B46350" w:rsidRPr="00192CC7">
              <w:rPr>
                <w:rFonts w:cs="Times New Roman"/>
                <w:b/>
                <w:sz w:val="18"/>
                <w:szCs w:val="18"/>
                <w:vertAlign w:val="subscript"/>
              </w:rPr>
              <w:t>s</w:t>
            </w:r>
            <w:r w:rsidR="00B46350" w:rsidRPr="00192CC7">
              <w:rPr>
                <w:rFonts w:cs="Times New Roman"/>
                <w:b/>
                <w:sz w:val="18"/>
                <w:szCs w:val="18"/>
                <w:vertAlign w:val="superscript"/>
              </w:rPr>
              <w:t>2</w:t>
            </w:r>
            <w:r w:rsidR="00B46350" w:rsidRPr="00192CC7">
              <w:rPr>
                <w:rFonts w:cs="Times New Roman"/>
                <w:b/>
                <w:sz w:val="18"/>
                <w:szCs w:val="18"/>
              </w:rPr>
              <w:t>=0.137, P&lt;0.001, n=95)</w:t>
            </w:r>
          </w:p>
          <w:p w:rsidR="00B46350" w:rsidRPr="00FA5DC7" w:rsidRDefault="00B46350" w:rsidP="00E95851">
            <w:pPr>
              <w:rPr>
                <w:rFonts w:cs="Times New Roman"/>
                <w:sz w:val="24"/>
                <w:szCs w:val="24"/>
              </w:rPr>
            </w:pPr>
            <w:r w:rsidRPr="00FA5DC7">
              <w:rPr>
                <w:rFonts w:cs="Times New Roman"/>
                <w:noProof/>
                <w:sz w:val="24"/>
                <w:szCs w:val="24"/>
                <w:lang w:eastAsia="en-GB"/>
              </w:rPr>
              <w:drawing>
                <wp:inline distT="0" distB="0" distL="0" distR="0" wp14:anchorId="69333F74" wp14:editId="6E164710">
                  <wp:extent cx="2520000" cy="163841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hpy_393.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20000" cy="1638415"/>
                          </a:xfrm>
                          <a:prstGeom prst="rect">
                            <a:avLst/>
                          </a:prstGeom>
                        </pic:spPr>
                      </pic:pic>
                    </a:graphicData>
                  </a:graphic>
                </wp:inline>
              </w:drawing>
            </w:r>
          </w:p>
        </w:tc>
        <w:tc>
          <w:tcPr>
            <w:tcW w:w="4252" w:type="dxa"/>
          </w:tcPr>
          <w:p w:rsidR="00B46350" w:rsidRPr="00FA5DC7" w:rsidRDefault="00192CC7" w:rsidP="00E95851">
            <w:pPr>
              <w:rPr>
                <w:rFonts w:cs="Times New Roman"/>
                <w:sz w:val="24"/>
                <w:szCs w:val="24"/>
              </w:rPr>
            </w:pPr>
            <w:r>
              <w:rPr>
                <w:rFonts w:cs="Times New Roman"/>
                <w:i/>
                <w:sz w:val="24"/>
                <w:szCs w:val="24"/>
              </w:rPr>
              <w:t xml:space="preserve">(f) </w:t>
            </w:r>
            <w:r w:rsidR="00DE1AD4">
              <w:rPr>
                <w:rFonts w:cs="Times New Roman"/>
                <w:i/>
                <w:sz w:val="24"/>
                <w:szCs w:val="24"/>
              </w:rPr>
              <w:t>HpyCH4-III</w:t>
            </w:r>
            <w:r w:rsidR="00B46350" w:rsidRPr="00FA5DC7">
              <w:rPr>
                <w:rFonts w:cs="Times New Roman"/>
                <w:sz w:val="24"/>
                <w:szCs w:val="24"/>
              </w:rPr>
              <w:t xml:space="preserve"> 431</w:t>
            </w:r>
            <w:r w:rsidR="00B46350">
              <w:rPr>
                <w:rFonts w:cs="Times New Roman"/>
                <w:sz w:val="24"/>
                <w:szCs w:val="24"/>
              </w:rPr>
              <w:t xml:space="preserve"> </w:t>
            </w:r>
            <w:r w:rsidR="00B46350">
              <w:rPr>
                <w:rFonts w:cs="Times New Roman"/>
                <w:b/>
                <w:sz w:val="18"/>
                <w:szCs w:val="18"/>
              </w:rPr>
              <w:t>( R</w:t>
            </w:r>
            <w:r w:rsidR="00B46350" w:rsidRPr="00DA18EC">
              <w:rPr>
                <w:rFonts w:cs="Times New Roman"/>
                <w:b/>
                <w:sz w:val="18"/>
                <w:szCs w:val="18"/>
                <w:vertAlign w:val="subscript"/>
              </w:rPr>
              <w:t>s</w:t>
            </w:r>
            <w:r w:rsidR="00B46350" w:rsidRPr="00DA18EC">
              <w:rPr>
                <w:rFonts w:cs="Times New Roman"/>
                <w:b/>
                <w:sz w:val="18"/>
                <w:szCs w:val="18"/>
                <w:vertAlign w:val="superscript"/>
              </w:rPr>
              <w:t>2</w:t>
            </w:r>
            <w:r w:rsidR="00B46350">
              <w:rPr>
                <w:rFonts w:cs="Times New Roman"/>
                <w:b/>
                <w:sz w:val="18"/>
                <w:szCs w:val="18"/>
              </w:rPr>
              <w:t>=0.091</w:t>
            </w:r>
            <w:r w:rsidR="00B46350" w:rsidRPr="00210C75">
              <w:rPr>
                <w:rFonts w:cs="Times New Roman"/>
                <w:b/>
                <w:sz w:val="18"/>
                <w:szCs w:val="18"/>
              </w:rPr>
              <w:t>, P=0.003, n=95)</w:t>
            </w:r>
          </w:p>
          <w:p w:rsidR="00B46350" w:rsidRPr="00FA5DC7" w:rsidRDefault="00B46350" w:rsidP="00E95851">
            <w:pPr>
              <w:rPr>
                <w:rFonts w:cs="Times New Roman"/>
                <w:sz w:val="24"/>
                <w:szCs w:val="24"/>
              </w:rPr>
            </w:pPr>
            <w:r w:rsidRPr="00FA5DC7">
              <w:rPr>
                <w:rFonts w:cs="Times New Roman"/>
                <w:noProof/>
                <w:sz w:val="24"/>
                <w:szCs w:val="24"/>
                <w:lang w:eastAsia="en-GB"/>
              </w:rPr>
              <w:drawing>
                <wp:inline distT="0" distB="0" distL="0" distR="0" wp14:anchorId="67B12FAA" wp14:editId="137E7A88">
                  <wp:extent cx="2520000" cy="163841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hpy_43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20000" cy="1638415"/>
                          </a:xfrm>
                          <a:prstGeom prst="rect">
                            <a:avLst/>
                          </a:prstGeom>
                        </pic:spPr>
                      </pic:pic>
                    </a:graphicData>
                  </a:graphic>
                </wp:inline>
              </w:drawing>
            </w:r>
          </w:p>
        </w:tc>
      </w:tr>
      <w:tr w:rsidR="00B46350" w:rsidRPr="00FA5DC7" w:rsidTr="00E95851">
        <w:trPr>
          <w:trHeight w:val="2925"/>
          <w:jc w:val="center"/>
        </w:trPr>
        <w:tc>
          <w:tcPr>
            <w:tcW w:w="8642" w:type="dxa"/>
            <w:gridSpan w:val="2"/>
          </w:tcPr>
          <w:p w:rsidR="00B46350" w:rsidRPr="00192CC7" w:rsidRDefault="00192CC7" w:rsidP="00192CC7">
            <w:pPr>
              <w:spacing w:line="259" w:lineRule="auto"/>
              <w:ind w:left="60"/>
              <w:rPr>
                <w:rFonts w:cs="Times New Roman"/>
                <w:sz w:val="24"/>
                <w:szCs w:val="24"/>
              </w:rPr>
            </w:pPr>
            <w:r>
              <w:rPr>
                <w:rFonts w:cs="Times New Roman"/>
                <w:i/>
                <w:sz w:val="24"/>
                <w:szCs w:val="24"/>
              </w:rPr>
              <w:t xml:space="preserve">(g) </w:t>
            </w:r>
            <w:r w:rsidR="00DE1AD4">
              <w:rPr>
                <w:rFonts w:cs="Times New Roman"/>
                <w:i/>
                <w:sz w:val="24"/>
                <w:szCs w:val="24"/>
              </w:rPr>
              <w:t>HpyCH4-III</w:t>
            </w:r>
            <w:r w:rsidR="00B46350" w:rsidRPr="00192CC7">
              <w:rPr>
                <w:rFonts w:cs="Times New Roman"/>
                <w:sz w:val="24"/>
                <w:szCs w:val="24"/>
              </w:rPr>
              <w:t xml:space="preserve"> 547 </w:t>
            </w:r>
            <w:r w:rsidR="00B46350" w:rsidRPr="00192CC7">
              <w:rPr>
                <w:rFonts w:cs="Times New Roman"/>
                <w:b/>
                <w:sz w:val="18"/>
                <w:szCs w:val="18"/>
              </w:rPr>
              <w:t>( R</w:t>
            </w:r>
            <w:r w:rsidR="00B46350" w:rsidRPr="00192CC7">
              <w:rPr>
                <w:rFonts w:cs="Times New Roman"/>
                <w:b/>
                <w:sz w:val="18"/>
                <w:szCs w:val="18"/>
                <w:vertAlign w:val="subscript"/>
              </w:rPr>
              <w:t>s</w:t>
            </w:r>
            <w:r w:rsidR="00B46350" w:rsidRPr="00192CC7">
              <w:rPr>
                <w:rFonts w:cs="Times New Roman"/>
                <w:b/>
                <w:sz w:val="18"/>
                <w:szCs w:val="18"/>
                <w:vertAlign w:val="superscript"/>
              </w:rPr>
              <w:t>2</w:t>
            </w:r>
            <w:r w:rsidR="00B46350" w:rsidRPr="00192CC7">
              <w:rPr>
                <w:rFonts w:cs="Times New Roman"/>
                <w:b/>
                <w:sz w:val="18"/>
                <w:szCs w:val="18"/>
              </w:rPr>
              <w:t>=0.274, P&lt;0.001, n=95)</w:t>
            </w:r>
          </w:p>
          <w:p w:rsidR="00B46350" w:rsidRDefault="00B46350" w:rsidP="00E95851">
            <w:pPr>
              <w:rPr>
                <w:rFonts w:cs="Times New Roman"/>
                <w:sz w:val="24"/>
                <w:szCs w:val="24"/>
              </w:rPr>
            </w:pPr>
            <w:r w:rsidRPr="00FA5DC7">
              <w:rPr>
                <w:rFonts w:cs="Times New Roman"/>
                <w:noProof/>
                <w:sz w:val="24"/>
                <w:szCs w:val="24"/>
                <w:lang w:eastAsia="en-GB"/>
              </w:rPr>
              <w:drawing>
                <wp:inline distT="0" distB="0" distL="0" distR="0" wp14:anchorId="762F6ADA" wp14:editId="142316EC">
                  <wp:extent cx="2520000" cy="163841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hpy_547.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20000" cy="1638415"/>
                          </a:xfrm>
                          <a:prstGeom prst="rect">
                            <a:avLst/>
                          </a:prstGeom>
                        </pic:spPr>
                      </pic:pic>
                    </a:graphicData>
                  </a:graphic>
                </wp:inline>
              </w:drawing>
            </w:r>
          </w:p>
          <w:p w:rsidR="00B46350" w:rsidRPr="00C526A7" w:rsidRDefault="00B46350" w:rsidP="000F2456">
            <w:pPr>
              <w:pStyle w:val="Caption"/>
            </w:pPr>
            <w:bookmarkStart w:id="353" w:name="_Ref467446738"/>
            <w:bookmarkStart w:id="354" w:name="_Ref467446684"/>
            <w:bookmarkStart w:id="355" w:name="_Toc469982786"/>
            <w:r w:rsidRPr="00C526A7">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21</w:t>
            </w:r>
            <w:r w:rsidR="00C44EF5">
              <w:rPr>
                <w:noProof/>
              </w:rPr>
              <w:fldChar w:fldCharType="end"/>
            </w:r>
            <w:bookmarkEnd w:id="353"/>
            <w:r w:rsidRPr="00C526A7">
              <w:t xml:space="preserve"> </w:t>
            </w:r>
            <w:bookmarkStart w:id="356" w:name="_Ref467446688"/>
            <w:r w:rsidRPr="00C526A7">
              <w:t>TRF relative abundance against relative abundance of OTU</w:t>
            </w:r>
            <w:r>
              <w:t>s</w:t>
            </w:r>
            <w:r w:rsidRPr="00C526A7">
              <w:t xml:space="preserve"> predicted by in silico restriction of </w:t>
            </w:r>
            <w:r>
              <w:t>v</w:t>
            </w:r>
            <w:r w:rsidRPr="00C526A7">
              <w:t>irtual taxa to produce the corresponding TRF size</w:t>
            </w:r>
            <w:r w:rsidRPr="00C526A7">
              <w:rPr>
                <w:rStyle w:val="Caption-bodyChar"/>
              </w:rPr>
              <w:t xml:space="preserve">. </w:t>
            </w:r>
            <w:r w:rsidRPr="00C526A7">
              <w:t xml:space="preserve">Trend lines are presented with shaded areas to show 95% </w:t>
            </w:r>
            <w:r w:rsidRPr="000F2456">
              <w:t>confidence</w:t>
            </w:r>
            <w:r w:rsidRPr="00C526A7">
              <w:t xml:space="preserve"> interval for fit. Spearman’s rank correlation coefficient was calculated to test for the strength of the correlation between OTU and TRF richness for each fragment size.</w:t>
            </w:r>
            <w:bookmarkEnd w:id="354"/>
            <w:bookmarkEnd w:id="355"/>
            <w:bookmarkEnd w:id="356"/>
            <w:r w:rsidRPr="00C526A7">
              <w:t xml:space="preserve"> </w:t>
            </w:r>
          </w:p>
          <w:tbl>
            <w:tblPr>
              <w:tblStyle w:val="TableGrid"/>
              <w:tblW w:w="0" w:type="auto"/>
              <w:jc w:val="center"/>
              <w:tblLook w:val="04A0" w:firstRow="1" w:lastRow="0" w:firstColumn="1" w:lastColumn="0" w:noHBand="0" w:noVBand="1"/>
            </w:tblPr>
            <w:tblGrid>
              <w:gridCol w:w="5382"/>
              <w:gridCol w:w="992"/>
            </w:tblGrid>
            <w:tr w:rsidR="00B46350" w:rsidTr="00192CC7">
              <w:trPr>
                <w:jc w:val="center"/>
              </w:trPr>
              <w:tc>
                <w:tcPr>
                  <w:tcW w:w="5382" w:type="dxa"/>
                  <w:tcBorders>
                    <w:top w:val="nil"/>
                    <w:left w:val="nil"/>
                    <w:bottom w:val="nil"/>
                    <w:right w:val="nil"/>
                  </w:tcBorders>
                </w:tcPr>
                <w:p w:rsidR="00B46350" w:rsidRPr="00AE5DF7" w:rsidRDefault="00B46350" w:rsidP="005D6985">
                  <w:pPr>
                    <w:pStyle w:val="ListParagraph"/>
                    <w:numPr>
                      <w:ilvl w:val="0"/>
                      <w:numId w:val="6"/>
                    </w:numPr>
                    <w:spacing w:line="259" w:lineRule="auto"/>
                    <w:rPr>
                      <w:rFonts w:cs="Times New Roman"/>
                    </w:rPr>
                  </w:pPr>
                  <w:r>
                    <w:rPr>
                      <w:rFonts w:cs="Times New Roman"/>
                    </w:rPr>
                    <w:lastRenderedPageBreak/>
                    <w:t>(</w:t>
                  </w:r>
                  <w:r>
                    <w:rPr>
                      <w:rFonts w:cs="Times New Roman"/>
                      <w:b/>
                      <w:sz w:val="18"/>
                      <w:szCs w:val="18"/>
                    </w:rPr>
                    <w:t xml:space="preserve"> </w:t>
                  </w:r>
                  <w:r w:rsidRPr="0093347D">
                    <w:rPr>
                      <w:rFonts w:cs="Times New Roman"/>
                      <w:sz w:val="18"/>
                      <w:szCs w:val="18"/>
                    </w:rPr>
                    <w:t>R</w:t>
                  </w:r>
                  <w:r w:rsidRPr="0093347D">
                    <w:rPr>
                      <w:rFonts w:cs="Times New Roman"/>
                      <w:sz w:val="18"/>
                      <w:szCs w:val="18"/>
                      <w:vertAlign w:val="subscript"/>
                    </w:rPr>
                    <w:t>s</w:t>
                  </w:r>
                  <w:r w:rsidRPr="0093347D">
                    <w:rPr>
                      <w:rFonts w:cs="Times New Roman"/>
                      <w:sz w:val="18"/>
                      <w:szCs w:val="18"/>
                      <w:vertAlign w:val="superscript"/>
                    </w:rPr>
                    <w:t>2</w:t>
                  </w:r>
                  <w:r>
                    <w:rPr>
                      <w:rFonts w:cs="Times New Roman"/>
                    </w:rPr>
                    <w:t>=0.081</w:t>
                  </w:r>
                  <w:r w:rsidRPr="00AE5DF7">
                    <w:rPr>
                      <w:rFonts w:cs="Times New Roman"/>
                    </w:rPr>
                    <w:t>, p=0.027, n=60)</w:t>
                  </w:r>
                </w:p>
                <w:p w:rsidR="00B46350" w:rsidRPr="00AE5DF7" w:rsidRDefault="00B46350" w:rsidP="00E95851">
                  <w:pPr>
                    <w:rPr>
                      <w:rFonts w:cs="Times New Roman"/>
                    </w:rPr>
                  </w:pPr>
                  <w:r w:rsidRPr="00AE5DF7">
                    <w:rPr>
                      <w:rFonts w:cs="Times New Roman"/>
                      <w:noProof/>
                      <w:lang w:eastAsia="en-GB"/>
                    </w:rPr>
                    <w:drawing>
                      <wp:inline distT="0" distB="0" distL="0" distR="0" wp14:anchorId="21331A9A" wp14:editId="409048A2">
                        <wp:extent cx="2947917" cy="1874520"/>
                        <wp:effectExtent l="0" t="0" r="508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TRF_richness_both.png"/>
                                <pic:cNvPicPr/>
                              </pic:nvPicPr>
                              <pic:blipFill rotWithShape="1">
                                <a:blip r:embed="rId59" cstate="print">
                                  <a:extLst>
                                    <a:ext uri="{28A0092B-C50C-407E-A947-70E740481C1C}">
                                      <a14:useLocalDpi xmlns:a14="http://schemas.microsoft.com/office/drawing/2010/main" val="0"/>
                                    </a:ext>
                                  </a:extLst>
                                </a:blip>
                                <a:srcRect r="9007"/>
                                <a:stretch/>
                              </pic:blipFill>
                              <pic:spPr bwMode="auto">
                                <a:xfrm>
                                  <a:off x="0" y="0"/>
                                  <a:ext cx="2948164" cy="1874677"/>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Borders>
                    <w:top w:val="nil"/>
                    <w:left w:val="nil"/>
                    <w:bottom w:val="nil"/>
                    <w:right w:val="nil"/>
                  </w:tcBorders>
                </w:tcPr>
                <w:p w:rsidR="00B46350" w:rsidRDefault="00B46350" w:rsidP="00E95851">
                  <w:r>
                    <w:rPr>
                      <w:noProof/>
                      <w:lang w:eastAsia="en-GB"/>
                    </w:rPr>
                    <w:drawing>
                      <wp:inline distT="0" distB="0" distL="0" distR="0" wp14:anchorId="7A3F3BA6" wp14:editId="66E05679">
                        <wp:extent cx="278165" cy="1874520"/>
                        <wp:effectExtent l="0" t="0" r="762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TRF_richness_both.png"/>
                                <pic:cNvPicPr/>
                              </pic:nvPicPr>
                              <pic:blipFill rotWithShape="1">
                                <a:blip r:embed="rId59" cstate="print">
                                  <a:extLst>
                                    <a:ext uri="{28A0092B-C50C-407E-A947-70E740481C1C}">
                                      <a14:useLocalDpi xmlns:a14="http://schemas.microsoft.com/office/drawing/2010/main" val="0"/>
                                    </a:ext>
                                  </a:extLst>
                                </a:blip>
                                <a:srcRect l="91414"/>
                                <a:stretch/>
                              </pic:blipFill>
                              <pic:spPr bwMode="auto">
                                <a:xfrm>
                                  <a:off x="0" y="0"/>
                                  <a:ext cx="278188" cy="1874677"/>
                                </a:xfrm>
                                <a:prstGeom prst="rect">
                                  <a:avLst/>
                                </a:prstGeom>
                                <a:ln>
                                  <a:noFill/>
                                </a:ln>
                                <a:extLst>
                                  <a:ext uri="{53640926-AAD7-44D8-BBD7-CCE9431645EC}">
                                    <a14:shadowObscured xmlns:a14="http://schemas.microsoft.com/office/drawing/2010/main"/>
                                  </a:ext>
                                </a:extLst>
                              </pic:spPr>
                            </pic:pic>
                          </a:graphicData>
                        </a:graphic>
                      </wp:inline>
                    </w:drawing>
                  </w:r>
                </w:p>
              </w:tc>
            </w:tr>
            <w:tr w:rsidR="00B46350" w:rsidTr="00192CC7">
              <w:trPr>
                <w:jc w:val="center"/>
              </w:trPr>
              <w:tc>
                <w:tcPr>
                  <w:tcW w:w="5382" w:type="dxa"/>
                  <w:tcBorders>
                    <w:top w:val="nil"/>
                    <w:left w:val="nil"/>
                    <w:bottom w:val="nil"/>
                    <w:right w:val="nil"/>
                  </w:tcBorders>
                </w:tcPr>
                <w:p w:rsidR="00B46350" w:rsidRPr="00AE5DF7" w:rsidRDefault="00B46350" w:rsidP="005D6985">
                  <w:pPr>
                    <w:pStyle w:val="ListParagraph"/>
                    <w:numPr>
                      <w:ilvl w:val="0"/>
                      <w:numId w:val="6"/>
                    </w:numPr>
                    <w:spacing w:line="259" w:lineRule="auto"/>
                    <w:rPr>
                      <w:rFonts w:cs="Times New Roman"/>
                    </w:rPr>
                  </w:pPr>
                  <w:r w:rsidRPr="00AE5DF7">
                    <w:rPr>
                      <w:rFonts w:cs="Times New Roman"/>
                    </w:rPr>
                    <w:t>(</w:t>
                  </w:r>
                  <w:r>
                    <w:rPr>
                      <w:rFonts w:cs="Times New Roman"/>
                      <w:b/>
                      <w:sz w:val="18"/>
                      <w:szCs w:val="18"/>
                    </w:rPr>
                    <w:t xml:space="preserve"> </w:t>
                  </w:r>
                  <w:r w:rsidRPr="0093347D">
                    <w:rPr>
                      <w:rFonts w:cs="Times New Roman"/>
                      <w:sz w:val="18"/>
                      <w:szCs w:val="18"/>
                    </w:rPr>
                    <w:t>R</w:t>
                  </w:r>
                  <w:r w:rsidRPr="0093347D">
                    <w:rPr>
                      <w:rFonts w:cs="Times New Roman"/>
                      <w:sz w:val="18"/>
                      <w:szCs w:val="18"/>
                      <w:vertAlign w:val="subscript"/>
                    </w:rPr>
                    <w:t>s</w:t>
                  </w:r>
                  <w:r w:rsidRPr="0093347D">
                    <w:rPr>
                      <w:rFonts w:cs="Times New Roman"/>
                      <w:sz w:val="18"/>
                      <w:szCs w:val="18"/>
                      <w:vertAlign w:val="superscript"/>
                    </w:rPr>
                    <w:t>2</w:t>
                  </w:r>
                  <w:r>
                    <w:rPr>
                      <w:rFonts w:cs="Times New Roman"/>
                    </w:rPr>
                    <w:t>=0.174</w:t>
                  </w:r>
                  <w:r w:rsidRPr="00AE5DF7">
                    <w:rPr>
                      <w:rFonts w:cs="Times New Roman"/>
                    </w:rPr>
                    <w:t>, p=0.001, n=60)</w:t>
                  </w:r>
                </w:p>
                <w:p w:rsidR="00B46350" w:rsidRPr="00AE5DF7" w:rsidRDefault="00B46350" w:rsidP="00E95851">
                  <w:pPr>
                    <w:rPr>
                      <w:rFonts w:cs="Times New Roman"/>
                    </w:rPr>
                  </w:pPr>
                  <w:r w:rsidRPr="00AE5DF7">
                    <w:rPr>
                      <w:rFonts w:cs="Times New Roman"/>
                      <w:noProof/>
                      <w:lang w:eastAsia="en-GB"/>
                    </w:rPr>
                    <w:drawing>
                      <wp:inline distT="0" distB="0" distL="0" distR="0" wp14:anchorId="476253DF" wp14:editId="22386BC7">
                        <wp:extent cx="2947670" cy="1874520"/>
                        <wp:effectExtent l="0" t="0" r="508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TRF_richness_Hinf.png"/>
                                <pic:cNvPicPr/>
                              </pic:nvPicPr>
                              <pic:blipFill rotWithShape="1">
                                <a:blip r:embed="rId60" cstate="print">
                                  <a:extLst>
                                    <a:ext uri="{28A0092B-C50C-407E-A947-70E740481C1C}">
                                      <a14:useLocalDpi xmlns:a14="http://schemas.microsoft.com/office/drawing/2010/main" val="0"/>
                                    </a:ext>
                                  </a:extLst>
                                </a:blip>
                                <a:srcRect r="9015"/>
                                <a:stretch/>
                              </pic:blipFill>
                              <pic:spPr bwMode="auto">
                                <a:xfrm>
                                  <a:off x="0" y="0"/>
                                  <a:ext cx="2947917" cy="1874677"/>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Borders>
                    <w:top w:val="nil"/>
                    <w:left w:val="nil"/>
                    <w:bottom w:val="nil"/>
                    <w:right w:val="nil"/>
                  </w:tcBorders>
                </w:tcPr>
                <w:p w:rsidR="00B46350" w:rsidRDefault="00B46350" w:rsidP="00E95851"/>
              </w:tc>
            </w:tr>
            <w:tr w:rsidR="00B46350" w:rsidTr="00192CC7">
              <w:trPr>
                <w:jc w:val="center"/>
              </w:trPr>
              <w:tc>
                <w:tcPr>
                  <w:tcW w:w="5382" w:type="dxa"/>
                  <w:tcBorders>
                    <w:top w:val="nil"/>
                    <w:left w:val="nil"/>
                    <w:bottom w:val="nil"/>
                    <w:right w:val="nil"/>
                  </w:tcBorders>
                </w:tcPr>
                <w:p w:rsidR="00B46350" w:rsidRPr="00AE5DF7" w:rsidRDefault="00B46350" w:rsidP="00E95851">
                  <w:pPr>
                    <w:rPr>
                      <w:rFonts w:cs="Times New Roman"/>
                    </w:rPr>
                  </w:pPr>
                  <w:r w:rsidRPr="00AE5DF7">
                    <w:rPr>
                      <w:rFonts w:cs="Times New Roman"/>
                    </w:rPr>
                    <w:t>(c)  (</w:t>
                  </w:r>
                  <w:r>
                    <w:rPr>
                      <w:rFonts w:cs="Times New Roman"/>
                      <w:b/>
                      <w:sz w:val="18"/>
                      <w:szCs w:val="18"/>
                    </w:rPr>
                    <w:t xml:space="preserve"> </w:t>
                  </w:r>
                  <w:r w:rsidRPr="0093347D">
                    <w:rPr>
                      <w:rFonts w:cs="Times New Roman"/>
                      <w:sz w:val="18"/>
                      <w:szCs w:val="18"/>
                    </w:rPr>
                    <w:t>R</w:t>
                  </w:r>
                  <w:r w:rsidRPr="0093347D">
                    <w:rPr>
                      <w:rFonts w:cs="Times New Roman"/>
                      <w:sz w:val="18"/>
                      <w:szCs w:val="18"/>
                      <w:vertAlign w:val="subscript"/>
                    </w:rPr>
                    <w:t>s</w:t>
                  </w:r>
                  <w:r w:rsidRPr="0093347D">
                    <w:rPr>
                      <w:rFonts w:cs="Times New Roman"/>
                      <w:sz w:val="18"/>
                      <w:szCs w:val="18"/>
                      <w:vertAlign w:val="superscript"/>
                    </w:rPr>
                    <w:t>2</w:t>
                  </w:r>
                  <w:r>
                    <w:rPr>
                      <w:rFonts w:cs="Times New Roman"/>
                    </w:rPr>
                    <w:t>=0.056</w:t>
                  </w:r>
                  <w:r w:rsidRPr="00AE5DF7">
                    <w:rPr>
                      <w:rFonts w:cs="Times New Roman"/>
                    </w:rPr>
                    <w:t>, p=0.067, n=60)</w:t>
                  </w:r>
                </w:p>
                <w:p w:rsidR="00B46350" w:rsidRPr="00AE5DF7" w:rsidRDefault="00192CC7" w:rsidP="00E95851">
                  <w:pPr>
                    <w:rPr>
                      <w:rFonts w:cs="Times New Roman"/>
                    </w:rPr>
                  </w:pPr>
                  <w:r>
                    <w:rPr>
                      <w:rFonts w:cs="Times New Roman"/>
                      <w:noProof/>
                      <w:lang w:eastAsia="en-GB"/>
                    </w:rPr>
                    <mc:AlternateContent>
                      <mc:Choice Requires="wps">
                        <w:drawing>
                          <wp:anchor distT="0" distB="0" distL="114300" distR="114300" simplePos="0" relativeHeight="251667456" behindDoc="0" locked="0" layoutInCell="1" allowOverlap="1" wp14:anchorId="698B7BFF" wp14:editId="2720C326">
                            <wp:simplePos x="0" y="0"/>
                            <wp:positionH relativeFrom="column">
                              <wp:posOffset>3004185</wp:posOffset>
                            </wp:positionH>
                            <wp:positionV relativeFrom="paragraph">
                              <wp:posOffset>549275</wp:posOffset>
                            </wp:positionV>
                            <wp:extent cx="467995" cy="706755"/>
                            <wp:effectExtent l="0" t="0" r="8255" b="0"/>
                            <wp:wrapNone/>
                            <wp:docPr id="8" name="Rectangle 8"/>
                            <wp:cNvGraphicFramePr/>
                            <a:graphic xmlns:a="http://schemas.openxmlformats.org/drawingml/2006/main">
                              <a:graphicData uri="http://schemas.microsoft.com/office/word/2010/wordprocessingShape">
                                <wps:wsp>
                                  <wps:cNvSpPr/>
                                  <wps:spPr>
                                    <a:xfrm>
                                      <a:off x="0" y="0"/>
                                      <a:ext cx="467995" cy="706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A65BCE" id="Rectangle 8" o:spid="_x0000_s1026" style="position:absolute;margin-left:236.55pt;margin-top:43.25pt;width:36.85pt;height:55.6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" fillcolor="white [3212]" stroked="f" strokeweight="1pt"/>
                        </w:pict>
                      </mc:Fallback>
                    </mc:AlternateContent>
                  </w:r>
                  <w:r w:rsidR="00B46350" w:rsidRPr="00AE5DF7">
                    <w:rPr>
                      <w:rFonts w:cs="Times New Roman"/>
                      <w:noProof/>
                      <w:lang w:eastAsia="en-GB"/>
                    </w:rPr>
                    <w:drawing>
                      <wp:inline distT="0" distB="0" distL="0" distR="0" wp14:anchorId="2EEB56A8" wp14:editId="15683A4F">
                        <wp:extent cx="3280410" cy="1898650"/>
                        <wp:effectExtent l="0" t="0" r="0" b="635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py.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80410" cy="1898650"/>
                                </a:xfrm>
                                <a:prstGeom prst="rect">
                                  <a:avLst/>
                                </a:prstGeom>
                              </pic:spPr>
                            </pic:pic>
                          </a:graphicData>
                        </a:graphic>
                      </wp:inline>
                    </w:drawing>
                  </w:r>
                </w:p>
              </w:tc>
              <w:tc>
                <w:tcPr>
                  <w:tcW w:w="992" w:type="dxa"/>
                  <w:tcBorders>
                    <w:top w:val="nil"/>
                    <w:left w:val="nil"/>
                    <w:bottom w:val="nil"/>
                    <w:right w:val="nil"/>
                  </w:tcBorders>
                </w:tcPr>
                <w:p w:rsidR="00B46350" w:rsidRDefault="00B46350" w:rsidP="00E95851"/>
              </w:tc>
            </w:tr>
          </w:tbl>
          <w:p w:rsidR="00B46350" w:rsidRPr="00FA5DC7" w:rsidRDefault="00B46350" w:rsidP="000F2456">
            <w:pPr>
              <w:pStyle w:val="Caption"/>
              <w:rPr>
                <w:rFonts w:cs="Times New Roman"/>
                <w:sz w:val="24"/>
                <w:szCs w:val="24"/>
              </w:rPr>
            </w:pPr>
            <w:bookmarkStart w:id="357" w:name="_Ref467446741"/>
            <w:bookmarkStart w:id="358" w:name="_Toc469982787"/>
            <w:r w:rsidRPr="00F55C45">
              <w:t xml:space="preserve">Figure </w:t>
            </w:r>
            <w:r w:rsidR="00C44EF5">
              <w:fldChar w:fldCharType="begin"/>
            </w:r>
            <w:r w:rsidR="00C44EF5">
              <w:instrText xml:space="preserve"> STYLEREF 1 \s </w:instrText>
            </w:r>
            <w:r w:rsidR="00C44EF5">
              <w:fldChar w:fldCharType="separate"/>
            </w:r>
            <w:r w:rsidR="00E0714D">
              <w:rPr>
                <w:noProof/>
              </w:rPr>
              <w:t>3</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22</w:t>
            </w:r>
            <w:r w:rsidR="00C44EF5">
              <w:rPr>
                <w:noProof/>
              </w:rPr>
              <w:fldChar w:fldCharType="end"/>
            </w:r>
            <w:bookmarkEnd w:id="357"/>
            <w:r w:rsidRPr="00F55C45">
              <w:t xml:space="preserve"> TRF richness against OTU richness (</w:t>
            </w:r>
            <w:r w:rsidRPr="000F2456">
              <w:t>rarefied</w:t>
            </w:r>
            <w:r w:rsidRPr="00F55C45">
              <w:t xml:space="preserve"> data) (a) </w:t>
            </w:r>
            <w:r w:rsidR="003D1BB6">
              <w:t>TRFs</w:t>
            </w:r>
            <w:r w:rsidRPr="00F55C45">
              <w:t xml:space="preserve"> combined from restriction with both enzymes against OTU richness reverse sequences reads (b) TRFs from </w:t>
            </w:r>
            <w:proofErr w:type="spellStart"/>
            <w:r w:rsidRPr="00F55C45">
              <w:rPr>
                <w:i/>
              </w:rPr>
              <w:t>Hinf</w:t>
            </w:r>
            <w:proofErr w:type="spellEnd"/>
            <w:r w:rsidRPr="00F55C45">
              <w:t xml:space="preserve">-I restriction, (c) TRFs from </w:t>
            </w:r>
            <w:r w:rsidR="00DE1AD4">
              <w:rPr>
                <w:i/>
              </w:rPr>
              <w:t>HpyCH4-III</w:t>
            </w:r>
            <w:r w:rsidRPr="00F55C45">
              <w:t xml:space="preserve"> restriction only . Spearman’s rank correlation coefficient was calculated to test for the strength of correlation between OTU richness and TRF richness.</w:t>
            </w:r>
            <w:bookmarkEnd w:id="358"/>
            <w:r>
              <w:t xml:space="preserve"> </w:t>
            </w:r>
          </w:p>
        </w:tc>
      </w:tr>
    </w:tbl>
    <w:p w:rsidR="00B46350" w:rsidRDefault="00E95851" w:rsidP="00B46350">
      <w:pPr>
        <w:pStyle w:val="Heading2"/>
      </w:pPr>
      <w:r>
        <w:lastRenderedPageBreak/>
        <w:br w:type="page"/>
      </w:r>
      <w:bookmarkStart w:id="359" w:name="_Toc469855050"/>
      <w:bookmarkStart w:id="360" w:name="_Toc469856050"/>
      <w:bookmarkStart w:id="361" w:name="_Toc469931959"/>
      <w:bookmarkStart w:id="362" w:name="_Toc469982280"/>
      <w:r w:rsidR="00B46350">
        <w:lastRenderedPageBreak/>
        <w:t>Discussion</w:t>
      </w:r>
      <w:bookmarkEnd w:id="359"/>
      <w:bookmarkEnd w:id="360"/>
      <w:bookmarkEnd w:id="361"/>
      <w:bookmarkEnd w:id="362"/>
    </w:p>
    <w:p w:rsidR="00B46350" w:rsidRDefault="00B46350" w:rsidP="00B46350">
      <w:r>
        <w:t xml:space="preserve">The aim of this experiment was to characterise richness, community structure and relative abundance of AMF taxa found within the three most widely planted cider apple orchard types: conventional bush orchards, organic standard orchards and conventional standard orchards. Secondly the aim was to investigate how the intensity of orchard management effects the diversity and composition of AMF communities within apple orchards. To allow for a more full comparison of the effects of agricultural management upon AMF community structure and composition within the three orchard types, comparison was also made between AMF within soils sampled from intensively managed arable winter cereal fields and soils from deciduous woodlands which are a less managed habitat. </w:t>
      </w:r>
    </w:p>
    <w:p w:rsidR="00B46350" w:rsidRDefault="00B46350" w:rsidP="00B46350">
      <w:pPr>
        <w:pStyle w:val="Heading3"/>
      </w:pPr>
      <w:bookmarkStart w:id="363" w:name="_Toc469855051"/>
      <w:bookmarkStart w:id="364" w:name="_Toc469856051"/>
      <w:bookmarkStart w:id="365" w:name="_Toc469931960"/>
      <w:bookmarkStart w:id="366" w:name="_Toc469982281"/>
      <w:r>
        <w:t>Characterisation and comparison of AMF communities within three apple orchard management types</w:t>
      </w:r>
      <w:bookmarkEnd w:id="363"/>
      <w:bookmarkEnd w:id="364"/>
      <w:bookmarkEnd w:id="365"/>
      <w:bookmarkEnd w:id="366"/>
    </w:p>
    <w:p w:rsidR="00B46350" w:rsidRDefault="00B46350" w:rsidP="00B46350">
      <w:r>
        <w:t xml:space="preserve">This study clearly shows a high level of similarity in the </w:t>
      </w:r>
      <w:r w:rsidRPr="00653286">
        <w:t>AMF</w:t>
      </w:r>
      <w:r>
        <w:t xml:space="preserve"> communities</w:t>
      </w:r>
      <w:r w:rsidRPr="00653286">
        <w:t xml:space="preserve"> within soils collected from orchards under the three management types. No differences in any measures of species richness</w:t>
      </w:r>
      <w:r>
        <w:t xml:space="preserve"> or Simpson’s diversity </w:t>
      </w:r>
      <w:r w:rsidRPr="00653286">
        <w:t>were found between the three orchard types.</w:t>
      </w:r>
      <w:r>
        <w:t xml:space="preserve"> Furthermore a high similarity in AMF community composition was also found between all orchard management types with no differences shown between conventional and organic standard orchards. Conventional bush orchards showed a small level of variation in community composition when compared to organic and standard orchards and differed in relative abundance of 3/79 OTUs (two of which were identified as belonging to the genera </w:t>
      </w:r>
      <w:r w:rsidRPr="00653286">
        <w:rPr>
          <w:i/>
        </w:rPr>
        <w:t>Glomus</w:t>
      </w:r>
      <w:r>
        <w:t xml:space="preserve"> and one to </w:t>
      </w:r>
      <w:proofErr w:type="spellStart"/>
      <w:r w:rsidRPr="00653286">
        <w:rPr>
          <w:i/>
        </w:rPr>
        <w:t>Claroideoglomus</w:t>
      </w:r>
      <w:proofErr w:type="spellEnd"/>
      <w:r>
        <w:rPr>
          <w:i/>
        </w:rPr>
        <w:t>)</w:t>
      </w:r>
      <w:r>
        <w:t xml:space="preserve">, when compared to conventional standard orchards and 1/79 OTUs in comparison to organic orchards (identified as </w:t>
      </w:r>
      <w:r w:rsidRPr="005A710B">
        <w:rPr>
          <w:i/>
        </w:rPr>
        <w:t>Glomus</w:t>
      </w:r>
      <w:r>
        <w:rPr>
          <w:i/>
        </w:rPr>
        <w:t>)</w:t>
      </w:r>
      <w:r>
        <w:t>.  Only one TRF differed in relative abundance between orchard types (</w:t>
      </w:r>
      <w:r w:rsidR="00DE1AD4">
        <w:rPr>
          <w:i/>
        </w:rPr>
        <w:t>HpyCH4-III</w:t>
      </w:r>
      <w:r>
        <w:t xml:space="preserve"> 699) which was lower in conventional bush orchards than in conventional and organic standard orchards.</w:t>
      </w:r>
    </w:p>
    <w:p w:rsidR="00B46350" w:rsidRDefault="00B46350" w:rsidP="00B46350">
      <w:pPr>
        <w:rPr>
          <w:rFonts w:cs="Times New Roman"/>
          <w:color w:val="131413"/>
        </w:rPr>
      </w:pPr>
      <w:r>
        <w:t xml:space="preserve">Results from this study suggest that differences in the increased intensity of management within conventional bush orchards, including the high application of inorganic phosphorus and nitrogen based fertilisers has little impact upon any measure of the AMF community (richness, Simpson’s diversity, relative abundance of taxa or community composition). This is in contrast to a considerable number of studies which  have shown AMF communities within agricultural environments to be sensitive to application rates of inorganic phosphorus </w:t>
      </w:r>
      <w:r>
        <w:fldChar w:fldCharType="begin"/>
      </w:r>
      <w:r w:rsidR="006B3935">
        <w:instrText xml:space="preserve"> ADDIN ZOTERO_ITEM CSL_CITATION {"citationID":"26cd7h0nai","properties":{"formattedCitation":"{\\rtf (Wang {\\i{}et al.}, 2009; Verbruggen {\\i{}et al.}, 2012; van Geel {\\i{}et al.}, 2015; Geel {\\i{}et al.}, 2016)}","plainCitation":"(Wang et al., 2009; Verbruggen et al., 2012; van Geel et al., 2015; Geel et al., 2016)","dontUpdate":true},"citationItems":[{"id":425,"uris":["http://zotero.org/users/local/d1gJDEOw/items/U7HEC2GK"],"uri":["http://zotero.org/users/local/d1gJDEOw/items/U7HEC2GK"],"itemData":{"id":425,"type":"article-journal","title":"Influence of Long-Term Fixed Fertilization on Diversity of Arbuscular Mycorrhizal Fungi","container-title":"Pedosphere","page":"663-672","volume":"19","issue":"5, 1002-0160","source":"www.scholarmate.com","abstract":"Diversity of arbuscular mycorrhizal fungi (AMF) was investigated in a field that had received long-term fixed fertilization (LFF) for 26 years. There were a total of 12 treatments in triplicates with different amounts of manure, urea, calcium phosphate, and potassium chloride. Rhizosphere soil samples of maize and wheat grown in the experimental field in Shandong Province, China, were collected in September 2003 and May 2004, respectively. Arbuscular mycorrhizal fungal spores were isolated and identified using morphological characters. Mycorrhizal colonization percentage, spore density (SD), species richness (SR), relative abundance (RA), and Shannon-Weiner index (SWI) were determined. Nineteen recognized species of AMF belonging to 5 genera were identified. Long-term fixed fertilization significantly influenced colonization percentage, SR, SD, and species diversity of AMF. The adaptability of AMF to soil fertility was different among species. Species richness and SD of AMF in maize and wheat rhizosphere soils were the highest in the nonfertilization treatment (control) and lowest in the high manure + high nitrogen treatment (M2N2). The SWI decreased as the fertilization level increased except in the low manure treatment (M-1) on maize. Compared with the other treatments, Treatment M2N2 significantly reduced SD of Glomus, and the high manure + low nitrogen treatment (M2N1) significantly retarded sporulation of Scutellospora. Manure treatments stimulated sporulation of Glomus mosseae. Spore density of G. mosseae was higher in the high nitrogen + phosphorus + potassium treatment (N2PK) than in the high nitrogen + phosphorus treatment (N2P) and the high nitrogen + potassium treatment (N2K). The SD of S. pellucida was higher in Treatment N2K than Treatments N2PK and N2P. In conclusion, long-term fixed fertilization, especially with high levels of manure and N, decreased SR, SD, and colonization and changed the species composition of AMF.","ISSN":"1002-0160","language":"eng","author":[{"family":"Wang","given":"Miao-Yan"},{"family":"Liang-Bin","given":"Hu"},{"family":"Wei-Hua","given":"Wang"},{"family":"Shu-Tang","given":"Liu"},{"family":"Min","given":"Li"},{"family":"Run-Jin","given":"Liu"},{"family":"Miao-Yan","given":"Wang"},{"family":"Liang-Bin","given":"Hu"},{"family":"Wei-Hua","given":"Wang"},{"family":"Shu-Tang","given":"Liu"},{"family":"Min","given":"Li"},{"family":"Run-Jin","given":"Liu"}],"issued":{"date-parts":[["2009"]]}}},{"id":478,"uris":["http://zotero.org/users/local/d1gJDEOw/items/V4SQHD2X"],"uri":["http://zotero.org/users/local/d1gJDEOw/items/V4SQHD2X"],"itemData":{"id":478,"type":"article-journal","title":"Community assembly, species richness and nestedness of arbuscular mycorrhizal fungi in agricultural soils","container-title":"Molecular Ecology","page":"2341-2353","volume":"21","issue":"10","source":"Wiley Online Library","abstract":"Understanding how communities assemble is a central goal of ecology. This is particularly relevant for communities of arbuscular mycorrhizal fungi (AMF), because the community composition of these beneficial plant symbionts influences important ecosystem processes. Moreover, AMF may be used as sensitive indicators of ecological soil quality if they respond to environmental variation in a predictable way. Here, we use a molecular profiling technique (T-RFLP of 25S rRNA gene fragments) to test which factors determine AM fungal community composition in 40 agricultural soils in the Netherlands. In particular, we test whether species richness, dominance structure and community nestedness are influenced by management type (in pairs of organically and conventionally farmed fields), and we examine the contribution of crop species (maize vs. potato), soil type (sand vs. clay-textured soils) and habitat (plant root vs. bulk soil) on AMF community characteristics. AMF richness varied from 1 to 11 taxa per field. Communities from species-poor fields were found to be subsets of those in richer fields, indicating nestedness and a progressive ‘loss’ from the species pool. AMF taxa richness and occurrence in soil and plant roots were highly correlated, and richness was related to management intensity (phosphate availability and grass-cropping history together explained 32% and 50% of richness in roots and soils). Soil type together with soil chemical parameters explained only 17% of variance in AMF community structure. We synthesize these results by discussing the potential contribution of a ‘bottleneck effect’ on AMF communities through increased stochastic effects under environmental stress.","DOI":"10.1111/j.1365-294X.2012.05534.x","ISSN":"1365-294X","language":"en","author":[{"family":"Verbruggen","given":"Erik"},{"family":"Van Der HEIJDEN","given":"Marcel G. A."},{"family":"Weedon","given":"James T."},{"family":"Kowalchuk","given":"George A."},{"family":"Röling","given":"Wilfred F. M."}],"issued":{"date-parts":[["2012",5,1]]}}},{"id":36,"uris":["http://zotero.org/users/local/d1gJDEOw/items/VFAUSJQP"],"uri":["http://zotero.org/users/local/d1gJDEOw/items/VFAUSJQP"],"itemData":{"id":36,"type":"article-journal","title":"Decrease in diversity and changes in community composition of arbuscular mycorrhizal fungi in roots of apple trees with increasing orchard management intensity across a regional scale","container-title":"Molecular Ecology","page":"941-952","volume":"24","issue":"4","source":"Wiley Online Library","abstract":"Understanding which factors drive the diversity and community composition of arbuscular mycorrhizal fungi (AMF) is important due to the role of these soil micro-organisms in ecosystem functioning and current environmental threats to AMF biodiversity. Additionally, in agro-ecosystems, this knowledge may help to evaluate their use in making agriculture more sustainable. Here, we used 454-pyrosequencing of small subunit rRNA gene amplicons to quantify AMF diversity and community composition in the roots of cultivated apple trees across 24 orchards in central Belgium. We aimed at identifying the factors (soil chemical variables, organic vs. conventional farming, and geographical location) that affect AMF diversity and community composition. In total, 110 AMF OTUs were detected, of which the majority belonged to the Glomeraceae (73%) and the Claroideoglomeraceae (19%). We show that soil characteristics and farming system, rather than the geographical location of the orchards, shape AMF communities on apple trees. Particularly, plant-available P content of the soil was associated with lower AMF diversity. In orchards with a lower plant-available P content of the soil (P &lt; 100 mg/kg soil), we also found a significantly higher AMF diversity in organically managed orchards as compared to conventionally managed orchards. Finally, the degree of nestedness of the AMF communities was related to plant-available P and N content of the soil, pointing at a progressive loss of AMF taxa with increasing fertilization. Overall, we conclude that a combination of organic orchard management and moderate fertilization may preserve diverse AMF communities on apple trees and that AMF in the roots of apple trees appear not to be dispersal limited at the scale of central Belgium.","DOI":"10.1111/mec.13079","ISSN":"1365-294X","journalAbbreviation":"Mol Ecol","language":"en","author":[{"family":"Geel","given":"Maarten","non-dropping-particle":"van"},{"family":"Ceustermans","given":"An"},{"family":"Hemelrijck","given":"Wendy","non-dropping-particle":"van"},{"family":"Lievens","given":"Bart"},{"family":"Honnay","given":"Olivier"}],"issued":{"date-parts":[["2015",2,1]]}}},{"id":39,"uris":["http://zotero.org/users/local/d1gJDEOw/items/P7VUPPJG"],"uri":["http://zotero.org/users/local/d1gJDEOw/items/P7VUPPJG"],"itemData":{"id":39,"type":"article-journal","title":"Application of slow-release phosphorus fertilizers increases arbuscular mycorrhizal fungal diversity in the roots of apple trees","container-title":"Plant and Soil","page":"291-301","volume":"402","issue":"1-2","source":"link.springer.com","abstract":"Aims Arbuscular mycorrhizal fungi (AMF) play a key role in the functioning of agricultural ecosystems. Therefore, understanding how the application of fertilizers, a common management practice, affects AMF communities is of major importance. Here we aimed to: (i) experimentally test whether different amounts and forms of phosphorus (P) fertilizer affect AMF diversity and community composition associated with the roots of apple trees (Malus domestica); (ii) identify differences in tolerance to P fertilization between AMF taxa. Methods We used 454-pyrosequencing of the small subunit rRNA gene amplicons to quantify AMF diversity and community composition in root samples obtained from a three year field experiment, with two inorganic, three slow-release P fertilization and one control treatment. Results The slow-release fertilizer treatments showed significantly higher AMF richness and differed in community composition compared to the inorganic fertilizer treatments. The distribution of AMF OTUs showed a significantly nested pattern. Additionally, AMF communities in the inorganic fertilizer treatments were a subset of the communities in the slow-release fertilizer treatments. Conclusions We demonstrate that application of slow-release fertilizers promoted AMF diversity in the roots of cultivated apple trees in comparison to the other treatments. The application of inorganic fertilizers elevated levels of plant-available P in the soil and selected only a small subset of abundant AMF, resulting in a lower AMF diversity. This may result in AMF communities dominated by inferior AMF mutualists.","DOI":"10.1007/s11104-015-2777-x","ISSN":"0032-079X, 1573-5036","journalAbbreviation":"Plant Soil","language":"en","author":[{"family":"Geel","given":"Maarten","non-dropping-particle":"van"},{"family":"Beenhouwer","given":"Matthias De"},{"family":"Ceulemans","given":"Tobias"},{"family":"Caes","given":"Kenny"},{"family":"Ceustermans","given":"An"},{"family":"Bylemans","given":"Dany"},{"family":"Gomand","given":"Ann"},{"family":"Lievens","given":"Bart"},{"family":"Honnay","given":"Olivier"}],"issued":{"date-parts":[["2016",1,16]]}}}],"schema":"https://github.com/citation-style-language/schema/raw/master/csl-citation.json"} </w:instrText>
      </w:r>
      <w:r>
        <w:fldChar w:fldCharType="separate"/>
      </w:r>
      <w:r w:rsidRPr="00052649">
        <w:rPr>
          <w:rFonts w:cs="Times New Roman"/>
          <w:szCs w:val="24"/>
        </w:rPr>
        <w:t xml:space="preserve">(Wang </w:t>
      </w:r>
      <w:r w:rsidRPr="00052649">
        <w:rPr>
          <w:rFonts w:cs="Times New Roman"/>
          <w:i/>
          <w:iCs/>
          <w:szCs w:val="24"/>
        </w:rPr>
        <w:t>et al.</w:t>
      </w:r>
      <w:r w:rsidRPr="00052649">
        <w:rPr>
          <w:rFonts w:cs="Times New Roman"/>
          <w:szCs w:val="24"/>
        </w:rPr>
        <w:t xml:space="preserve">, 2009; </w:t>
      </w:r>
      <w:proofErr w:type="spellStart"/>
      <w:r w:rsidRPr="00052649">
        <w:rPr>
          <w:rFonts w:cs="Times New Roman"/>
          <w:szCs w:val="24"/>
        </w:rPr>
        <w:t>Verbruggen</w:t>
      </w:r>
      <w:proofErr w:type="spellEnd"/>
      <w:r w:rsidRPr="00052649">
        <w:rPr>
          <w:rFonts w:cs="Times New Roman"/>
          <w:szCs w:val="24"/>
        </w:rPr>
        <w:t xml:space="preserve"> </w:t>
      </w:r>
      <w:r w:rsidRPr="00052649">
        <w:rPr>
          <w:rFonts w:cs="Times New Roman"/>
          <w:i/>
          <w:iCs/>
          <w:szCs w:val="24"/>
        </w:rPr>
        <w:t>et al.</w:t>
      </w:r>
      <w:r w:rsidRPr="00052649">
        <w:rPr>
          <w:rFonts w:cs="Times New Roman"/>
          <w:szCs w:val="24"/>
        </w:rPr>
        <w:t xml:space="preserve">, 2012; van </w:t>
      </w:r>
      <w:proofErr w:type="spellStart"/>
      <w:r w:rsidRPr="00052649">
        <w:rPr>
          <w:rFonts w:cs="Times New Roman"/>
          <w:szCs w:val="24"/>
        </w:rPr>
        <w:t>Geel</w:t>
      </w:r>
      <w:proofErr w:type="spellEnd"/>
      <w:r w:rsidRPr="00052649">
        <w:rPr>
          <w:rFonts w:cs="Times New Roman"/>
          <w:szCs w:val="24"/>
        </w:rPr>
        <w:t xml:space="preserve"> </w:t>
      </w:r>
      <w:r w:rsidRPr="00052649">
        <w:rPr>
          <w:rFonts w:cs="Times New Roman"/>
          <w:i/>
          <w:iCs/>
          <w:szCs w:val="24"/>
        </w:rPr>
        <w:t>et al.</w:t>
      </w:r>
      <w:r w:rsidRPr="00052649">
        <w:rPr>
          <w:rFonts w:cs="Times New Roman"/>
          <w:szCs w:val="24"/>
        </w:rPr>
        <w:t>, 2015)</w:t>
      </w:r>
      <w:r>
        <w:fldChar w:fldCharType="end"/>
      </w:r>
      <w:r>
        <w:t xml:space="preserve">.  In a comparison of AMF community structure and composition within 18 conventional bush and 6 organic bush apple orchards located in Belgium using 454-pyrosequencing of apple roots, Van </w:t>
      </w:r>
      <w:proofErr w:type="spellStart"/>
      <w:r>
        <w:t>Geel</w:t>
      </w:r>
      <w:proofErr w:type="spellEnd"/>
      <w:r>
        <w:t xml:space="preserve"> </w:t>
      </w:r>
      <w:r w:rsidRPr="005243D5">
        <w:rPr>
          <w:i/>
        </w:rPr>
        <w:t>et al</w:t>
      </w:r>
      <w:r>
        <w:rPr>
          <w:i/>
        </w:rPr>
        <w:t>.</w:t>
      </w:r>
      <w:r>
        <w:t xml:space="preserve">, </w:t>
      </w:r>
      <w:r w:rsidR="003B55DF">
        <w:t>(</w:t>
      </w:r>
      <w:r>
        <w:t>2015</w:t>
      </w:r>
      <w:r w:rsidR="003B55DF">
        <w:t>)</w:t>
      </w:r>
      <w:r>
        <w:t xml:space="preserve"> showed 34% of the variation in AMF species richness observed between organic and conventionally managed orchards could be explained by differences in plant available P within soil and that significantly higher AMF diversity was reported within orchards that had soil P levels lower than 100 mg kg</w:t>
      </w:r>
      <w:r w:rsidRPr="007D7C6C">
        <w:rPr>
          <w:vertAlign w:val="superscript"/>
        </w:rPr>
        <w:t>-1</w:t>
      </w:r>
      <w:r>
        <w:rPr>
          <w:vertAlign w:val="superscript"/>
        </w:rPr>
        <w:t xml:space="preserve"> </w:t>
      </w:r>
      <w:r>
        <w:t xml:space="preserve">soil </w:t>
      </w:r>
      <w:r w:rsidRPr="007D7C6C">
        <w:rPr>
          <w:rFonts w:cs="Times New Roman"/>
          <w:szCs w:val="24"/>
        </w:rPr>
        <w:t xml:space="preserve">(van </w:t>
      </w:r>
      <w:proofErr w:type="spellStart"/>
      <w:r w:rsidRPr="007D7C6C">
        <w:rPr>
          <w:rFonts w:cs="Times New Roman"/>
          <w:szCs w:val="24"/>
        </w:rPr>
        <w:t>Geel</w:t>
      </w:r>
      <w:proofErr w:type="spellEnd"/>
      <w:r w:rsidRPr="007D7C6C">
        <w:rPr>
          <w:rFonts w:cs="Times New Roman"/>
          <w:szCs w:val="24"/>
        </w:rPr>
        <w:t xml:space="preserve"> </w:t>
      </w:r>
      <w:r w:rsidRPr="007D7C6C">
        <w:rPr>
          <w:rFonts w:cs="Times New Roman"/>
          <w:i/>
          <w:iCs/>
          <w:szCs w:val="24"/>
        </w:rPr>
        <w:t>et al.</w:t>
      </w:r>
      <w:r w:rsidRPr="007D7C6C">
        <w:rPr>
          <w:rFonts w:cs="Times New Roman"/>
          <w:szCs w:val="24"/>
        </w:rPr>
        <w:t>, 2015)</w:t>
      </w:r>
      <w:r>
        <w:t xml:space="preserve">.  Similarly, strong reductions in AMF diversity and </w:t>
      </w:r>
      <w:r>
        <w:rPr>
          <w:rFonts w:cs="Times New Roman"/>
          <w:color w:val="131413"/>
        </w:rPr>
        <w:t xml:space="preserve">genera specific </w:t>
      </w:r>
      <w:r>
        <w:rPr>
          <w:rFonts w:cs="Times New Roman"/>
          <w:color w:val="131413"/>
        </w:rPr>
        <w:lastRenderedPageBreak/>
        <w:t xml:space="preserve">change </w:t>
      </w:r>
      <w:r w:rsidRPr="00013C3F">
        <w:rPr>
          <w:rFonts w:cs="Times New Roman"/>
          <w:color w:val="131413"/>
        </w:rPr>
        <w:t>in the relative abundance of fungi</w:t>
      </w:r>
      <w:r>
        <w:rPr>
          <w:rFonts w:cs="Times New Roman"/>
          <w:color w:val="131413"/>
        </w:rPr>
        <w:t xml:space="preserve"> </w:t>
      </w:r>
      <w:r>
        <w:t xml:space="preserve">with the application of inorganic P were reported by </w:t>
      </w:r>
      <w:r>
        <w:rPr>
          <w:rFonts w:cs="Times New Roman"/>
          <w:color w:val="131413"/>
        </w:rPr>
        <w:fldChar w:fldCharType="begin"/>
      </w:r>
      <w:r w:rsidR="0057400B">
        <w:rPr>
          <w:rFonts w:cs="Times New Roman"/>
          <w:color w:val="131413"/>
        </w:rPr>
        <w:instrText xml:space="preserve"> ADDIN ZOTERO_ITEM CSL_CITATION {"citationID":"2q3q3jd6i0","properties":{"formattedCitation":"{\\rtf (Wang {\\i{}et al.}, 2009)}","plainCitation":"(Wang et al., 2009)"},"citationItems":[{"id":425,"uris":["http://zotero.org/users/local/d1gJDEOw/items/U7HEC2GK"],"uri":["http://zotero.org/users/local/d1gJDEOw/items/U7HEC2GK"],"itemData":{"id":425,"type":"article-journal","title":"Influence of Long-Term Fixed Fertilization on Diversity of Arbuscular Mycorrhizal Fungi","container-title":"Pedosphere","page":"663-672","volume":"19","issue":"5, 1002-0160","source":"www.scholarmate.com","abstract":"Diversity of arbuscular mycorrhizal fungi (AMF) was investigated in a field that had received long-term fixed fertilization (LFF) for 26 years. There were a total of 12 treatments in triplicates with different amounts of manure, urea, calcium phosphate, and potassium chloride. Rhizosphere soil samples of maize and wheat grown in the experimental field in Shandong Province, China, were collected in September 2003 and May 2004, respectively. Arbuscular mycorrhizal fungal spores were isolated and identified using morphological characters. Mycorrhizal colonization percentage, spore density (SD), species richness (SR), relative abundance (RA), and Shannon-Weiner index (SWI) were determined. Nineteen recognized species of AMF belonging to 5 genera were identified. Long-term fixed fertilization significantly influenced colonization percentage, SR, SD, and species diversity of AMF. The adaptability of AMF to soil fertility was different among species. Species richness and SD of AMF in maize and wheat rhizosphere soils were the highest in the nonfertilization treatment (control) and lowest in the high manure + high nitrogen treatment (M2N2). The SWI decreased as the fertilization level increased except in the low manure treatment (M-1) on maize. Compared with the other treatments, Treatment M2N2 significantly reduced SD of Glomus, and the high manure + low nitrogen treatment (M2N1) significantly retarded sporulation of Scutellospora. Manure treatments stimulated sporulation of Glomus mosseae. Spore density of G. mosseae was higher in the high nitrogen + phosphorus + potassium treatment (N2PK) than in the high nitrogen + phosphorus treatment (N2P) and the high nitrogen + potassium treatment (N2K). The SD of S. pellucida was higher in Treatment N2K than Treatments N2PK and N2P. In conclusion, long-term fixed fertilization, especially with high levels of manure and N, decreased SR, SD, and colonization and changed the species composition of AMF.","ISSN":"1002-0160","language":"eng","author":[{"family":"Wang","given":"Miao-Yan"},{"family":"Liang-Bin","given":"Hu"},{"family":"Wei-Hua","given":"Wang"},{"family":"Shu-Tang","given":"Liu"},{"family":"Min","given":"Li"},{"family":"Run-Jin","given":"Liu"},{"family":"Miao-Yan","given":"Wang"},{"family":"Liang-Bin","given":"Hu"},{"family":"Wei-Hua","given":"Wang"},{"family":"Shu-Tang","given":"Liu"},{"family":"Min","given":"Li"},{"family":"Run-Jin","given":"Liu"}],"issued":{"date-parts":[["2009"]]}}}],"schema":"https://github.com/citation-style-language/schema/raw/master/csl-citation.json"} </w:instrText>
      </w:r>
      <w:r>
        <w:rPr>
          <w:rFonts w:cs="Times New Roman"/>
          <w:color w:val="131413"/>
        </w:rPr>
        <w:fldChar w:fldCharType="separate"/>
      </w:r>
      <w:r w:rsidR="00954B3D" w:rsidRPr="00954B3D">
        <w:rPr>
          <w:rFonts w:cs="Times New Roman"/>
          <w:szCs w:val="24"/>
        </w:rPr>
        <w:t xml:space="preserve">(Wang </w:t>
      </w:r>
      <w:r w:rsidR="00954B3D" w:rsidRPr="00954B3D">
        <w:rPr>
          <w:rFonts w:cs="Times New Roman"/>
          <w:i/>
          <w:iCs/>
          <w:szCs w:val="24"/>
        </w:rPr>
        <w:t>et al.</w:t>
      </w:r>
      <w:r w:rsidR="00954B3D" w:rsidRPr="00954B3D">
        <w:rPr>
          <w:rFonts w:cs="Times New Roman"/>
          <w:szCs w:val="24"/>
        </w:rPr>
        <w:t>, 2009)</w:t>
      </w:r>
      <w:r>
        <w:rPr>
          <w:rFonts w:cs="Times New Roman"/>
          <w:color w:val="131413"/>
        </w:rPr>
        <w:fldChar w:fldCharType="end"/>
      </w:r>
      <w:r>
        <w:rPr>
          <w:rFonts w:cs="Times New Roman"/>
          <w:color w:val="131413"/>
        </w:rPr>
        <w:t xml:space="preserve"> who used spore based methods to measure AMF community responses within wheat and maize field soils which received applications of inorganic fertiliser over 26 years. </w:t>
      </w:r>
    </w:p>
    <w:p w:rsidR="00B46350" w:rsidRDefault="00B46350" w:rsidP="00B46350">
      <w:r>
        <w:rPr>
          <w:rFonts w:cs="Times New Roman"/>
          <w:color w:val="131413"/>
        </w:rPr>
        <w:t>The underlying mechanisms by which AMF richness is reduced in response to increased nutrient availability are still largely unknown however o</w:t>
      </w:r>
      <w:r>
        <w:t xml:space="preserve">ptimal resource allocation theory predicts that both AMF and plants will increase allocation of energy towards capture of the resources which are most limited in availability </w:t>
      </w:r>
      <w:r>
        <w:fldChar w:fldCharType="begin"/>
      </w:r>
      <w:r w:rsidR="00954B3D">
        <w:instrText xml:space="preserve"> ADDIN ZOTERO_ITEM CSL_CITATION {"citationID":"k80gqcf2j","properties":{"formattedCitation":"{\\rtf (Johnson {\\i{}et al.}, 2013)}","plainCitation":"(Johnson et al., 2013)"},"citationItems":[{"id":516,"uris":["http://zotero.org/users/local/d1gJDEOw/items/6MEDDGRI"],"uri":["http://zotero.org/users/local/d1gJDEOw/items/6MEDDGRI"],"itemData":{"id":516,"type":"article-journal","title":"Predicting community and ecosystem outcomes of mycorrhizal responses to global change","container-title":"Ecology Letters","page":"140-153","volume":"16","source":"Wiley Online Library","abstract":"Mycorrhizal symbioses link the biosphere with the lithosphere by mediating nutrient cycles and energy flow though terrestrial ecosystems. A more mechanistic understanding of these plant–fungal associations may help ameliorate anthropogenic changes to C and N cycles and biotic communities. We explore three interacting principles: (1) optimal allocation, (2) biotic context and (3) fungal adaptability that may help predict mycorrhizal responses to carbon dioxide enrichment, nitrogen eutrophication, invasive species and land-use changes. Plant–microbial feedbacks and thresholds are discussed in light of these principles with the goal of generating testable hypotheses. Ideas to develop large-scale collaborative research efforts are presented. It is our hope that mycorrhizal symbioses can be effectively integrated into global change models and eventually their ecology will be understood well enough so that they can be managed to help offset some of the detrimental effects of anthropogenic environmental change.","DOI":"10.1111/ele.12085","ISSN":"1461-0248","journalAbbreviation":"Ecol Lett","language":"en","author":[{"family":"Johnson","given":"Nancy C."},{"family":"Angelard","given":"Caroline"},{"family":"Sanders","given":"Ian R."},{"family":"Kiers","given":"E. Toby"}],"issued":{"date-parts":[["2013",5,1]]}}}],"schema":"https://github.com/citation-style-language/schema/raw/master/csl-citation.json"} </w:instrText>
      </w:r>
      <w:r>
        <w:fldChar w:fldCharType="separate"/>
      </w:r>
      <w:r w:rsidR="00954B3D" w:rsidRPr="00954B3D">
        <w:rPr>
          <w:rFonts w:cs="Times New Roman"/>
          <w:szCs w:val="24"/>
        </w:rPr>
        <w:t xml:space="preserve">(Johnson </w:t>
      </w:r>
      <w:r w:rsidR="00954B3D" w:rsidRPr="00954B3D">
        <w:rPr>
          <w:rFonts w:cs="Times New Roman"/>
          <w:i/>
          <w:iCs/>
          <w:szCs w:val="24"/>
        </w:rPr>
        <w:t>et al.</w:t>
      </w:r>
      <w:r w:rsidR="00954B3D" w:rsidRPr="00954B3D">
        <w:rPr>
          <w:rFonts w:cs="Times New Roman"/>
          <w:szCs w:val="24"/>
        </w:rPr>
        <w:t>, 2013)</w:t>
      </w:r>
      <w:r>
        <w:fldChar w:fldCharType="end"/>
      </w:r>
      <w:r>
        <w:t xml:space="preserve">. Therefore in response to enrichment of soil fertility, plants may reduce allocation of carbon to AMF. Increased competition for carbon between AMF taxa could result in competitive exclusion of some fungi  </w:t>
      </w:r>
      <w:r w:rsidRPr="006F2120">
        <w:t>ultimately leading to reduction in AMF richness</w:t>
      </w:r>
      <w:r>
        <w:t xml:space="preserve"> </w:t>
      </w:r>
      <w:r w:rsidRPr="006F2120">
        <w:fldChar w:fldCharType="begin"/>
      </w:r>
      <w:r w:rsidR="00954B3D">
        <w:instrText xml:space="preserve"> ADDIN ZOTERO_ITEM CSL_CITATION {"citationID":"eJERKIYH","properties":{"formattedCitation":"{\\rtf (Liu {\\i{}et al.}, 2012)}","plainCitation":"(Liu et al., 2012)"},"citationItems":[{"id":519,"uris":["http://zotero.org/users/local/d1gJDEOw/items/UTHQQMR8"],"uri":["http://zotero.org/users/local/d1gJDEOw/items/UTHQQMR8"],"itemData":{"id":519,"type":"article-journal","title":"Direct and indirect influences of 8 yr of nitrogen and phosphorus fertilization on Glomeromycota in an alpine meadow ecosystem","container-title":"New Phytologist","page":"523-535","volume":"194","issue":"2","source":"Web of Science","abstract":"We measured the influences of soil fertility and plant community composition on Glomeromycota, and tested the prediction of the functional equilibrium hypothesis that increased availability of soil resources will reduce the abundance of arbuscular mycorrhizal (AM) fungi. Communities of plants and AM fungi were measured in mixed roots and in Elymus nutans roots across an experimental fertilization gradient in an alpine meadow on the Tibetan Plateau. As predicted, fertilization reduced the abundance of Glomeromycota as well as the species richness of plants and AM fungi. The response of the glomeromycotan community was strongly linked to the plant community shift towards dominance by Elymus nutans. A reduction in the extraradical hyphae of AM fungi was associated with both the changes in soil factors and shifts in the plant community composition that were caused by fertilization. Our findings highlight the importance of soil fertility in regulating both plant and glomeromycotan communities, and emphasize that high fertilizer inputs can reduce the biodiversity of plants and AM fungi, and influence the sustainability of ecosystems.","DOI":"10.1111/j.1469-8137.2012.04050.x","ISSN":"1469-8137","note":"WOS:000302618300022","journalAbbreviation":"New Phytol.","language":"English","author":[{"family":"Liu","given":"Yongjun"},{"family":"Shi","given":"Guoxi"},{"family":"Mao","given":"Lin"},{"family":"Cheng","given":"Gang"},{"family":"Jiang","given":"Shengjing"},{"family":"Ma","given":"Xiaojun"},{"family":"An","given":"Lizhe"},{"family":"Du","given":"Guozhen"},{"family":"Johnson","given":"Nancy Collins"},{"family":"Feng","given":"Huyuan"}],"issued":{"date-parts":[["2012",4]]}}}],"schema":"https://github.com/citation-style-language/schema/raw/master/csl-citation.json"} </w:instrText>
      </w:r>
      <w:r w:rsidRPr="006F2120">
        <w:fldChar w:fldCharType="separate"/>
      </w:r>
      <w:r w:rsidR="00954B3D" w:rsidRPr="00954B3D">
        <w:rPr>
          <w:rFonts w:cs="Times New Roman"/>
          <w:szCs w:val="24"/>
        </w:rPr>
        <w:t xml:space="preserve">(Liu </w:t>
      </w:r>
      <w:r w:rsidR="00954B3D" w:rsidRPr="00954B3D">
        <w:rPr>
          <w:rFonts w:cs="Times New Roman"/>
          <w:i/>
          <w:iCs/>
          <w:szCs w:val="24"/>
        </w:rPr>
        <w:t>et al.</w:t>
      </w:r>
      <w:r w:rsidR="00954B3D" w:rsidRPr="00954B3D">
        <w:rPr>
          <w:rFonts w:cs="Times New Roman"/>
          <w:szCs w:val="24"/>
        </w:rPr>
        <w:t>, 2012)</w:t>
      </w:r>
      <w:r w:rsidRPr="006F2120">
        <w:fldChar w:fldCharType="end"/>
      </w:r>
      <w:r>
        <w:t xml:space="preserve"> as AMF taxa are known to differ in their competitive ability to access host carbohydrates </w:t>
      </w:r>
      <w:r>
        <w:fldChar w:fldCharType="begin"/>
      </w:r>
      <w:r w:rsidR="00954B3D">
        <w:instrText xml:space="preserve"> ADDIN ZOTERO_ITEM CSL_CITATION {"citationID":"4GbSN51U","properties":{"formattedCitation":"{\\rtf (Hepper {\\i{}et al.}, 1988; Bennett &amp; Bever, 2009)}","plainCitation":"(Hepper et al., 1988; Bennett &amp; Bever, 2009)"},"citationItems":[{"id":611,"uris":["http://zotero.org/users/local/d1gJDEOw/items/763DRSG6"],"uri":["http://zotero.org/users/local/d1gJDEOw/items/763DRSG6"],"itemData":{"id":611,"type":"article-journal","title":"Competition Between Three Species of Glomus Used as Spatially Separated Introduced and Indigenous Mycorrhizal Inocula for Leek (Allium porrum L.)","container-title":"The New Phytologist","page":"207-215","volume":"110","issue":"2","source":"JSTOR","abstract":"The ability of three vesicular-arbuscular (VA) mycorrhizal fungi - Glomus caledonium (Nicol. and Gerd.) Trappe and Gerd., Glomus sp. type E3 and Glomus mosseae (Nicol. and Schenck) Gerd. and Trappe - to infect leek (Allium porrum L.), when used as spatially separated pairs of inocula was assessed by analysing the roots for the presence of diagnostic fungal enzymes after separation of root proteins by gel electrophoresis. A difference in competitiveness was observed, such that Glomus sp. E3 was unable to infect a root system if either G. caledonium or G. mosseae were also present. When the latter two fungi were used as a pair of inocula, the one which had been placed to simulate an indigenous strain predominated in the root to the almost total exclusion of the one placed as an introduced inoculum. These results suggest that the successful establishment of VA mycorrhizal inocula in field soils will depend on the indigenous species present, the species being introduced and its placement in the soil. The use of diagnostic fungal isozyme analysis offers a method of monitoring the outcome of an inoculation programme by detecting the presence of the introduced species in the host roots.","ISSN":"0028-646X","journalAbbreviation":"The New Phytologist","author":[{"family":"Hepper","given":"Christine M."},{"family":"Azcon-Aguilar","given":"Concepcion"},{"family":"Rosendahl","given":"S."},{"family":"Sen","given":"R."}],"issued":{"date-parts":[["1988"]]}}},{"id":608,"uris":["http://zotero.org/users/local/d1gJDEOw/items/J48NIUPS"],"uri":["http://zotero.org/users/local/d1gJDEOw/items/J48NIUPS"],"itemData":{"id":608,"type":"article-journal","title":"Trade-offs between arbuscular mycorrhizal fungal competitive ability and host growth promotion in Plantago lanceolata","container-title":"Oecologia","page":"807-816","volume":"160","issue":"4","source":"PubMed","abstract":"In this study we tested for trade-offs between the benefit arbuscular mycorrhizal (AM) fungi provide for hosts and their competitive ability in host roots, and whether this potential trade-off shifts in the presence of a plant stress (herbivory). We used three species of AM fungi previously determined to vary in host growth promotion and spore production in association with host plants. We found that these AM fungal species competed for root space, and the best competitor, Scutellospora calospora, was the worst mutualist. In addition, the worst competitor, Glomus white, was the best mutualist. Competition proved to have stronger effects on fungal infection patterns than herbivory, and competitive dominance was not altered by herbivory. We found a similar pattern in a previous test of competition among AM fungi, and we discuss the implications of these results for the persistence of the mutualism and feedbacks between AM fungi and their plant hosts.","DOI":"10.1007/s00442-009-1345-6","ISSN":"1432-1939","note":"PMID: 19377897","journalAbbreviation":"Oecologia","language":"eng","author":[{"family":"Bennett","given":"Alison Elizabeth"},{"family":"Bever","given":"James D."}],"issued":{"date-parts":[["2009",7]]}}}],"schema":"https://github.com/citation-style-language/schema/raw/master/csl-citation.json"}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Hepper</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1988; Bennett &amp; </w:t>
      </w:r>
      <w:proofErr w:type="spellStart"/>
      <w:r w:rsidR="00954B3D" w:rsidRPr="00954B3D">
        <w:rPr>
          <w:rFonts w:cs="Times New Roman"/>
          <w:szCs w:val="24"/>
        </w:rPr>
        <w:t>Bever</w:t>
      </w:r>
      <w:proofErr w:type="spellEnd"/>
      <w:r w:rsidR="00954B3D" w:rsidRPr="00954B3D">
        <w:rPr>
          <w:rFonts w:cs="Times New Roman"/>
          <w:szCs w:val="24"/>
        </w:rPr>
        <w:t>, 2009)</w:t>
      </w:r>
      <w:r>
        <w:fldChar w:fldCharType="end"/>
      </w:r>
      <w:r>
        <w:t>.</w:t>
      </w:r>
    </w:p>
    <w:p w:rsidR="00B46350" w:rsidRPr="006D5221" w:rsidRDefault="00B46350" w:rsidP="00B46350">
      <w:r>
        <w:rPr>
          <w:rFonts w:cs="Times New Roman"/>
          <w:color w:val="131413"/>
        </w:rPr>
        <w:t xml:space="preserve">However our study did not quantify soil nutrient status within orchards therefore it is not possible to determine whether similarity of AMF communities between orchards corresponded with similarity in soil fertility between sites. </w:t>
      </w:r>
      <w:r>
        <w:t xml:space="preserve">Van </w:t>
      </w:r>
      <w:proofErr w:type="spellStart"/>
      <w:r>
        <w:t>Geel</w:t>
      </w:r>
      <w:proofErr w:type="spellEnd"/>
      <w:r>
        <w:t xml:space="preserve"> </w:t>
      </w:r>
      <w:r w:rsidRPr="00B67E53">
        <w:rPr>
          <w:i/>
        </w:rPr>
        <w:t>et al</w:t>
      </w:r>
      <w:r>
        <w:t xml:space="preserve">, </w:t>
      </w:r>
      <w:r w:rsidR="003B55DF">
        <w:t>(</w:t>
      </w:r>
      <w:r>
        <w:t>2015</w:t>
      </w:r>
      <w:r w:rsidR="003B55DF">
        <w:t>)</w:t>
      </w:r>
      <w:r>
        <w:t xml:space="preserve"> reported differences AMF communities of organic and conventional orchards however they specifically selected study orchards which showed a large range in soil fertility levels (30 to 220 ppm plant available P) in order to examine differences in effects of  inorganic P and N upon the AMF community. In contrast orchards selection for our study aimed to cover a representative range of orchard types within the region of study (Herefordshire, UK) without prior knowledge of soil fertility levels of inputs. Therefore we may not have sampled such a broad range in soil fertility levels making it harder to detect differences that may have arisen due to soil nutrient status.  Additionally the contrasting results of our study in comparison to that of Van </w:t>
      </w:r>
      <w:proofErr w:type="spellStart"/>
      <w:r>
        <w:t>Geel</w:t>
      </w:r>
      <w:proofErr w:type="spellEnd"/>
      <w:r>
        <w:t xml:space="preserve"> </w:t>
      </w:r>
      <w:r w:rsidRPr="00C2110B">
        <w:rPr>
          <w:i/>
        </w:rPr>
        <w:t>et al</w:t>
      </w:r>
      <w:r>
        <w:t>.,</w:t>
      </w:r>
      <w:r w:rsidR="003B55DF">
        <w:t xml:space="preserve"> (</w:t>
      </w:r>
      <w:r>
        <w:t>2015</w:t>
      </w:r>
      <w:r w:rsidR="003B55DF">
        <w:t>)</w:t>
      </w:r>
      <w:r>
        <w:t xml:space="preserve"> could arise from variation in factors such as soil type and pH and also broader differences in geography and climate, all of which may affect AMF communities. </w:t>
      </w:r>
    </w:p>
    <w:p w:rsidR="00B46350" w:rsidRDefault="00B46350" w:rsidP="00B46350">
      <w:pPr>
        <w:rPr>
          <w:rFonts w:cs="Times New Roman"/>
          <w:color w:val="131413"/>
        </w:rPr>
      </w:pPr>
      <w:r>
        <w:rPr>
          <w:rFonts w:cs="Times New Roman"/>
          <w:color w:val="131413"/>
        </w:rPr>
        <w:t xml:space="preserve">All conventional bush orchards within this study were routinely treated with herbicide to keep the ‘herbicide strip’ a 1 to 2 meter strip at the base of each tree, free of weeds which may compete with trees for growth resources. The impact of glyphosate which is currently the most widely used herbicide for this purpose,  upon AMF is still not fully resolved with studies reporting effects ranging from neutral to negative effects on spore viability and AMF colonisation of roots </w:t>
      </w:r>
      <w:r>
        <w:rPr>
          <w:rFonts w:cs="Times New Roman"/>
          <w:color w:val="131413"/>
        </w:rPr>
        <w:fldChar w:fldCharType="begin"/>
      </w:r>
      <w:r w:rsidR="00954B3D">
        <w:rPr>
          <w:rFonts w:cs="Times New Roman"/>
          <w:color w:val="131413"/>
        </w:rPr>
        <w:instrText xml:space="preserve"> ADDIN ZOTERO_ITEM CSL_CITATION {"citationID":"5v23o00d","properties":{"formattedCitation":"{\\rtf (Ronco {\\i{}et al.}, 2008; Druille {\\i{}et al.}, 2013)}","plainCitation":"(Ronco et al., 2008; Druille et al., 2013)"},"citationItems":[{"id":555,"uris":["http://zotero.org/users/local/d1gJDEOw/items/VJC7I3GR"],"uri":["http://zotero.org/users/local/d1gJDEOw/items/VJC7I3GR"],"itemData":{"id":555,"type":"article-journal","title":"Glyphosate and mycorrhization induce changes in plant growth and in root morphology and architecture in pepper plants (Capsicum annuum L.)","container-title":"The Journal of Horticultural Science and Biotechnology","page":"497-505","volume":"83","issue":"4","source":"Taylor and Francis+NEJM","abstract":"Mycorrhizal symbiosis is the mutually beneficial association between the roots of most land plants and many soil fungi. Glyphosate is the most commonly used herbicide for effective control of weeds. This broad-spectrum herbicide is exuded by the roots of treated crops and by senescing weeds, and absorbed by new crops, affecting their growth. We therefore examined the effects of glyphosate residues in the soil, and mycorrhization, on plant growth and root morphology in Capsicum annuum L. Plants were either non-inoculated or inoculated with Glomus mosseae, and grown with different concentrations of glyphosate in soil. Pepper plants grown without glyphosate behaved as mycotrophic species. At high doses, glyphosate (6.32 µM) reduced the extent of root colonisation (to 34%) and the percentage of arbuscule formation (to 50%), and inhibited vesicle formation. Alkaline phosphatase activity was not affected by the herbicide. Inoculated plants had a higher biomass, total height, and leaf area. At the highest concentrations, glyphosate-inoculated plants had double the biomass of non-inoculated plants. Chlorophyll and leaf protein contents were higher in inoculated than in non-inoculated plants at all glyphosate concentrations tested. Inoculated plants increased their root area by approx. 50% with or without glyphosate. The interaction of mycorrhization and glyphosate reduced the mitotic index, mitotic activity, and cell length in the root apices. The highest concentration of herbicide inhibited root branching, modified root morphology and root architecture, and affected growth parameters. Pepper plants tolerate high concentrations of glyphosate in the soil. Mycorrhization benefits plant growth and increases the root area, with a high number of lateral roots, regardless of herbicide concentration. Mycorrhization would be a favourable strategy to allow plants to cope with this abiotic stress condition.","DOI":"10.1080/14620316.2008.11512413","ISSN":"1462-0316","author":[{"family":"Ronco","given":"M. G."},{"family":"Ruscitti","given":"M. F."},{"family":"Arango","given":"M. C."},{"family":"Beltrano","given":"J."}],"issued":{"date-parts":[["2008",1,1]]}}},{"id":523,"uris":["http://zotero.org/users/local/d1gJDEOw/items/VRRHTX7U"],"uri":["http://zotero.org/users/local/d1gJDEOw/items/VRRHTX7U"],"itemData":{"id":523,"type":"article-journal","title":"Glyphosate reduces spore viability and root colonization of arbuscular mycorrhizal fungi","container-title":"Applied Soil Ecology","page":"99-103","volume":"64","source":"ScienceDirect","abstract":"Glyphosate is the most widely used herbicide in the world, but its effects on non-target organisms, such as arbuscular mycorrhizal fungi (AMF), are unclear. No studies have been found that made reference to effects of glyphosate on AMF spore viability despite its importance as a source of propagules for the perpetuation and spread of AMF in the system. The objective of this study was to evaluate the effect of glyphosate application on AMF spore viability, and their ability to colonize roots. Soil samples were collected from a grassland area located in the Flooding Pampa region (Argentina). We evaluated three herbicide rates: 0, 0.26 and 1× recommended field rate, 10 and 30 days after application. Part of the soil from each tray was used to estimate the spore viability, and the remainder was used as substrate for growing Lolium multiflorum Lam. One month after sowing, total root colonization and percentage of arbuscules and vesicles were determined. The spore viability in herbicide untreated soils was between 5.8- and 7.7-fold higher than in treated soils. This reduction was detected even when the lower rate was applied. Root colonization was significantly lower in plants grown in glyphosate treated soil than in untreated ones. A decrease in arbuscular colonization (but not in vesicles) was found in plants grown in soils treated with the highest herbicide rate. That would indicate that symbiosis functionality was affected, given that arbuscules are the main site for host–fungus nutrient exchange. The results indicate that soil residence time of glyphosate and/or its degradation products was enough to reduce AMF spore viability and their ability to colonize roots. This decrease in propagules viability may affect plant diversity, taking into account the different degrees of mycorrhizal dependency between plant species that may coexist in grassland communities.","DOI":"10.1016/j.apsoil.2012.10.007","ISSN":"0929-1393","journalAbbreviation":"Applied Soil Ecology","author":[{"family":"Druille","given":"Magdalena"},{"family":"Cabello","given":"Marta N."},{"family":"Omacini","given":"Marina"},{"family":"Golluscio","given":"Rodolfo A."}],"issued":{"date-parts":[["2013",2]]}}}],"schema":"https://github.com/citation-style-language/schema/raw/master/csl-citation.json"} </w:instrText>
      </w:r>
      <w:r>
        <w:rPr>
          <w:rFonts w:cs="Times New Roman"/>
          <w:color w:val="131413"/>
        </w:rPr>
        <w:fldChar w:fldCharType="separate"/>
      </w:r>
      <w:r w:rsidR="00954B3D" w:rsidRPr="00954B3D">
        <w:rPr>
          <w:rFonts w:cs="Times New Roman"/>
          <w:szCs w:val="24"/>
        </w:rPr>
        <w:t>(</w:t>
      </w:r>
      <w:proofErr w:type="spellStart"/>
      <w:r w:rsidR="00954B3D" w:rsidRPr="00954B3D">
        <w:rPr>
          <w:rFonts w:cs="Times New Roman"/>
          <w:szCs w:val="24"/>
        </w:rPr>
        <w:t>Ronco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2008; </w:t>
      </w:r>
      <w:proofErr w:type="spellStart"/>
      <w:r w:rsidR="00954B3D" w:rsidRPr="00954B3D">
        <w:rPr>
          <w:rFonts w:cs="Times New Roman"/>
          <w:szCs w:val="24"/>
        </w:rPr>
        <w:t>Druille</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2013)</w:t>
      </w:r>
      <w:r>
        <w:rPr>
          <w:rFonts w:cs="Times New Roman"/>
          <w:color w:val="131413"/>
        </w:rPr>
        <w:fldChar w:fldCharType="end"/>
      </w:r>
      <w:r>
        <w:rPr>
          <w:rFonts w:cs="Times New Roman"/>
          <w:color w:val="131413"/>
        </w:rPr>
        <w:t xml:space="preserve">. Despite sampling soil from within the herbicide strip within conventional bush orchards for this study, no differences in the AMF community of herbicide treated soils were found. </w:t>
      </w:r>
    </w:p>
    <w:p w:rsidR="00B46350" w:rsidRPr="00943EA8" w:rsidRDefault="00B46350" w:rsidP="00B46350">
      <w:r>
        <w:t>No benefit of organic orchard management</w:t>
      </w:r>
      <w:r w:rsidR="00A67251">
        <w:t xml:space="preserve"> for improving AMF richness</w:t>
      </w:r>
      <w:r>
        <w:t xml:space="preserve"> in comparison to conventional management was found. Whilst the benefit of organic farming systems for preservation of biodiversity has been debated, positive effects of organic farming upon biodiversity have been demonstrated for a range of taxa </w:t>
      </w:r>
      <w:r>
        <w:fldChar w:fldCharType="begin"/>
      </w:r>
      <w:r w:rsidR="0054501B">
        <w:instrText xml:space="preserve"> ADDIN ZOTERO_ITEM CSL_CITATION {"citationID":"jzFnKiKQ","properties":{"formattedCitation":"{\\rtf (Mader {\\i{}et al.}, 2002; Hole {\\i{}et al.}, 2005; Bengtsson {\\i{}et al.}, 2005; Tuck {\\i{}et al.}, 2014)}","plainCitation":"(Mader et al., 2002; Hole et al., 2005; Bengtsson et al., 2005; Tuck et al., 2014)"},"citationItems":[{"id":1095,"uris":["http://zotero.org/users/local/d1gJDEOw/items/PR3RP4M7"],"uri":["http://zotero.org/users/local/d1gJDEOw/items/PR3RP4M7"],"itemData":{"id":1095,"type":"article-journal","title":"Soil fertility and biodiversity in organic farming","container-title":"Science","page":"1694-1697","volume":"296","issue":"5573","archive_location":"WOS:000175976200061","abstract":"An understanding of agroecosystems is key to determining effective farming systems. Here we report results from a 21-year study of agronomic and ecological performance of biodynamic, bioorganic, and conventional farming systems in Central Europe. We found crop yields to be 20% Lower in the organic systems, although input of fertilizer and energy was reduced by 34 to 53% and pesticide input by 97%. Enhanced soil fertility and higher biodiversity found in organic plots may render these systems less dependent on external inputs.","DOI":"10.1126/science.1071148","ISSN":"0036-8075","shortTitle":"Soil fertility and biodiversity in organic farming","author":[{"family":"Mader","given":"P."},{"family":"Fliessbach","given":"A."},{"family":"Dubois","given":"D."},{"family":"Gunst","given":"L."},{"family":"Fried","given":"P."},{"family":"Niggli","given":"U."}],"issued":{"date-parts":[["2002",5]]}}},{"id":594,"uris":["http://zotero.org/users/local/d1gJDEOw/items/V38HGSDU"],"uri":["http://zotero.org/users/local/d1gJDEOw/items/V38HGSDU"],"itemData":{"id":594,"type":"article-journal","title":"Does organic farming benefit biodiversity?","container-title":"Biological Conservation","page":"113-130","volume":"122","issue":"1","source":"ScienceDirect","abstract":"The intensification and expansion of modern agriculture is amongst the greatest current threats to worldwide biodiversity. Over the last quarter of the 20th century, dramatic declines in both range and abundance of many species associated with farmland have been reported in Europe, leading to growing concern over the sustainability of current intensive farming practices. Purportedly ‘sustainable’ farming systems such as organic farming are now seen by many as a potential solution to this continued loss of biodiversity and receive substantial support in the form of subsidy payments through EU and national government legislation.\n\nThis paper assesses the impacts on biodiversity of organic farming, relative to conventional agriculture, through a review of comparative studies of the two systems, in order to determine whether it can deliver on the biodiversity benefits its proponents claim. It identifies a wide range of taxa, including birds and mammals, invertebrates and arable flora, that benefit from organic management through increases in abundance and/or species richness. It also highlights three broad management practices (prohibition/reduced use of chemical pesticides and inorganic fertilisers; sympathetic management of non-cropped habitats; and preservation of mixed farming) that are largely intrinsic (but not exclusive) to organic farming, and that are particularly beneficial for farmland wildlife.\n\nHowever, the review also draws attention to four key issues: (1) It remains unclear whether a ‘holistic’ whole-farm approach (i.e. organic) provides greater benefits to biodiversity than carefully targeted prescriptions applied to relatively small areas of cropped and/or non-cropped habitats within conventional agriculture (i.e. agri-environment schemes); (2) Many comparative studies encounter methodological problems, limiting their ability to draw quantitative conclusions; (3) Our knowledge of the impacts of organic farming in pastoral and upland agriculture is limited; (4) There remains a pressing need for longitudinal, system-level studies in order to address these issues and to fill in the gaps in our knowledge of the impacts of organic farming, before a full appraisal of its potential role in biodiversity conservation in agroecosystems can be made.","DOI":"10.1016/j.biocon.2004.07.018","ISSN":"0006-3207","journalAbbreviation":"Biological Conservation","author":[{"family":"Hole","given":"D. G."},{"family":"Perkins","given":"A. J."},{"family":"Wilson","given":"J. D."},{"family":"Alexander","given":"I. H."},{"family":"Grice","given":"P. V."},{"family":"Evans","given":"A. D."}],"issued":{"date-parts":[["2005",3]]}}},{"id":597,"uris":["http://zotero.org/users/local/d1gJDEOw/items/9IC3RNVZ"],"uri":["http://zotero.org/users/local/d1gJDEOw/items/9IC3RNVZ"],"itemData":{"id":597,"type":"article-journal","title":"The effects of organic agriculture on biodiversity and abundance: a meta-analysis","container-title":"Journal of Applied Ecology","page":"261-269","volume":"42","issue":"2","source":"Wiley Online Library","abstract":"* 1The efficiency of agricultural subsidy programmes for preserving biodiversity and improving the environment has been questioned in recent years. Organic farming operates without pesticides, herbicides and inorganic fertilizers, and usually with a more diverse crop rotation. It has been suggested that this system enhances biodiversity in agricultural landscapes. We analysed the effects of organic farming on species richness and abundance using meta-analysis of literature published before December 2002.\n* 2Organic farming usually increases species richness, having on average 30% higher species richness than conventional farming systems. However, the results were variable among studies, and 16% of them actually showed a negative effect of organic farming on species richness. We therefore divided the data into different organism groups and according to the spatial scale of the study.\n* 3Birds, insects and plants usually showed an increased species richness in organic farming systems. However, the number of studies was low in most organism groups (range 2–19) and there was significant heterogeneity between studies. The effect of organic farming was largest in studies performed at the plot scale. In studies at the farm scale, when organic and conventional farms were matched according to landscape structure, the effect was significant but highly heterogeneous.\n* 4On average, organisms were 50% more abundant in organic farming systems, but the results were highly variable between studies and organism groups. Birds, predatory insects, soil organisms and plants responded positively to organic farming, while non-predatory insects and pests did not. The positive effects of organic farming on abundance were prominent at the plot and field scales, but not for farms in matched landscapes.\n* 5Synthesis and applications. Our results show that organic farming often has positive effects on species richness and abundance, but that its effects are likely to differ between organism groups and landscapes. We suggest that positive effects of organic farming on species richness can be expected in intensively managed agricultural landscapes, but not in small-scale landscapes comprising many other biotopes as well as agricultural fields. Measures to preserve and enhance biodiversity should be more landscape- and farm-specific than is presently the case.","DOI":"10.1111/j.1365-2664.2005.01005.x","ISSN":"1365-2664","shortTitle":"The effects of organic agriculture on biodiversity and abundance","language":"en","author":[{"family":"Bengtsson","given":"Janne"},{"family":"Ahnström","given":"Johan"},{"family":"Weibull","given":"Ann-Christin"}],"issued":{"date-parts":[["2005",4,1]]}}},{"id":558,"uris":["http://zotero.org/users/local/d1gJDEOw/items/CQJB9ABN"],"uri":["http://zotero.org/users/local/d1gJDEOw/items/CQJB9ABN"],"itemData":{"id":558,"type":"article-journal","title":"Land-use intensity and the effects of organic farming on biodiversity: a hierarchical meta-analysis","container-title":"Journal of Applied Ecology","page":"746-755","volume":"51","issue":"3","source":"Wiley Online Library","abstract":"* The benefits of organic farming to biodiversity in agricultural landscapes continue to be hotly debated, emphasizing the importance of precisely quantifying the effect of organic vs. conventional farming.\n\n\n* We conducted an updated hierarchical meta-analysis of studies that compared biodiversity under organic and conventional farming methods, measured as species richness. We calculated effect sizes for 184 observations garnered from 94 studies, and for each study, we obtained three standardized measures reflecting land-use intensity. We investigated the stability of effect sizes through time, publication bias due to the ‘file drawer’ problem, and consider whether the current literature is representative of global organic farming patterns.\n\n\n* On average, organic farming increased species richness by about 30%. This result has been robust over the last 30 years of published studies and shows no sign of diminishing.\n\n\n* Organic farming had a greater effect on biodiversity as the percentage of the landscape consisting of arable fields increased, that is, it is higher in intensively farmed regions. The average effect size and the response to agricultural intensification depend on taxonomic group, functional group and crop type.\n\n\n* There is some evidence for publication bias in the literature; however, our results are robust to its impact. Current studies are heavily biased towards northern and western Europe and North America, while other regions with large areas of organic farming remain poorly investigated.\n\n\n* Synthesis and applications. Our analysis affirms that organic farming has large positive effects on biodiversity compared with conventional farming, but that the effect size varies with the organism group and crop studied, and is greater in landscapes with higher land-use intensity. Decisions about where to site organic farms to maximize biodiversity will, however, depend on the costs as well as the potential benefits. Current studies have been heavily biased towards agricultural systems in the developed world. We recommend that future studies pay greater attention to other regions, in particular, areas with tropical, subtropical and Mediterranean climates, in which very few studies have been conducted.","DOI":"10.1111/1365-2664.12219","ISSN":"1365-2664","shortTitle":"Land-use intensity and the effects of organic farming on biodiversity","journalAbbreviation":"J Appl Ecol","language":"en","author":[{"family":"Tuck","given":"Sean L."},{"family":"Winqvist","given":"Camilla"},{"family":"Mota","given":"Flávia"},{"family":"Ahnström","given":"Johan"},{"family":"Turnbull","given":"Lindsay A."},{"family":"Bengtsson","given":"Janne"}],"issued":{"date-parts":[["2014",6,1]]}}}],"schema":"https://github.com/citation-style-language/schema/raw/master/csl-citation.json"} </w:instrText>
      </w:r>
      <w:r>
        <w:fldChar w:fldCharType="separate"/>
      </w:r>
      <w:r w:rsidR="0054501B" w:rsidRPr="0054501B">
        <w:rPr>
          <w:rFonts w:cs="Times New Roman"/>
          <w:szCs w:val="24"/>
        </w:rPr>
        <w:t>(</w:t>
      </w:r>
      <w:proofErr w:type="spellStart"/>
      <w:r w:rsidR="0054501B" w:rsidRPr="0054501B">
        <w:rPr>
          <w:rFonts w:cs="Times New Roman"/>
          <w:szCs w:val="24"/>
        </w:rPr>
        <w:t>Mader</w:t>
      </w:r>
      <w:proofErr w:type="spellEnd"/>
      <w:r w:rsidR="0054501B" w:rsidRPr="0054501B">
        <w:rPr>
          <w:rFonts w:cs="Times New Roman"/>
          <w:szCs w:val="24"/>
        </w:rPr>
        <w:t xml:space="preserve"> </w:t>
      </w:r>
      <w:r w:rsidR="0054501B" w:rsidRPr="0054501B">
        <w:rPr>
          <w:rFonts w:cs="Times New Roman"/>
          <w:i/>
          <w:iCs/>
          <w:szCs w:val="24"/>
        </w:rPr>
        <w:t>et al.</w:t>
      </w:r>
      <w:r w:rsidR="0054501B" w:rsidRPr="0054501B">
        <w:rPr>
          <w:rFonts w:cs="Times New Roman"/>
          <w:szCs w:val="24"/>
        </w:rPr>
        <w:t xml:space="preserve">, 2002; Hole </w:t>
      </w:r>
      <w:r w:rsidR="0054501B" w:rsidRPr="0054501B">
        <w:rPr>
          <w:rFonts w:cs="Times New Roman"/>
          <w:i/>
          <w:iCs/>
          <w:szCs w:val="24"/>
        </w:rPr>
        <w:t>et al.</w:t>
      </w:r>
      <w:r w:rsidR="0054501B" w:rsidRPr="0054501B">
        <w:rPr>
          <w:rFonts w:cs="Times New Roman"/>
          <w:szCs w:val="24"/>
        </w:rPr>
        <w:t xml:space="preserve">, 2005; </w:t>
      </w:r>
      <w:proofErr w:type="spellStart"/>
      <w:r w:rsidR="0054501B" w:rsidRPr="0054501B">
        <w:rPr>
          <w:rFonts w:cs="Times New Roman"/>
          <w:szCs w:val="24"/>
        </w:rPr>
        <w:t>Bengtsson</w:t>
      </w:r>
      <w:proofErr w:type="spellEnd"/>
      <w:r w:rsidR="0054501B" w:rsidRPr="0054501B">
        <w:rPr>
          <w:rFonts w:cs="Times New Roman"/>
          <w:szCs w:val="24"/>
        </w:rPr>
        <w:t xml:space="preserve"> </w:t>
      </w:r>
      <w:r w:rsidR="0054501B" w:rsidRPr="0054501B">
        <w:rPr>
          <w:rFonts w:cs="Times New Roman"/>
          <w:i/>
          <w:iCs/>
          <w:szCs w:val="24"/>
        </w:rPr>
        <w:t>et al.</w:t>
      </w:r>
      <w:r w:rsidR="0054501B" w:rsidRPr="0054501B">
        <w:rPr>
          <w:rFonts w:cs="Times New Roman"/>
          <w:szCs w:val="24"/>
        </w:rPr>
        <w:t xml:space="preserve">, 2005; Tuck </w:t>
      </w:r>
      <w:r w:rsidR="0054501B" w:rsidRPr="0054501B">
        <w:rPr>
          <w:rFonts w:cs="Times New Roman"/>
          <w:i/>
          <w:iCs/>
          <w:szCs w:val="24"/>
        </w:rPr>
        <w:t>et al.</w:t>
      </w:r>
      <w:r w:rsidR="0054501B" w:rsidRPr="0054501B">
        <w:rPr>
          <w:rFonts w:cs="Times New Roman"/>
          <w:szCs w:val="24"/>
        </w:rPr>
        <w:t>, 2014)</w:t>
      </w:r>
      <w:r>
        <w:fldChar w:fldCharType="end"/>
      </w:r>
      <w:r>
        <w:t xml:space="preserve">.  A recent meta-analysis of 94 studies comparing species </w:t>
      </w:r>
      <w:r>
        <w:lastRenderedPageBreak/>
        <w:t xml:space="preserve">richness of </w:t>
      </w:r>
      <w:r w:rsidR="00A67251">
        <w:t>conventional</w:t>
      </w:r>
      <w:r>
        <w:t xml:space="preserve"> with organic farming for a diverse range of taxa showed that organic farming practices on average increased species richness by circa 30% (Tuck et al., 2014). Organic farming practices have been generally considered as more favourable for AMF </w:t>
      </w:r>
      <w:r>
        <w:fldChar w:fldCharType="begin"/>
      </w:r>
      <w:r w:rsidR="00954B3D">
        <w:instrText xml:space="preserve"> ADDIN ZOTERO_ITEM CSL_CITATION {"citationID":"2q0g7rrvdj","properties":{"formattedCitation":"{\\rtf (Gosling {\\i{}et al.}, 2006)}","plainCitation":"(Gosling et al., 2006)"},"citationItems":[{"id":456,"uris":["http://zotero.org/users/local/d1gJDEOw/items/NJQG6MI8"],"uri":["http://zotero.org/users/local/d1gJDEOw/items/NJQG6MI8"],"itemData":{"id":456,"type":"article-journal","title":"Arbuscular mycorrhizal fungi and organic farming","container-title":"Agriculture, Ecosystems &amp; Environment","page":"17-35","volume":"113","issue":"1–4","source":"ScienceDirect","abstract":"Symbiotic associations between arbuscular mycorrhizal fungi and plant roots are widespread in the natural environment and can provide a range of benefits to the host plant. These include improved nutrition, enhanced resistance to soil-borne pests and disease, improved resistance to drought, tolerance of heavy metals and better soil structure. Many agricultural crops are mycorrhizal and there is widespread if equivocal evidence that crop plants benefit from the arbuscular mycorrhizal (AM) association in the same way. However, many agricultural practices including use of fertilisers and biocides, tillage, monocultures and the growing of non-mycorrhizal crops are detrimental to arbuscular mycorrhizal fungi (AMF). As a result, agroecosystems are impoverished in AMF and may not provide the full range of benefits to the crop. Organic farming systems may be less detrimental to AMF because they exclude the use of water-soluble fertilisers and most biocides and generally have diverse rotations. The evidence available suggests that this leads to increased AMF inoculum in soils, greater crop colonisation and enhanced nutrient uptake. AMF might therefore be able to substitute for reduced fertiliser and biocide inputs in organic systems, though there is little evidence for increased yield resulting from high rates of AMF colonisation in organic systems. This review examines the benefits that the AM association can have for agroecosystems and how farm management practices influence the AM association. Management options that may be employed to increase the benefits that AMF can bring to this type of farming system, such as changes to the rotation and careful use of tillage, are discussed.","DOI":"10.1016/j.agee.2005.09.009","ISSN":"0167-8809","journalAbbreviation":"Agriculture, Ecosystems &amp; Environment","author":[{"family":"Gosling","given":"P."},{"family":"Hodge","given":"A."},{"family":"Goodlass","given":"G."},{"family":"Bending","given":"G. D."}],"issued":{"date-parts":[["2006",4]]}}}],"schema":"https://github.com/citation-style-language/schema/raw/master/csl-citation.json"} </w:instrText>
      </w:r>
      <w:r>
        <w:fldChar w:fldCharType="separate"/>
      </w:r>
      <w:r w:rsidR="00954B3D" w:rsidRPr="00954B3D">
        <w:rPr>
          <w:rFonts w:cs="Times New Roman"/>
          <w:szCs w:val="24"/>
        </w:rPr>
        <w:t xml:space="preserve">(Gosling </w:t>
      </w:r>
      <w:r w:rsidR="00954B3D" w:rsidRPr="00954B3D">
        <w:rPr>
          <w:rFonts w:cs="Times New Roman"/>
          <w:i/>
          <w:iCs/>
          <w:szCs w:val="24"/>
        </w:rPr>
        <w:t>et al.</w:t>
      </w:r>
      <w:r w:rsidR="00954B3D" w:rsidRPr="00954B3D">
        <w:rPr>
          <w:rFonts w:cs="Times New Roman"/>
          <w:szCs w:val="24"/>
        </w:rPr>
        <w:t>, 2006)</w:t>
      </w:r>
      <w:r>
        <w:fldChar w:fldCharType="end"/>
      </w:r>
      <w:r>
        <w:t xml:space="preserve"> however many of the studies </w:t>
      </w:r>
      <w:r w:rsidRPr="00AB6E4A">
        <w:t xml:space="preserve">comparing organic versus conventional practices upon AMF have been based on arable fields </w:t>
      </w:r>
      <w:r w:rsidRPr="00AB6E4A">
        <w:fldChar w:fldCharType="begin"/>
      </w:r>
      <w:r w:rsidR="00954B3D">
        <w:instrText xml:space="preserve"> ADDIN ZOTERO_ITEM CSL_CITATION {"citationID":"UIGejAtl","properties":{"formattedCitation":"{\\rtf (Oehl {\\i{}et al.}, 2004; Verbruggen {\\i{}et al.}, 2010, 2012; S\\uc0\\u228{}le {\\i{}et al.}, 2015)}","plainCitation":"(Oehl et al., 2004; Verbruggen et al., 2010, 2012; Säle et al., 2015)"},"citationItems":[{"id":422,"uris":["http://zotero.org/users/local/d1gJDEOw/items/8ZSVHGWW"],"uri":["http://zotero.org/users/local/d1gJDEOw/items/8ZSVHGWW"],"itemData":{"id":422,"type":"article-journal","title":"Impact of long-term conventional and organic farming on the diversity of arbuscular mycorrhizal fungi","container-title":"Oecologia","page":"574-583","volume":"138","issue":"4","source":"CrossRef","DOI":"10.1007/s00442-003-1458-2","ISSN":"0029-8549, 1432-1939","author":[{"family":"Oehl","given":"Fritz"},{"family":"Sieverding","given":"Ewald"},{"family":"M</w:instrText>
      </w:r>
      <w:r w:rsidR="00954B3D">
        <w:rPr>
          <w:rFonts w:ascii="Tahoma" w:hAnsi="Tahoma" w:cs="Tahoma"/>
        </w:rPr>
        <w:instrText>�</w:instrText>
      </w:r>
      <w:r w:rsidR="00954B3D">
        <w:instrText xml:space="preserve">der","given":"Paul"},{"family":"Dubois","given":"David"},{"family":"Ineichen","given":"Kurt"},{"family":"Boller","given":"Thomas"},{"family":"Wiemken","given":"Andres"}],"issued":{"date-parts":[["2004",3,1]]}}},{"id":423,"uris":["http://zotero.org/users/local/d1gJDEOw/items/3ZDFKIAP"],"uri":["http://zotero.org/users/local/d1gJDEOw/items/3ZDFKIAP"],"itemData":{"id":423,"type":"article-journal","title":"Positive effects of organic farming on below-ground mutualists: large-scale comparison of mycorrhizal fungal communities in agricultural soils","container-title":"The New Phytologist","page":"968-979","volume":"186","issue":"4","source":"PubMed","abstract":"*The impact of various agricultural practices on soil biodiversity and, in particular, on arbuscular mycorrhizal fungi (AMF), is still poorly understood, although AMF can provide benefit to plants and ecosystems. Here, we tested whether organic farming enhances AMF diversity and whether AMF communities from organically managed fields are more similar to those of species-rich grasslands or conventionally managed fields. *To address this issue, the AMF community composition was assessed in 26 arable fields (13 pairs of organically and conventionally managed fields) and five semi-natural grasslands, all on sandy soil. Terminal restriction fragment length polymorphism community fingerprinting was used to characterize AMF community composition. *The average number of AMF taxa was highest in grasslands (8.8), intermediate in organically managed fields (6.4) and significantly lower in conventionally managed fields (3.9). Moreover, AMF richness increased significantly with the time since conversion to organic agriculture. AMF communities of organically managed fields were also more similar to those of natural grasslands when compared with those under conventional management, and were less uniform than their conventional counterparts, as expressed by higher beta-diversity (between-site diversity). *We suggest that organic management in agro-ecosystems contributes to the restoration and maintenance of these important below-ground mutualists.","DOI":"10.1111/j.1469-8137.2010.03230.x","ISSN":"1469-8137","note":"PMID: 20345633","shortTitle":"Positive effects of organic farming on below-ground mutualists","journalAbbreviation":"New Phytol.","language":"eng","author":[{"family":"Verbruggen","given":"Erik"},{"family":"Röling","given":"Wilfred F. M."},{"family":"Gamper","given":"Hannes A."},{"family":"Kowalchuk","given":"George A."},{"family":"Verhoef","given":"Herman A."},{"family":"Heijden","given":"Marcel G. A.","non-dropping-particle":"van der"}],"issued":{"date-parts":[["2010",6]]}}},{"id":478,"uris":["http://zotero.org/users/local/d1gJDEOw/items/V4SQHD2X"],"uri":["http://zotero.org/users/local/d1gJDEOw/items/V4SQHD2X"],"itemData":{"id":478,"type":"article-journal","title":"Community assembly, species richness and nestedness of arbuscular mycorrhizal fungi in agricultural soils","container-title":"Molecular Ecology","page":"2341-2353","volume":"21","issue":"10","source":"Wiley Online Library","abstract":"Understanding how communities assemble is a central goal of ecology. This is particularly relevant for communities of arbuscular mycorrhizal fungi (AMF), because the community composition of these beneficial plant symbionts influences important ecosystem processes. Moreover, AMF may be used as sensitive indicators of ecological soil quality if they respond to environmental variation in a predictable way. Here, we use a molecular profiling technique (T-RFLP of 25S rRNA gene fragments) to test which factors determine AM fungal community composition in 40 agricultural soils in the Netherlands. In particular, we test whether species richness, dominance structure and community nestedness are influenced by management type (in pairs of organically and conventionally farmed fields), and we examine the contribution of crop species (maize vs. potato), soil type (sand vs. clay-textured soils) and habitat (plant root vs. bulk soil) on AMF community characteristics. AMF richness varied from 1 to 11 taxa per field. Communities from species-poor fields were found to be subsets of those in richer fields, indicating nestedness and a progressive ‘loss’ from the species pool. AMF taxa richness and occurrence in soil and plant roots were highly correlated, and richness was related to management intensity (phosphate availability and grass-cropping history together explained 32% and 50% of richness in roots and soils). Soil type together with soil chemical parameters explained only 17% of variance in AMF community structure. We synthesize these results by discussing the potential contribution of a ‘bottleneck effect’ on AMF communities through increased stochastic effects under environmental stress.","DOI":"10.1111/j.1365-294X.2012.05534.x","ISSN":"1365-294X","language":"en","author":[{"family":"Verbruggen","given":"Erik"},{"family":"Van Der HEIJDEN","given":"Marcel G. A."},{"family":"Weedon","given":"James T."},{"family":"Kowalchuk","given":"George A."},{"family":"Röling","given":"Wilfred F. M."}],"issued":{"date-parts":[["2012",5,1]]}}},{"id":494,"uris":["http://zotero.org/users/local/d1gJDEOw/items/BX83XX4E"],"uri":["http://zotero.org/users/local/d1gJDEOw/items/BX83XX4E"],"itemData":{"id":494,"type":"article-journal","title":"Impact of conservation tillage and organic farming on the diversity of arbuscular mycorrhizal fungi","container-title":"Soil Biology &amp; Biochemistry","page":"38-52","volume":"84","source":"Web of Science","abstract":"Communities of arbuscular mycorrhizal fungi (AMF) are strongly affected by land use intensity and soil type. The impact of tillage practices on AMF communities is still poorly understood, especially in organic farming systems. Our objective was to investigate the impact of soil cultivation on AMF communities in organically managed clay soils of a long-term field experiment located in the Sissle valley (Frick, Switzerland) where two different tillage (reduced and conventional mouldboard plough tillage) and two different types of fertilization (farmyard manure &amp; slurry, or slurry only) have been applied since 2002. In addition, a permanent grassland and two conventionally managed croplands situated in the neighborhood of the experiment were analyzed as controls. Four different soil depths were studied including top-soils (0-10 and 10-20 cm) of different cultivation regimes and undisturbed sub-soils (20-30 and 30-40 cm). The fungi were directly isolated from field soil samples, and additionally spores were periodically collected from long-term trap culture (microcosm) systems. In total, &gt;50,000 AMF spores were identified on the species level, and 53 AMF species were found, with 38 species in the permanent grassland, 33 each in the two reduced till organic farming systems, 28-33 in the regularly plowed organic farming systems, and 28-33 in the non-organic conventional farming systems. AMF spore density and species richness increased in the top-soils under reduced tillage as compared to the ploughed plots. In 10-20 cm also the Shannon-Weaver AMF diversity index was higher under reduced tillage than in the ploughed plots. Our study demonstrates that AMF communities in clay soils were affected by land use type, farming system, tillage as well as fertilization strategy and varying with soil depth. Several AMF indicator species especially for different land use types and tillage strategies were identified from the large data set. (C) 2015 Elsevier Ltd. All rights reserved.","DOI":"10.1016/j.soilbio.2015.02.005","ISSN":"0038-0717","note":"WOS:000353087600005","journalAbbreviation":"Soil Biol. Biochem.","language":"English","author":[{"family":"Säle","given":"Verena"},{"family":"Aguilera","given":"Paula"},{"family":"Laczko","given":"Endre"},{"family":"Maeder","given":"Paul"},{"family":"Berner","given":"Alfred"},{"family":"Zihlmann","given":"Urs"},{"family":"Heijden","given":"Marcel G. A.","non-dropping-particle":"van der"},{"family":"Oehl","given":"Fritz"}],"issued":{"date-parts":[["2015",5]]}}}],"schema":"https://github.com/citation-style-language/schema/raw/master/csl-citation.json"} </w:instrText>
      </w:r>
      <w:r w:rsidRPr="00AB6E4A">
        <w:fldChar w:fldCharType="separate"/>
      </w:r>
      <w:r w:rsidR="00954B3D" w:rsidRPr="00954B3D">
        <w:rPr>
          <w:rFonts w:cs="Times New Roman"/>
          <w:szCs w:val="24"/>
        </w:rPr>
        <w:t>(</w:t>
      </w:r>
      <w:proofErr w:type="spellStart"/>
      <w:r w:rsidR="00954B3D" w:rsidRPr="00954B3D">
        <w:rPr>
          <w:rFonts w:cs="Times New Roman"/>
          <w:szCs w:val="24"/>
        </w:rPr>
        <w:t>Oehl</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2004; </w:t>
      </w:r>
      <w:proofErr w:type="spellStart"/>
      <w:r w:rsidR="00954B3D" w:rsidRPr="00954B3D">
        <w:rPr>
          <w:rFonts w:cs="Times New Roman"/>
          <w:szCs w:val="24"/>
        </w:rPr>
        <w:t>Verbruggen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2010, 2012; </w:t>
      </w:r>
      <w:proofErr w:type="spellStart"/>
      <w:r w:rsidR="00954B3D" w:rsidRPr="00954B3D">
        <w:rPr>
          <w:rFonts w:cs="Times New Roman"/>
          <w:szCs w:val="24"/>
        </w:rPr>
        <w:t>Säle</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2015)</w:t>
      </w:r>
      <w:r w:rsidRPr="00AB6E4A">
        <w:fldChar w:fldCharType="end"/>
      </w:r>
      <w:r w:rsidRPr="00AB6E4A">
        <w:t xml:space="preserve"> which are heavily disturbed systems.  For example</w:t>
      </w:r>
      <w:r>
        <w:t>,</w:t>
      </w:r>
      <w:r w:rsidRPr="00AB6E4A">
        <w:t xml:space="preserve"> in a study of AMF communities colonising crops in 26 arable field using TRFLP, </w:t>
      </w:r>
      <w:proofErr w:type="spellStart"/>
      <w:r w:rsidRPr="00AB6E4A">
        <w:t>Verbruggen</w:t>
      </w:r>
      <w:proofErr w:type="spellEnd"/>
      <w:r w:rsidRPr="00AB6E4A">
        <w:t xml:space="preserve"> </w:t>
      </w:r>
      <w:r w:rsidRPr="00AB6E4A">
        <w:rPr>
          <w:i/>
        </w:rPr>
        <w:t>et al</w:t>
      </w:r>
      <w:r w:rsidRPr="00AB6E4A">
        <w:t xml:space="preserve">., </w:t>
      </w:r>
      <w:r w:rsidR="003B55DF">
        <w:t>(</w:t>
      </w:r>
      <w:r w:rsidRPr="00AB6E4A">
        <w:t>2010</w:t>
      </w:r>
      <w:r w:rsidR="003B55DF">
        <w:t>)</w:t>
      </w:r>
      <w:r w:rsidRPr="00AB6E4A">
        <w:t xml:space="preserve"> found conventional arable fields to host on average 3.9 AMF taxa compared to 6.4 taxa in organic fields,</w:t>
      </w:r>
      <w:r>
        <w:t xml:space="preserve">. Given the importance of disturbance for shaping AMF communities </w:t>
      </w:r>
      <w:r>
        <w:rPr>
          <w:highlight w:val="yellow"/>
        </w:rPr>
        <w:fldChar w:fldCharType="begin"/>
      </w:r>
      <w:r w:rsidR="00954B3D">
        <w:rPr>
          <w:highlight w:val="yellow"/>
        </w:rPr>
        <w:instrText xml:space="preserve"> ADDIN ZOTERO_ITEM CSL_CITATION {"citationID":"15b4ga6d9s","properties":{"formattedCitation":"{\\rtf (Schnoor {\\i{}et al.}, 2011)}","plainCitation":"(Schnoor et al., 2011)"},"citationItems":[{"id":414,"uris":["http://zotero.org/users/local/d1gJDEOw/items/JE82XRFW"],"uri":["http://zotero.org/users/local/d1gJDEOw/items/JE82XRFW"],"itemData":{"id":414,"type":"article-journal","title":"Mechanical soil disturbance as a determinant of arbuscular mycorrhizal fungal communities in semi-natural grassland","container-title":"Mycorrhiza","page":"211-220","volume":"21","issue":"3","source":"CrossRef","DOI":"10.1007/s00572-010-0325-3","ISSN":"0940-6360, 1432-1890","language":"en","author":[{"family":"Schnoor","given":"Tim Krone"},{"family":"Lekberg","given":"Ylva"},{"family":"Rosendahl","given":"Søren"},{"family":"Olsson","given":"Pål Axel"}],"issued":{"date-parts":[["2011",4]]}}}],"schema":"https://github.com/citation-style-language/schema/raw/master/csl-citation.json"} </w:instrText>
      </w:r>
      <w:r>
        <w:rPr>
          <w:highlight w:val="yellow"/>
        </w:rPr>
        <w:fldChar w:fldCharType="separate"/>
      </w:r>
      <w:r w:rsidR="00954B3D" w:rsidRPr="00954B3D">
        <w:rPr>
          <w:rFonts w:cs="Times New Roman"/>
          <w:szCs w:val="24"/>
        </w:rPr>
        <w:t>(</w:t>
      </w:r>
      <w:proofErr w:type="spellStart"/>
      <w:r w:rsidR="00954B3D" w:rsidRPr="00954B3D">
        <w:rPr>
          <w:rFonts w:cs="Times New Roman"/>
          <w:szCs w:val="24"/>
        </w:rPr>
        <w:t>Schnoor</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2011)</w:t>
      </w:r>
      <w:r>
        <w:rPr>
          <w:highlight w:val="yellow"/>
        </w:rPr>
        <w:fldChar w:fldCharType="end"/>
      </w:r>
      <w:r>
        <w:t>,</w:t>
      </w:r>
      <w:r w:rsidRPr="00AB6E4A">
        <w:t xml:space="preserve"> </w:t>
      </w:r>
      <w:r>
        <w:t xml:space="preserve">the comparatively low levels of disturbance in orchard systems may partly explain lack of differences in AMF communities of orchards under organic versus conventional management as reported by this study in comparison to those based on arable systems. </w:t>
      </w:r>
    </w:p>
    <w:p w:rsidR="00B46350" w:rsidRDefault="00B46350" w:rsidP="00B46350">
      <w:pPr>
        <w:pStyle w:val="Heading3"/>
      </w:pPr>
      <w:bookmarkStart w:id="367" w:name="_Toc469855052"/>
      <w:bookmarkStart w:id="368" w:name="_Toc469856052"/>
      <w:bookmarkStart w:id="369" w:name="_Toc469931961"/>
      <w:bookmarkStart w:id="370" w:name="_Toc469982282"/>
      <w:r>
        <w:t>AMF communities of orchard and woodland soils</w:t>
      </w:r>
      <w:bookmarkEnd w:id="367"/>
      <w:bookmarkEnd w:id="368"/>
      <w:bookmarkEnd w:id="369"/>
      <w:bookmarkEnd w:id="370"/>
    </w:p>
    <w:p w:rsidR="00B46350" w:rsidRDefault="00B46350" w:rsidP="00B46350">
      <w:r>
        <w:t xml:space="preserve">This study has shown that AMF communities (richness, Simpson’s diversity, taxa abundance and community composition) within soils of broadleaved woodland were similar to that of apple orchards. Fungi from the genera </w:t>
      </w:r>
      <w:proofErr w:type="spellStart"/>
      <w:r w:rsidRPr="00A22029">
        <w:rPr>
          <w:i/>
        </w:rPr>
        <w:t>Acaulospora</w:t>
      </w:r>
      <w:proofErr w:type="spellEnd"/>
      <w:r w:rsidRPr="00A22029">
        <w:rPr>
          <w:i/>
        </w:rPr>
        <w:t xml:space="preserve">, </w:t>
      </w:r>
      <w:proofErr w:type="spellStart"/>
      <w:r w:rsidRPr="00A22029">
        <w:rPr>
          <w:i/>
        </w:rPr>
        <w:t>Arc</w:t>
      </w:r>
      <w:r>
        <w:rPr>
          <w:i/>
        </w:rPr>
        <w:t>h</w:t>
      </w:r>
      <w:r w:rsidRPr="00A22029">
        <w:rPr>
          <w:i/>
        </w:rPr>
        <w:t>aeospora</w:t>
      </w:r>
      <w:proofErr w:type="spellEnd"/>
      <w:r w:rsidRPr="00A22029">
        <w:rPr>
          <w:i/>
        </w:rPr>
        <w:t xml:space="preserve">, </w:t>
      </w:r>
      <w:proofErr w:type="spellStart"/>
      <w:r w:rsidRPr="00A22029">
        <w:rPr>
          <w:i/>
        </w:rPr>
        <w:t>Claroideoglomus</w:t>
      </w:r>
      <w:proofErr w:type="spellEnd"/>
      <w:r>
        <w:rPr>
          <w:i/>
        </w:rPr>
        <w:t>, Glomus</w:t>
      </w:r>
      <w:r w:rsidRPr="00A22029">
        <w:rPr>
          <w:i/>
        </w:rPr>
        <w:t xml:space="preserve"> </w:t>
      </w:r>
      <w:r w:rsidRPr="00A22029">
        <w:t xml:space="preserve">and </w:t>
      </w:r>
      <w:proofErr w:type="spellStart"/>
      <w:r w:rsidRPr="00A22029">
        <w:rPr>
          <w:i/>
        </w:rPr>
        <w:t>Scute</w:t>
      </w:r>
      <w:r>
        <w:rPr>
          <w:i/>
        </w:rPr>
        <w:t>l</w:t>
      </w:r>
      <w:r w:rsidRPr="00A22029">
        <w:rPr>
          <w:i/>
        </w:rPr>
        <w:t>lospora</w:t>
      </w:r>
      <w:proofErr w:type="spellEnd"/>
      <w:r>
        <w:t xml:space="preserve"> were found in all orchard types and woodland.  Generally similarities were shown in taxa relative abundance between woodlands and orchards however a small number (6/79 OTUs) showed </w:t>
      </w:r>
      <w:r w:rsidR="001F13C0">
        <w:t xml:space="preserve">significant </w:t>
      </w:r>
      <w:r>
        <w:t>differences in rel</w:t>
      </w:r>
      <w:r w:rsidR="001F13C0">
        <w:t>ative abundance within woodland soils</w:t>
      </w:r>
      <w:r>
        <w:t xml:space="preserve"> compared to one or more orchard types. To our knowledge this is the first study to compare orchard AMF communities with that of woodlands and the similarity shown here between woodland and orchard habitats suggests that despite agricultural management of orchards systems a relatively natural AMF community is conserved. Similarity in AMF community richness and composition between native broadleaved woodlands and apple orchards shows that despite agricultural management of orchards, a relatively natural AMF community is conserved. In accord with the taxonomy of AMF found within woodlands by this study, AMF of the genera </w:t>
      </w:r>
      <w:proofErr w:type="spellStart"/>
      <w:r w:rsidRPr="00E379D4">
        <w:rPr>
          <w:i/>
        </w:rPr>
        <w:t>Acaulospora</w:t>
      </w:r>
      <w:proofErr w:type="spellEnd"/>
      <w:r>
        <w:t xml:space="preserve">, </w:t>
      </w:r>
      <w:r w:rsidRPr="00E379D4">
        <w:rPr>
          <w:i/>
        </w:rPr>
        <w:t xml:space="preserve">Glomus </w:t>
      </w:r>
      <w:r>
        <w:t xml:space="preserve">and </w:t>
      </w:r>
      <w:proofErr w:type="spellStart"/>
      <w:r w:rsidRPr="00E379D4">
        <w:rPr>
          <w:i/>
        </w:rPr>
        <w:t>Scutellospora</w:t>
      </w:r>
      <w:proofErr w:type="spellEnd"/>
      <w:r>
        <w:t xml:space="preserve"> have previously been identified  from the roots of three herbs (genera </w:t>
      </w:r>
      <w:proofErr w:type="spellStart"/>
      <w:r w:rsidRPr="00F22962">
        <w:rPr>
          <w:i/>
        </w:rPr>
        <w:t>Ajugar</w:t>
      </w:r>
      <w:proofErr w:type="spellEnd"/>
      <w:r w:rsidRPr="00F22962">
        <w:rPr>
          <w:i/>
        </w:rPr>
        <w:t xml:space="preserve">, </w:t>
      </w:r>
      <w:proofErr w:type="spellStart"/>
      <w:r w:rsidRPr="00F22962">
        <w:rPr>
          <w:i/>
        </w:rPr>
        <w:t>Hyacinthoides</w:t>
      </w:r>
      <w:proofErr w:type="spellEnd"/>
      <w:r>
        <w:t xml:space="preserve"> and </w:t>
      </w:r>
      <w:proofErr w:type="spellStart"/>
      <w:r w:rsidRPr="00F22962">
        <w:rPr>
          <w:i/>
        </w:rPr>
        <w:t>Epilobium</w:t>
      </w:r>
      <w:proofErr w:type="spellEnd"/>
      <w:r>
        <w:t xml:space="preserve">) growing within British oak and sycamore dominated broadleaved woodland </w:t>
      </w:r>
      <w:r>
        <w:fldChar w:fldCharType="begin"/>
      </w:r>
      <w:r w:rsidR="00954B3D">
        <w:instrText xml:space="preserve"> ADDIN ZOTERO_ITEM CSL_CITATION {"citationID":"h1k62pn8v","properties":{"formattedCitation":"{\\rtf (Helgason {\\i{}et al.}, 1998)}","plainCitation":"(Helgason et al., 1998)"},"citationItems":[{"id":156,"uris":["http://zotero.org/users/local/d1gJDEOw/items/9I8TGD8S"],"uri":["http://zotero.org/users/local/d1gJDEOw/items/9I8TGD8S"],"itemData":{"id":156,"type":"article-journal","title":"Ploughing up the wood-wide web?","container-title":"Nature","page":"431-431","volume":"394","issue":"6692","source":"www.nature.com","abstract":"Key species groups that affect major ecological processes are vital components of community diversity. Many such key groups are found in the soil, including the mycorrhizal fungi that may connect plants into a functional \"wood-wide web\". Arbuscular mycorrhizal associations are formed by fungi of the order Glomales with 90% of land plant families, and many arbuscular mycorrhizal fungi are thought to have a broad host range. Here we show that, despite this broad host range, the diversity of arbuscular mycorrhizal fungi is strikingly low in arable sites compared with a woodland.","DOI":"10.1038/28764","ISSN":"0028-0836","journalAbbreviation":"Nature","language":"en","author":[{"family":"Helgason","given":"T."},{"family":"Daniell","given":"T. J."},{"family":"Husband","given":"R."},{"family":"Fitter","given":"A. H."},{"family":"Young","given":"J. P. W."}],"issued":{"date-parts":[["1998",7,30]]}}}],"schema":"https://github.com/citation-style-language/schema/raw/master/csl-citation.json"}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Helgason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1998)</w:t>
      </w:r>
      <w:r>
        <w:fldChar w:fldCharType="end"/>
      </w:r>
      <w:r>
        <w:t>.</w:t>
      </w:r>
    </w:p>
    <w:p w:rsidR="00B46350" w:rsidRDefault="00B46350" w:rsidP="00B46350">
      <w:r>
        <w:t xml:space="preserve">Of all orchard types, organic orchards showed the greatest similarity in community composition to woodlands with differences in relative abundance only observed for three </w:t>
      </w:r>
      <w:r w:rsidRPr="0083183A">
        <w:rPr>
          <w:i/>
        </w:rPr>
        <w:t>Glomus</w:t>
      </w:r>
      <w:r>
        <w:t xml:space="preserve"> AMF types out of the 79 AMF types found in both woodland and organic. In comparison, conventional bush and conventional standard orchards both differed in the relative abundance of 6/79 AMF types in comparison to woodland showing that although differences in community composition between orchards and woodland was minor, conventional management resulted in greater dissimilarity. </w:t>
      </w:r>
    </w:p>
    <w:p w:rsidR="00B46350" w:rsidRDefault="00EB1BB7" w:rsidP="00B46350">
      <w:pPr>
        <w:pStyle w:val="Heading3"/>
      </w:pPr>
      <w:bookmarkStart w:id="371" w:name="_Toc469855053"/>
      <w:bookmarkStart w:id="372" w:name="_Toc469856053"/>
      <w:bookmarkStart w:id="373" w:name="_Toc469931962"/>
      <w:bookmarkStart w:id="374" w:name="_Toc469982283"/>
      <w:r>
        <w:lastRenderedPageBreak/>
        <w:t>Contrast between a</w:t>
      </w:r>
      <w:r w:rsidR="00B46350">
        <w:t xml:space="preserve">rable AMF communities </w:t>
      </w:r>
      <w:r>
        <w:t xml:space="preserve">compared to those </w:t>
      </w:r>
      <w:r w:rsidR="00B46350">
        <w:t>of orchard and woodland soils</w:t>
      </w:r>
      <w:bookmarkEnd w:id="371"/>
      <w:bookmarkEnd w:id="372"/>
      <w:bookmarkEnd w:id="373"/>
      <w:bookmarkEnd w:id="374"/>
    </w:p>
    <w:p w:rsidR="00B46350" w:rsidRDefault="00B46350" w:rsidP="00B46350">
      <w:r>
        <w:t xml:space="preserve">This study shows clear contrasts between AMF within arable soils to those of orchards. Arable fields showed both reduced AMF species richness and Sampson’s diversity and significant differences in community composition and taxa abundance in comparison to orchards and woodland soils. The levels of AMF diversity within winter wheat and barley fields reported by this study ranged from 19 to 35 AMF types per field and is similar to the 18 to 21 AMF types found in arable field soils by </w:t>
      </w:r>
      <w:proofErr w:type="spellStart"/>
      <w:r>
        <w:t>Moora</w:t>
      </w:r>
      <w:proofErr w:type="spellEnd"/>
      <w:r>
        <w:t xml:space="preserve"> </w:t>
      </w:r>
      <w:r w:rsidRPr="00364217">
        <w:rPr>
          <w:i/>
        </w:rPr>
        <w:t>et al.,</w:t>
      </w:r>
      <w:r>
        <w:t xml:space="preserve"> </w:t>
      </w:r>
      <w:r w:rsidR="003B55DF">
        <w:t>(</w:t>
      </w:r>
      <w:r>
        <w:t>2014</w:t>
      </w:r>
      <w:r w:rsidR="003B55DF">
        <w:t>)</w:t>
      </w:r>
      <w:r>
        <w:t xml:space="preserve"> (using soil DNA extraction) and the 28 to 33 AMF types reported in conventionally managed winter wheat fields by </w:t>
      </w:r>
      <w:proofErr w:type="spellStart"/>
      <w:r>
        <w:t>S</w:t>
      </w:r>
      <w:r w:rsidRPr="00801372">
        <w:rPr>
          <w:rFonts w:cs="Times New Roman"/>
          <w:szCs w:val="24"/>
        </w:rPr>
        <w:t>ä</w:t>
      </w:r>
      <w:r>
        <w:t>le</w:t>
      </w:r>
      <w:proofErr w:type="spellEnd"/>
      <w:r>
        <w:t xml:space="preserve"> </w:t>
      </w:r>
      <w:r w:rsidRPr="00364217">
        <w:rPr>
          <w:i/>
        </w:rPr>
        <w:t>et al</w:t>
      </w:r>
      <w:r>
        <w:t xml:space="preserve">., 2015 (spores from field samples and trap cultures). Reduction in diversity and evenness of AMF within arable habitats in comparison to less managed ecosystems has been previously reported by  studies using both molecular </w:t>
      </w:r>
      <w:r>
        <w:fldChar w:fldCharType="begin"/>
      </w:r>
      <w:r w:rsidR="00954B3D">
        <w:instrText xml:space="preserve"> ADDIN ZOTERO_ITEM CSL_CITATION {"citationID":"etrkWUYh","properties":{"formattedCitation":"{\\rtf (Helgason {\\i{}et al.}, 1998; Moora {\\i{}et al.}, 2014)}","plainCitation":"(Helgason et al., 1998; Moora et al., 2014)"},"citationItems":[{"id":156,"uris":["http://zotero.org/users/local/d1gJDEOw/items/9I8TGD8S"],"uri":["http://zotero.org/users/local/d1gJDEOw/items/9I8TGD8S"],"itemData":{"id":156,"type":"article-journal","title":"Ploughing up the wood-wide web?","container-title":"Nature","page":"431-431","volume":"394","issue":"6692","source":"www.nature.com","abstract":"Key species groups that affect major ecological processes are vital components of community diversity. Many such key groups are found in the soil, including the mycorrhizal fungi that may connect plants into a functional \"wood-wide web\". Arbuscular mycorrhizal associations are formed by fungi of the order Glomales with 90% of land plant families, and many arbuscular mycorrhizal fungi are thought to have a broad host range. Here we show that, despite this broad host range, the diversity of arbuscular mycorrhizal fungi is strikingly low in arable sites compared with a woodland.","DOI":"10.1038/28764","ISSN":"0028-0836","journalAbbreviation":"Nature","language":"en","author":[{"family":"Helgason","given":"T."},{"family":"Daniell","given":"T. J."},{"family":"Husband","given":"R."},{"family":"Fitter","given":"A. H."},{"family":"Young","given":"J. P. W."}],"issued":{"date-parts":[["1998",7,30]]}}},{"id":402,"uris":["http://zotero.org/users/local/d1gJDEOw/items/WCZNZ7QF"],"uri":["http://zotero.org/users/local/d1gJDEOw/items/WCZNZ7QF"],"itemData":{"id":402,"type":"article-journal","title":"Anthropogenic land use shapes the composition and phylogenetic structure of soil arbuscular mycorrhizal fungal communities","container-title":"FEMS Microbiology Ecology","page":"609-621","volume":"90","issue":"3","source":"CrossRef","DOI":"10.1111/1574-6941.12420","ISSN":"01686496","language":"en","author":[{"family":"Moora","given":"Mari"},{"family":"Davison","given":"John"},{"family":"Öpik","given":"Maarja"},{"family":"Metsis","given":"Madis"},{"family":"Saks","given":"Ülle"},{"family":"Jairus","given":"Teele"},{"family":"Vasar","given":"Martti"},{"family":"Zobel","given":"Martin"}],"issued":{"date-parts":[["2014",12]]}}}],"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Helgason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1998; </w:t>
      </w:r>
      <w:proofErr w:type="spellStart"/>
      <w:r w:rsidR="00954B3D" w:rsidRPr="00954B3D">
        <w:rPr>
          <w:rFonts w:cs="Times New Roman"/>
          <w:szCs w:val="24"/>
        </w:rPr>
        <w:t>Moora</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2014)</w:t>
      </w:r>
      <w:r>
        <w:fldChar w:fldCharType="end"/>
      </w:r>
      <w:r>
        <w:t xml:space="preserve"> and spore based AMF identification methods </w:t>
      </w:r>
      <w:r>
        <w:fldChar w:fldCharType="begin"/>
      </w:r>
      <w:r w:rsidR="00954B3D">
        <w:instrText xml:space="preserve"> ADDIN ZOTERO_ITEM CSL_CITATION {"citationID":"IBApHhTZ","properties":{"formattedCitation":"{\\rtf (Oehl {\\i{}et al.}, 2003; S\\uc0\\u228{}le {\\i{}et al.}, 2015)}","plainCitation":"(Oehl et al., 2003; Säle et al., 2015)"},"citationItems":[{"id":505,"uris":["http://zotero.org/users/local/d1gJDEOw/items/KKUC84AI"],"uri":["http://zotero.org/users/local/d1gJDEOw/items/KKUC84AI"],"itemData":{"id":505,"type":"article-journal","title":"Impact of Land Use Intensity on the Species Diversity of Arbuscular Mycorrhizal Fungi in Agroecosystems of Central Europe","container-title":"Applied and Environmental Microbiology","page":"2816-2824","volume":"69","issue":"5","source":"PubMed Central","abstract":"The impact of land use intensity on the diversity of arbuscular mycorrhizal fungi (AMF) was investigated at eight sites in the “three-country corner” of France, Germany, and Switzerland. Three sites were low-input, species-rich grasslands. Two sites represented low- to moderate-input farming with a 7-year crop rotation, and three sites represented high-input continuous maize monocropping. Representative soil samples were taken, and the AMF spores present were morphologically identified and counted. The same soil samples also served as inocula for “AMF trap cultures” with Plantago lanceolata, Trifolium pratense, and Lolium perenne. These trap cultures were established in pots in a greenhouse, and AMF root colonization and spore formation were monitored over 8 months. For the field samples, the numbers of AMF spores and species were highest in the grasslands, lower in the low- and moderate-input arable lands, and lowest in the lands with intensive continuous maize monocropping. Some AMF species occurred at all sites (“generalists”); most of them were prevalent in the intensively managed arable lands. Many other species, particularly those forming sporocarps, appeared to be specialists for grasslands. Only a few species were specialized on the arable lands with crop rotation, and only one species was restricted to the high-input maize sites. In the trap culture experiment, the rate of root colonization by AMF was highest with inocula from the permanent grasslands and lowest with those from the high-input monocropping sites. In contrast, AMF spore formation was slowest with the former inocula and fastest with the latter inocula. In conclusion, the increased land use intensity was correlated with a decrease in AMF species richness and with a preferential selection of species that colonized roots slowly but formed spores rapidly.","DOI":"10.1128/AEM.69.5.2816-2824.2003","ISSN":"0099-2240","note":"PMID: 12732553\nPMCID: PMC154529","journalAbbreviation":"Appl Environ Microbiol","author":[{"family":"Oehl","given":"Fritz"},{"family":"Sieverding","given":"Ewald"},{"family":"Ineichen","given":"Kurt"},{"family":"Mäder","given":"Paul"},{"family":"Boller","given":"Thomas"},{"family":"Wiemken","given":"Andres"}],"issued":{"date-parts":[["2003",5]]}}},{"id":494,"uris":["http://zotero.org/users/local/d1gJDEOw/items/BX83XX4E"],"uri":["http://zotero.org/users/local/d1gJDEOw/items/BX83XX4E"],"itemData":{"id":494,"type":"article-journal","title":"Impact of conservation tillage and organic farming on the diversity of arbuscular mycorrhizal fungi","container-title":"Soil Biology &amp; Biochemistry","page":"38-52","volume":"84","source":"Web of Science","abstract":"Communities of arbuscular mycorrhizal fungi (AMF) are strongly affected by land use intensity and soil type. The impact of tillage practices on AMF communities is still poorly understood, especially in organic farming systems. Our objective was to investigate the impact of soil cultivation on AMF communities in organically managed clay soils of a long-term field experiment located in the Sissle valley (Frick, Switzerland) where two different tillage (reduced and conventional mouldboard plough tillage) and two different types of fertilization (farmyard manure &amp; slurry, or slurry only) have been applied since 2002. In addition, a permanent grassland and two conventionally managed croplands situated in the neighborhood of the experiment were analyzed as controls. Four different soil depths were studied including top-soils (0-10 and 10-20 cm) of different cultivation regimes and undisturbed sub-soils (20-30 and 30-40 cm). The fungi were directly isolated from field soil samples, and additionally spores were periodically collected from long-term trap culture (microcosm) systems. In total, &gt;50,000 AMF spores were identified on the species level, and 53 AMF species were found, with 38 species in the permanent grassland, 33 each in the two reduced till organic farming systems, 28-33 in the regularly plowed organic farming systems, and 28-33 in the non-organic conventional farming systems. AMF spore density and species richness increased in the top-soils under reduced tillage as compared to the ploughed plots. In 10-20 cm also the Shannon-Weaver AMF diversity index was higher under reduced tillage than in the ploughed plots. Our study demonstrates that AMF communities in clay soils were affected by land use type, farming system, tillage as well as fertilization strategy and varying with soil depth. Several AMF indicator species especially for different land use types and tillage strategies were identified from the large data set. (C) 2015 Elsevier Ltd. All rights reserved.","DOI":"10.1016/j.soilbio.2015.02.005","ISSN":"0038-0717","note":"WOS:000353087600005","journalAbbreviation":"Soil Biol. Biochem.","language":"English","author":[{"family":"Säle","given":"Verena"},{"family":"Aguilera","given":"Paula"},{"family":"Laczko","given":"Endre"},{"family":"Maeder","given":"Paul"},{"family":"Berner","given":"Alfred"},{"family":"Zihlmann","given":"Urs"},{"family":"Heijden","given":"Marcel G. A.","non-dropping-particle":"van der"},{"family":"Oehl","given":"Fritz"}],"issued":{"date-parts":[["2015",5]]}}}],"schema":"https://github.com/citation-style-language/schema/raw/master/csl-citation.json"}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Oehl</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2003; </w:t>
      </w:r>
      <w:proofErr w:type="spellStart"/>
      <w:r w:rsidR="00954B3D" w:rsidRPr="00954B3D">
        <w:rPr>
          <w:rFonts w:cs="Times New Roman"/>
          <w:szCs w:val="24"/>
        </w:rPr>
        <w:t>Säle</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2015)</w:t>
      </w:r>
      <w:r>
        <w:fldChar w:fldCharType="end"/>
      </w:r>
      <w:r>
        <w:t>.</w:t>
      </w:r>
    </w:p>
    <w:p w:rsidR="00B46350" w:rsidRPr="00ED5DD7" w:rsidRDefault="00B46350" w:rsidP="00B46350">
      <w:r>
        <w:t xml:space="preserve">It is likely that increased soil disturbance within the arable habitat is an important factor in explaining differences in the AMF communities of arable fields in comparison to orchards.  Sensitivity of AMF communities to soil disturbance has been previously reported by studies comparing ploughed arable land within undisturbed pasture </w:t>
      </w:r>
      <w:r>
        <w:fldChar w:fldCharType="begin"/>
      </w:r>
      <w:r w:rsidR="00954B3D">
        <w:instrText xml:space="preserve"> ADDIN ZOTERO_ITEM CSL_CITATION {"citationID":"P6A96iPW","properties":{"formattedCitation":"{\\rtf (Oehl {\\i{}et al.}, 2003; Verbruggen {\\i{}et al.}, 2010)}","plainCitation":"(Oehl et al., 2003; Verbruggen et al., 2010)"},"citationItems":[{"id":505,"uris":["http://zotero.org/users/local/d1gJDEOw/items/KKUC84AI"],"uri":["http://zotero.org/users/local/d1gJDEOw/items/KKUC84AI"],"itemData":{"id":505,"type":"article-journal","title":"Impact of Land Use Intensity on the Species Diversity of Arbuscular Mycorrhizal Fungi in Agroecosystems of Central Europe","container-title":"Applied and Environmental Microbiology","page":"2816-2824","volume":"69","issue":"5","source":"PubMed Central","abstract":"The impact of land use intensity on the diversity of arbuscular mycorrhizal fungi (AMF) was investigated at eight sites in the “three-country corner” of France, Germany, and Switzerland. Three sites were low-input, species-rich grasslands. Two sites represented low- to moderate-input farming with a 7-year crop rotation, and three sites represented high-input continuous maize monocropping. Representative soil samples were taken, and the AMF spores present were morphologically identified and counted. The same soil samples also served as inocula for “AMF trap cultures” with Plantago lanceolata, Trifolium pratense, and Lolium perenne. These trap cultures were established in pots in a greenhouse, and AMF root colonization and spore formation were monitored over 8 months. For the field samples, the numbers of AMF spores and species were highest in the grasslands, lower in the low- and moderate-input arable lands, and lowest in the lands with intensive continuous maize monocropping. Some AMF species occurred at all sites (“generalists”); most of them were prevalent in the intensively managed arable lands. Many other species, particularly those forming sporocarps, appeared to be specialists for grasslands. Only a few species were specialized on the arable lands with crop rotation, and only one species was restricted to the high-input maize sites. In the trap culture experiment, the rate of root colonization by AMF was highest with inocula from the permanent grasslands and lowest with those from the high-input monocropping sites. In contrast, AMF spore formation was slowest with the former inocula and fastest with the latter inocula. In conclusion, the increased land use intensity was correlated with a decrease in AMF species richness and with a preferential selection of species that colonized roots slowly but formed spores rapidly.","DOI":"10.1128/AEM.69.5.2816-2824.2003","ISSN":"0099-2240","note":"PMID: 12732553\nPMCID: PMC154529","journalAbbreviation":"Appl Environ Microbiol","author":[{"family":"Oehl","given":"Fritz"},{"family":"Sieverding","given":"Ewald"},{"family":"Ineichen","given":"Kurt"},{"family":"Mäder","given":"Paul"},{"family":"Boller","given":"Thomas"},{"family":"Wiemken","given":"Andres"}],"issued":{"date-parts":[["2003",5]]}}},{"id":423,"uris":["http://zotero.org/users/local/d1gJDEOw/items/3ZDFKIAP"],"uri":["http://zotero.org/users/local/d1gJDEOw/items/3ZDFKIAP"],"itemData":{"id":423,"type":"article-journal","title":"Positive effects of organic farming on below-ground mutualists: large-scale comparison of mycorrhizal fungal communities in agricultural soils","container-title":"The New Phytologist","page":"968-979","volume":"186","issue":"4","source":"PubMed","abstract":"*The impact of various agricultural practices on soil biodiversity and, in particular, on arbuscular mycorrhizal fungi (AMF), is still poorly understood, although AMF can provide benefit to plants and ecosystems. Here, we tested whether organic farming enhances AMF diversity and whether AMF communities from organically managed fields are more similar to those of species-rich grasslands or conventionally managed fields. *To address this issue, the AMF community composition was assessed in 26 arable fields (13 pairs of organically and conventionally managed fields) and five semi-natural grasslands, all on sandy soil. Terminal restriction fragment length polymorphism community fingerprinting was used to characterize AMF community composition. *The average number of AMF taxa was highest in grasslands (8.8), intermediate in organically managed fields (6.4) and significantly lower in conventionally managed fields (3.9). Moreover, AMF richness increased significantly with the time since conversion to organic agriculture. AMF communities of organically managed fields were also more similar to those of natural grasslands when compared with those under conventional management, and were less uniform than their conventional counterparts, as expressed by higher beta-diversity (between-site diversity). *We suggest that organic management in agro-ecosystems contributes to the restoration and maintenance of these important below-ground mutualists.","DOI":"10.1111/j.1469-8137.2010.03230.x","ISSN":"1469-8137","note":"PMID: 20345633","shortTitle":"Positive effects of organic farming on below-ground mutualists","journalAbbreviation":"New Phytol.","language":"eng","author":[{"family":"Verbruggen","given":"Erik"},{"family":"Röling","given":"Wilfred F. M."},{"family":"Gamper","given":"Hannes A."},{"family":"Kowalchuk","given":"George A."},{"family":"Verhoef","given":"Herman A."},{"family":"Heijden","given":"Marcel G. A.","non-dropping-particle":"van der"}],"issued":{"date-parts":[["2010",6]]}}}],"schema":"https://github.com/citation-style-language/schema/raw/master/csl-citation.json"}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Oehl</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2003; </w:t>
      </w:r>
      <w:proofErr w:type="spellStart"/>
      <w:r w:rsidR="00954B3D" w:rsidRPr="00954B3D">
        <w:rPr>
          <w:rFonts w:cs="Times New Roman"/>
          <w:szCs w:val="24"/>
        </w:rPr>
        <w:t>Verbruggen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2010)</w:t>
      </w:r>
      <w:r>
        <w:fldChar w:fldCharType="end"/>
      </w:r>
      <w:r>
        <w:t xml:space="preserve"> and those which compare high and low disturbance levels through different arable tillage regimes </w:t>
      </w:r>
      <w:r>
        <w:rPr>
          <w:rFonts w:cs="Times New Roman"/>
          <w:szCs w:val="24"/>
        </w:rPr>
        <w:fldChar w:fldCharType="begin"/>
      </w:r>
      <w:r w:rsidR="00954B3D">
        <w:rPr>
          <w:rFonts w:cs="Times New Roman"/>
          <w:szCs w:val="24"/>
        </w:rPr>
        <w:instrText xml:space="preserve"> ADDIN ZOTERO_ITEM CSL_CITATION {"citationID":"JdVkhRRk","properties":{"formattedCitation":"{\\rtf (Jansa {\\i{}et al.}, 2003; Alguacil {\\i{}et al.}, 2008)}","plainCitation":"(Jansa et al., 2003; Alguacil et al., 2008)"},"citationItems":[{"id":603,"uris":["http://zotero.org/users/local/d1gJDEOw/items/NJXTB8E4"],"uri":["http://zotero.org/users/local/d1gJDEOw/items/NJXTB8E4"],"itemData":{"id":603,"type":"article-journal","title":"Soil Tillage Affects the Community Structure of Mycorrhizal Fungi in Maize Roots","container-title":"Ecological Applications","page":"1164-1176","volume":"13","issue":"4","source":"Wiley Online Library","abstract":"In this study we tested whether communities of arbuscular mycorrhizal fungi (AMF) colonizing the roots of maize (Zea mays L.) were affected by soil tillage practices (plowing, chiseling, and no-till) in a long-term field experiment carried out in Tänikon (Switzerland). AMF were identified in the roots using specific polymerase chain reaction (PCR) markers that had been developed for the AMF previously isolated from the soils of the studied site. A nested PCR procedure with primers of increased specificity (eukaryotic, then fungal, then AMF species or species-group specific) was used. Sequencing of amplified DNA confirmed that the DNA obtained from the maize roots was of AMF origin. Presence of particular AMF species or species-group was scored as a presence of a DNA product after PCR with specific primers. We also used single-strand conformation polymorphism analysis (SSCP) of amplified DNA samples to check if the amplification of the DNA from maize roots matched the expected profile for a particular AMF isolate with a given specific primer pair. Presence of the genus Scutellospora in maize roots was strongly reduced in plowed and chiseled soils. Fungi from the suborder Glomineae were more prevalent colonizers of maize roots growing in plowed soils, but were also present in the roots from other tillage treatments. These changes in community of AMF colonizing maize roots might be due to (1) the differences in tolerance to the tillage-induced disruption of the hyphae among the different AMF species, (2) changes in nutrient content of the soil, (3) changes in microbial activity, or (4) changes in weed populations in response to soil tillage. This is the first report on community composition of AMF in the roots of a field-grown crop plant (maize) as affected by soil tillage.","DOI":"10.1890/1051-0761(2003)13[1164:STATCS]2.0.CO;2","ISSN":"1939-5582","language":"en","author":[{"family":"Jansa","given":"J."},{"family":"Mozafar","given":"A."},{"family":"Kuhn","given":"G."},{"family":"Anken","given":"T."},{"family":"Ruh","given":"R."},{"family":"Sanders","given":"I. R."},{"family":"Frossard","given":"E."}],"issued":{"date-parts":[["2003",8,1]]}}},{"id":520,"uris":["http://zotero.org/users/local/d1gJDEOw/items/UMFRVB2I"],"uri":["http://zotero.org/users/local/d1gJDEOw/items/UMFRVB2I"],"itemData":{"id":520,"type":"article-journal","title":"The Impact of Tillage Practices on Arbuscular Mycorrhizal Fungal Diversity in Subtropical Crops","container-title":"Ecological Applications","page":"527-536","volume":"18","issue":"2","source":"Wiley Online Library","abstract":"Arbuscular mycorrhizal fungi (AMF) are a main component of soil microbiota in most agrosystems. As obligately mutualistic symbionts, they colonize the roots of the majority of plants, including crop plants. We used molecular techniques to investigate how different tillage systems (moldboard, shred-bedding, subsoil-bedding, and no tillage) can influence the AM fungal community colonizing maize, bean, and sorghum roots in an experimental site located in northern Tamaulipas, Mexico. Roots from 36 plants were analyzed using AM fungal-specific primers to partially amplify the small subunit (SSU) of the ribosomal DNA genes. More than 880 clones were screened for restriction fragment length polymorphism (RFLP) variation, and 173 of these were sequenced. Ten AM fungal types were identified and clustered into three AM fungal families: Gigasporaceae, Glomaceae, and Paraglomaceae. Glomus was the dominating taxon in all the samples. Four of the 10 identified types were distinct from any previously published sequences and could correspond to either known unsequenced species or unknown species. The fungal diversity was low in the four agriculture management systems, but the multidimensional scaling (MDS) analysis and log-linear-saturated model indicated that the composition of the AMF community was significantly affected by the tillage system. In conclusion, since some fungal types were treatment specific, agricultural practices could directly or indirectly influence AM biodiversity.","DOI":"10.1890/07-0521.1","ISSN":"1939-5582","language":"en","author":[{"family":"Alguacil","given":"M. M."},{"family":"Lumini","given":"E."},{"family":"Roldán","given":"A."},{"family":"Salinas-García","given":"J. R."},{"family":"Bonfante","given":"P."},{"family":"Bianciotto","given":"V."}],"issued":{"date-parts":[["2008",1,1]]}}}],"schema":"https://github.com/citation-style-language/schema/raw/master/csl-citation.json"} </w:instrText>
      </w:r>
      <w:r>
        <w:rPr>
          <w:rFonts w:cs="Times New Roman"/>
          <w:szCs w:val="24"/>
        </w:rPr>
        <w:fldChar w:fldCharType="separate"/>
      </w:r>
      <w:r w:rsidR="00954B3D" w:rsidRPr="00954B3D">
        <w:rPr>
          <w:rFonts w:cs="Times New Roman"/>
          <w:szCs w:val="24"/>
        </w:rPr>
        <w:t>(</w:t>
      </w:r>
      <w:proofErr w:type="spellStart"/>
      <w:r w:rsidR="00954B3D" w:rsidRPr="00954B3D">
        <w:rPr>
          <w:rFonts w:cs="Times New Roman"/>
          <w:szCs w:val="24"/>
        </w:rPr>
        <w:t>Jansa</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2003; </w:t>
      </w:r>
      <w:proofErr w:type="spellStart"/>
      <w:r w:rsidR="00954B3D" w:rsidRPr="00954B3D">
        <w:rPr>
          <w:rFonts w:cs="Times New Roman"/>
          <w:szCs w:val="24"/>
        </w:rPr>
        <w:t>Alguacil</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2008)</w:t>
      </w:r>
      <w:r>
        <w:rPr>
          <w:rFonts w:cs="Times New Roman"/>
          <w:szCs w:val="24"/>
        </w:rPr>
        <w:fldChar w:fldCharType="end"/>
      </w:r>
      <w:r>
        <w:rPr>
          <w:rFonts w:cs="Times New Roman"/>
          <w:szCs w:val="24"/>
        </w:rPr>
        <w:t xml:space="preserve">. </w:t>
      </w:r>
    </w:p>
    <w:p w:rsidR="00B46350" w:rsidRDefault="00B46350" w:rsidP="00B46350">
      <w:r>
        <w:rPr>
          <w:rFonts w:cs="Times New Roman"/>
          <w:szCs w:val="24"/>
        </w:rPr>
        <w:t xml:space="preserve">The main differences in composition following disturbance arise from differences in the resilience of fungal types to disturbance and regeneration strategies.  The ability of </w:t>
      </w:r>
      <w:r w:rsidRPr="00B719FC">
        <w:rPr>
          <w:rFonts w:cs="Times New Roman"/>
          <w:i/>
          <w:szCs w:val="24"/>
        </w:rPr>
        <w:t xml:space="preserve">Glomus </w:t>
      </w:r>
      <w:r>
        <w:rPr>
          <w:rFonts w:cs="Times New Roman"/>
          <w:szCs w:val="24"/>
        </w:rPr>
        <w:t xml:space="preserve">species to dominate in disturbed arable habitats </w:t>
      </w:r>
      <w:r>
        <w:rPr>
          <w:rFonts w:cs="Times New Roman"/>
          <w:szCs w:val="24"/>
        </w:rPr>
        <w:fldChar w:fldCharType="begin"/>
      </w:r>
      <w:r w:rsidR="00954B3D">
        <w:rPr>
          <w:rFonts w:cs="Times New Roman"/>
          <w:szCs w:val="24"/>
        </w:rPr>
        <w:instrText xml:space="preserve"> ADDIN ZOTERO_ITEM CSL_CITATION {"citationID":"k6xPelXW","properties":{"formattedCitation":"{\\rtf (Helgason {\\i{}et al.}, 1998; Daniell {\\i{}et al.}, 2001; Jansa {\\i{}et al.}, 2003; Borriello {\\i{}et al.}, 2012)}","plainCitation":"(Helgason et al., 1998; Daniell et al., 2001; Jansa et al., 2003; Borriello et al., 2012)"},"citationItems":[{"id":156,"uris":["http://zotero.org/users/local/d1gJDEOw/items/9I8TGD8S"],"uri":["http://zotero.org/users/local/d1gJDEOw/items/9I8TGD8S"],"itemData":{"id":156,"type":"article-journal","title":"Ploughing up the wood-wide web?","container-title":"Nature","page":"431-431","volume":"394","issue":"6692","source":"www.nature.com","abstract":"Key species groups that affect major ecological processes are vital components of community diversity. Many such key groups are found in the soil, including the mycorrhizal fungi that may connect plants into a functional \"wood-wide web\". Arbuscular mycorrhizal associations are formed by fungi of the order Glomales with 90% of land plant families, and many arbuscular mycorrhizal fungi are thought to have a broad host range. Here we show that, despite this broad host range, the diversity of arbuscular mycorrhizal fungi is strikingly low in arable sites compared with a woodland.","DOI":"10.1038/28764","ISSN":"0028-0836","journalAbbreviation":"Nature","language":"en","author":[{"family":"Helgason","given":"T."},{"family":"Daniell","given":"T. J."},{"family":"Husband","given":"R."},{"family":"Fitter","given":"A. H."},{"family":"Young","given":"J. P. W."}],"issued":{"date-parts":[["1998",7,30]]}}},{"id":198,"uris":["http://zotero.org/users/local/d1gJDEOw/items/EBZ8ZSX8"],"uri":["http://zotero.org/users/local/d1gJDEOw/items/EBZ8ZSX8"],"itemData":{"id":198,"type":"article-journal","title":"Molecular diversity of arbuscular mycorrhizal fungi colonising arable crops","container-title":"Fems Microbiology Ecology","page":"203-209","volume":"36","issue":"2-3","source":"Web of Science","abstract":"We used differences in small subunit ribosomal RNA genes to identify groups of arbuscular mycorrhizal fungi that are active in the colonisation of plant roots growing in arable fields around North Yorkshire, UK. Root samples were collected From four arable fields and four crop species, fungal sequences were amplified from individual plants by the polymerase chain reaction using primers NS31 and AM1. The products were cloned and 303 clones were classified by their restriction pattern with HinfI or RsaI; 72 were subsequently sequenced. Colonisation was dominated by Glomus species with a preponderance of only two sequence types. which are closely related. There is evidence Fur seasonal variation in colonisation in terms of both level of colonisation and sequence types present. Fungal diversity was much lower than that previously reported for a nearby woodland. (C) 2001 Federation of European Microbiological Societies. Published by Elsevier Science B.V. All rights rsserved.","DOI":"10.1111/j.1574-6941.2001.tb00841.x","ISSN":"0168-6496","note":"WOS:000170051100014","journalAbbreviation":"FEMS Microbiol. Ecol.","language":"English","author":[{"family":"Daniell","given":"T. J."},{"family":"Husband","given":"R."},{"family":"Fitter","given":"A. H."},{"family":"Young","given":"J. P. W."}],"issued":{"date-parts":[["2001",7]]}}},{"id":603,"uris":["http://zotero.org/users/local/d1gJDEOw/items/NJXTB8E4"],"uri":["http://zotero.org/users/local/d1gJDEOw/items/NJXTB8E4"],"itemData":{"id":603,"type":"article-journal","title":"Soil Tillage Affects the Community Structure of Mycorrhizal Fungi in Maize Roots","container-title":"Ecological Applications","page":"1164-1176","volume":"13","issue":"4","source":"Wiley Online Library","abstract":"In this study we tested whether communities of arbuscular mycorrhizal fungi (AMF) colonizing the roots of maize (Zea mays L.) were affected by soil tillage practices (plowing, chiseling, and no-till) in a long-term field experiment carried out in Tänikon (Switzerland). AMF were identified in the roots using specific polymerase chain reaction (PCR) markers that had been developed for the AMF previously isolated from the soils of the studied site. A nested PCR procedure with primers of increased specificity (eukaryotic, then fungal, then AMF species or species-group specific) was used. Sequencing of amplified DNA confirmed that the DNA obtained from the maize roots was of AMF origin. Presence of particular AMF species or species-group was scored as a presence of a DNA product after PCR with specific primers. We also used single-strand conformation polymorphism analysis (SSCP) of amplified DNA samples to check if the amplification of the DNA from maize roots matched the expected profile for a particular AMF isolate with a given specific primer pair. Presence of the genus Scutellospora in maize roots was strongly reduced in plowed and chiseled soils. Fungi from the suborder Glomineae were more prevalent colonizers of maize roots growing in plowed soils, but were also present in the roots from other tillage treatments. These changes in community of AMF colonizing maize roots might be due to (1) the differences in tolerance to the tillage-induced disruption of the hyphae among the different AMF species, (2) changes in nutrient content of the soil, (3) changes in microbial activity, or (4) changes in weed populations in response to soil tillage. This is the first report on community composition of AMF in the roots of a field-grown crop plant (maize) as affected by soil tillage.","DOI":"10.1890/1051-0761(2003)13[1164:STATCS]2.0.CO;2","ISSN":"1939-5582","language":"en","author":[{"family":"Jansa","given":"J."},{"family":"Mozafar","given":"A."},{"family":"Kuhn","given":"G."},{"family":"Anken","given":"T."},{"family":"Ruh","given":"R."},{"family":"Sanders","given":"I. R."},{"family":"Frossard","given":"E."}],"issued":{"date-parts":[["2003",8,1]]}}},{"id":486,"uris":["http://zotero.org/users/local/d1gJDEOw/items/3I77S6KK"],"uri":["http://zotero.org/users/local/d1gJDEOw/items/3I77S6KK"],"itemData":{"id":486,"type":"article-journal","title":"Effects of different management practices on arbuscular mycorrhizal fungal diversity in maize fields by a molecular approach","container-title":"Biology and Fertility of Soils","page":"911-922","volume":"48","issue":"8","source":"link.springer.com","abstract":"As obligate mutualistic symbionts, arbuscular mycorrhizal fungi (AMF) colonize the roots of many agricultural crops, and it is often claimed that agricultural practices are detrimental to AMF. As a result, agroecosystems impoverished in AMF may not get the fully expected range of benefits from these fungi. Using molecular markers on DNA extracted directly from soil and roots, we studied the effects of different management practices (tillage and N fertilization) on the AMF communities colonizing an experimental maize field in Central Italy. Our molecular analysis based on three different nuclear rRNA regions (18S, 28S and ITS) allowed us to assess AMF biodiversity. Glomeraceae members were the main colonizer, and they co-occurred with Gigasporaceae and Paraglomus regardless of the management practices applied. Diversisporaceae and Entrophosporaceae members were instead detected in the N-fertilized soils and in the untreated soil, respectively. The results obtained indicated that the general AMF assemblages structure and composition in the maize field plots appear to be primarily influenced by N fertilization and, to a lesser extent, by tillage. This study also validates the usefulness of multiple molecular markers to consolidate and refine the assessment of the environmental AMF diversity.","DOI":"10.1007/s00374-012-0683-4","ISSN":"0178-2762, 1432-0789","journalAbbreviation":"Biol Fertil Soils","language":"en","author":[{"family":"Borriello","given":"Roberto"},{"family":"Lumini","given":"Erica"},{"family":"Girlanda","given":"Mariangela"},{"family":"Bonfante","given":"Paola"},{"family":"Bianciotto","given":"Valeria"}],"issued":{"date-parts":[["2012",11,1]]}}}],"schema":"https://github.com/citation-style-language/schema/raw/master/csl-citation.json"} </w:instrText>
      </w:r>
      <w:r>
        <w:rPr>
          <w:rFonts w:cs="Times New Roman"/>
          <w:szCs w:val="24"/>
        </w:rPr>
        <w:fldChar w:fldCharType="separate"/>
      </w:r>
      <w:r w:rsidR="00954B3D" w:rsidRPr="00954B3D">
        <w:rPr>
          <w:rFonts w:cs="Times New Roman"/>
          <w:szCs w:val="24"/>
        </w:rPr>
        <w:t>(</w:t>
      </w:r>
      <w:proofErr w:type="spellStart"/>
      <w:r w:rsidR="00954B3D" w:rsidRPr="00954B3D">
        <w:rPr>
          <w:rFonts w:cs="Times New Roman"/>
          <w:szCs w:val="24"/>
        </w:rPr>
        <w:t>Helgason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1998; </w:t>
      </w:r>
      <w:proofErr w:type="spellStart"/>
      <w:r w:rsidR="00954B3D" w:rsidRPr="00954B3D">
        <w:rPr>
          <w:rFonts w:cs="Times New Roman"/>
          <w:szCs w:val="24"/>
        </w:rPr>
        <w:t>Daniell</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2001; </w:t>
      </w:r>
      <w:proofErr w:type="spellStart"/>
      <w:r w:rsidR="00954B3D" w:rsidRPr="00954B3D">
        <w:rPr>
          <w:rFonts w:cs="Times New Roman"/>
          <w:szCs w:val="24"/>
        </w:rPr>
        <w:t>Jansa</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2003; </w:t>
      </w:r>
      <w:proofErr w:type="spellStart"/>
      <w:r w:rsidR="00954B3D" w:rsidRPr="00954B3D">
        <w:rPr>
          <w:rFonts w:cs="Times New Roman"/>
          <w:szCs w:val="24"/>
        </w:rPr>
        <w:t>Borriello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2012)</w:t>
      </w:r>
      <w:r>
        <w:rPr>
          <w:rFonts w:cs="Times New Roman"/>
          <w:szCs w:val="24"/>
        </w:rPr>
        <w:fldChar w:fldCharType="end"/>
      </w:r>
      <w:r>
        <w:rPr>
          <w:rFonts w:cs="Times New Roman"/>
          <w:szCs w:val="24"/>
        </w:rPr>
        <w:t xml:space="preserve"> may be explained by both rapid colonisation rates of fungi in the </w:t>
      </w:r>
      <w:r w:rsidRPr="00E3162E">
        <w:rPr>
          <w:rFonts w:cs="Times New Roman"/>
          <w:i/>
          <w:szCs w:val="24"/>
        </w:rPr>
        <w:t>Glomus</w:t>
      </w:r>
      <w:r>
        <w:rPr>
          <w:rFonts w:cs="Times New Roman"/>
          <w:szCs w:val="24"/>
        </w:rPr>
        <w:t xml:space="preserve"> genera and ability to recolonise from root fragments </w:t>
      </w:r>
      <w:r>
        <w:fldChar w:fldCharType="begin"/>
      </w:r>
      <w:r w:rsidR="00954B3D">
        <w:instrText xml:space="preserve"> ADDIN ZOTERO_ITEM CSL_CITATION {"citationID":"2o7v3fk3bu","properties":{"formattedCitation":"(Hart &amp; Reader, 2002)","plainCitation":"(Hart &amp; Reader, 2002)"},"citationItems":[{"id":388,"uris":["http://zotero.org/users/local/d1gJDEOw/items/FTCNN6QR"],"uri":["http://zotero.org/users/local/d1gJDEOw/items/FTCNN6QR"],"itemData":{"id":388,"type":"article-journal","title":"Host plant benefit from association with arbuscular mycorrhizal fungi: variation due to differences in size of mycelium","container-title":"Biology and Fertility of Soils","page":"357-366","volume":"36","issue":"5","source":"CrossRef","DOI":"10.1007/s00374-002-0539-4","ISSN":"0178-2762, 1432-0789","shortTitle":"Host plant benefit from association with arbuscular mycorrhizal fungi","author":[{"family":"Hart","given":"Miranda"},{"family":"Reader","given":"Richard"}],"issued":{"date-parts":[["2002",11,1]]}}}],"schema":"https://github.com/citation-style-language/schema/raw/master/csl-citation.json"} </w:instrText>
      </w:r>
      <w:r>
        <w:fldChar w:fldCharType="separate"/>
      </w:r>
      <w:r w:rsidR="00954B3D" w:rsidRPr="00954B3D">
        <w:rPr>
          <w:rFonts w:cs="Times New Roman"/>
        </w:rPr>
        <w:t>(Hart &amp; Reader, 2002)</w:t>
      </w:r>
      <w:r>
        <w:fldChar w:fldCharType="end"/>
      </w:r>
      <w:r>
        <w:t xml:space="preserve">. Furthermore </w:t>
      </w:r>
      <w:r w:rsidRPr="0000649A">
        <w:rPr>
          <w:i/>
        </w:rPr>
        <w:t>Glomus</w:t>
      </w:r>
      <w:r>
        <w:t xml:space="preserve"> species show tolerance to fertiliser application and have been reported to increase in relative abundance in response to fertiliser application in comparison to other AMF genera </w:t>
      </w:r>
      <w:r>
        <w:fldChar w:fldCharType="begin"/>
      </w:r>
      <w:r w:rsidR="006B3935">
        <w:instrText xml:space="preserve"> ADDIN ZOTERO_ITEM CSL_CITATION {"citationID":"a7K7fAFX","properties":{"formattedCitation":"{\\rtf (Treseder &amp; Allen, 2002; Wang {\\i{}et al.}, 2009; Borriello {\\i{}et al.}, 2012)}","plainCitation":"(Treseder &amp; Allen, 2002; Wang et al., 2009; Borriello et al., 2012)"},"citationItems":[{"id":552,"uris":["http://zotero.org/users/local/d1gJDEOw/items/M7FA59UQ"],"uri":["http://zotero.org/users/local/d1gJDEOw/items/M7FA59UQ"],"itemData":{"id":552,"type":"article-journal","title":"Direct nitrogen and phosphorus limitation of arbuscular mycorrhizal fungi: a model and field test","container-title":"New Phytologist","page":"507-515","volume":"155","issue":"3","source":"Wiley Online Library","abstract":"* • Since mycorrhizal fungi constitute an important component of the soil–plant interface, their responses to changes in nutrient availability may mediate shifts in ecosystem function. We tested the hypothesis that initial soil nutrient availability may determine effects of nitrogen (N) and phosphorus (P) additions on the growth and community of arbuscular mycorrhizal (AM) fungi.\n* • Extraradical hyphal lengths and degree of root colonization of AM fungi were measured in control and fertilized plots along a soil fertility gradient in Hawaii. Responses of individual AM genera were assessed through immunofluorescent labeling.\n* • The AM biomass was increased by N and P additions in the N- and P-limited sites, respectively, and reduced by P fertilization in the fertile site only. The abundance of Scutellospora\nwas lower under N than under P fertilization, whereas the incidence of\nGlomus\nwas higher in the fertile site than the N-limited site.\nGigaspora\nand\nAcaulospora did not vary among sites or treatments.\n* • Our results indicate that a decrease in AM abundance following nutrient additions cannot be assumed to occur and the effects may differ among AM genera and ecosystems with varying soil nutrients. Limitation of N and P may be one possible explanation.","DOI":"10.1046/j.1469-8137.2002.00470.x","ISSN":"1469-8137","shortTitle":"Direct nitrogen and phosphorus limitation of arbuscular mycorrhizal fungi","language":"en","author":[{"family":"Treseder","given":"Kathleen K."},{"family":"Allen","given":"Michael F."}],"issued":{"date-parts":[["2002",9,1]]}}},{"id":425,"uris":["http://zotero.org/users/local/d1gJDEOw/items/U7HEC2GK"],"uri":["http://zotero.org/users/local/d1gJDEOw/items/U7HEC2GK"],"itemData":{"id":425,"type":"article-journal","title":"Influence of Long-Term Fixed Fertilization on Diversity of Arbuscular Mycorrhizal Fungi","container-title":"Pedosphere","page":"663-672","volume":"19","issue":"5, 1002-0160","source":"www.scholarmate.com","abstract":"Diversity of arbuscular mycorrhizal fungi (AMF) was investigated in a field that had received long-term fixed fertilization (LFF) for 26 years. There were a total of 12 treatments in triplicates with different amounts of manure, urea, calcium phosphate, and potassium chloride. Rhizosphere soil samples of maize and wheat grown in the experimental field in Shandong Province, China, were collected in September 2003 and May 2004, respectively. Arbuscular mycorrhizal fungal spores were isolated and identified using morphological characters. Mycorrhizal colonization percentage, spore density (SD), species richness (SR), relative abundance (RA), and Shannon-Weiner index (SWI) were determined. Nineteen recognized species of AMF belonging to 5 genera were identified. Long-term fixed fertilization significantly influenced colonization percentage, SR, SD, and species diversity of AMF. The adaptability of AMF to soil fertility was different among species. Species richness and SD of AMF in maize and wheat rhizosphere soils were the highest in the nonfertilization treatment (control) and lowest in the high manure + high nitrogen treatment (M2N2). The SWI decreased as the fertilization level increased except in the low manure treatment (M-1) on maize. Compared with the other treatments, Treatment M2N2 significantly reduced SD of Glomus, and the high manure + low nitrogen treatment (M2N1) significantly retarded sporulation of Scutellospora. Manure treatments stimulated sporulation of Glomus mosseae. Spore density of G. mosseae was higher in the high nitrogen + phosphorus + potassium treatment (N2PK) than in the high nitrogen + phosphorus treatment (N2P) and the high nitrogen + potassium treatment (N2K). The SD of S. pellucida was higher in Treatment N2K than Treatments N2PK and N2P. In conclusion, long-term fixed fertilization, especially with high levels of manure and N, decreased SR, SD, and colonization and changed the species composition of AMF.","ISSN":"1002-0160","language":"eng","author":[{"family":"Wang","given":"Miao-Yan"},{"family":"Liang-Bin","given":"Hu"},{"family":"Wei-Hua","given":"Wang"},{"family":"Shu-Tang","given":"Liu"},{"family":"Min","given":"Li"},{"family":"Run-Jin","given":"Liu"},{"family":"Miao-Yan","given":"Wang"},{"family":"Liang-Bin","given":"Hu"},{"family":"Wei-Hua","given":"Wang"},{"family":"Shu-Tang","given":"Liu"},{"family":"Min","given":"Li"},{"family":"Run-Jin","given":"Liu"}],"issued":{"date-parts":[["2009"]]}}},{"id":486,"uris":["http://zotero.org/users/local/d1gJDEOw/items/3I77S6KK"],"uri":["http://zotero.org/users/local/d1gJDEOw/items/3I77S6KK"],"itemData":{"id":486,"type":"article-journal","title":"Effects of different management practices on arbuscular mycorrhizal fungal diversity in maize fields by a molecular approach","container-title":"Biology and Fertility of Soils","page":"911-922","volume":"48","issue":"8","source":"link.springer.com","abstract":"As obligate mutualistic symbionts, arbuscular mycorrhizal fungi (AMF) colonize the roots of many agricultural crops, and it is often claimed that agricultural practices are detrimental to AMF. As a result, agroecosystems impoverished in AMF may not get the fully expected range of benefits from these fungi. Using molecular markers on DNA extracted directly from soil and roots, we studied the effects of different management practices (tillage and N fertilization) on the AMF communities colonizing an experimental maize field in Central Italy. Our molecular analysis based on three different nuclear rRNA regions (18S, 28S and ITS) allowed us to assess AMF biodiversity. Glomeraceae members were the main colonizer, and they co-occurred with Gigasporaceae and Paraglomus regardless of the management practices applied. Diversisporaceae and Entrophosporaceae members were instead detected in the N-fertilized soils and in the untreated soil, respectively. The results obtained indicated that the general AMF assemblages structure and composition in the maize field plots appear to be primarily influenced by N fertilization and, to a lesser extent, by tillage. This study also validates the usefulness of multiple molecular markers to consolidate and refine the assessment of the environmental AMF diversity.","DOI":"10.1007/s00374-012-0683-4","ISSN":"0178-2762, 1432-0789","journalAbbreviation":"Biol Fertil Soils","language":"en","author":[{"family":"Borriello","given":"Roberto"},{"family":"Lumini","given":"Erica"},{"family":"Girlanda","given":"Mariangela"},{"family":"Bonfante","given":"Paola"},{"family":"Bianciotto","given":"Valeria"}],"issued":{"date-parts":[["2012",11,1]]}}}],"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Treseder</w:t>
      </w:r>
      <w:proofErr w:type="spellEnd"/>
      <w:r w:rsidR="00954B3D" w:rsidRPr="00954B3D">
        <w:rPr>
          <w:rFonts w:cs="Times New Roman"/>
          <w:szCs w:val="24"/>
        </w:rPr>
        <w:t xml:space="preserve"> &amp; Allen, 2002; Wang </w:t>
      </w:r>
      <w:r w:rsidR="00954B3D" w:rsidRPr="00954B3D">
        <w:rPr>
          <w:rFonts w:cs="Times New Roman"/>
          <w:i/>
          <w:iCs/>
          <w:szCs w:val="24"/>
        </w:rPr>
        <w:t>et al.</w:t>
      </w:r>
      <w:r w:rsidR="00954B3D" w:rsidRPr="00954B3D">
        <w:rPr>
          <w:rFonts w:cs="Times New Roman"/>
          <w:szCs w:val="24"/>
        </w:rPr>
        <w:t xml:space="preserve">, 2009; </w:t>
      </w:r>
      <w:proofErr w:type="spellStart"/>
      <w:r w:rsidR="00954B3D" w:rsidRPr="00954B3D">
        <w:rPr>
          <w:rFonts w:cs="Times New Roman"/>
          <w:szCs w:val="24"/>
        </w:rPr>
        <w:t>Borriello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2012)</w:t>
      </w:r>
      <w:r>
        <w:fldChar w:fldCharType="end"/>
      </w:r>
      <w:r>
        <w:t>. However the</w:t>
      </w:r>
      <w:r w:rsidRPr="001A34A7">
        <w:rPr>
          <w:i/>
        </w:rPr>
        <w:t xml:space="preserve"> Glomus</w:t>
      </w:r>
      <w:r>
        <w:t xml:space="preserve"> genera is not solely restricted to domination of disturbed high fertility habitats; i</w:t>
      </w:r>
      <w:r>
        <w:rPr>
          <w:rFonts w:cs="Times New Roman"/>
          <w:szCs w:val="24"/>
        </w:rPr>
        <w:t xml:space="preserve">n a recent study which compared soil AMF communities of spruce forest, intensive arable and pasture land using 454-pyrosequencing </w:t>
      </w:r>
      <w:proofErr w:type="spellStart"/>
      <w:r w:rsidRPr="00143CCF">
        <w:rPr>
          <w:rFonts w:cs="Times New Roman"/>
          <w:szCs w:val="24"/>
        </w:rPr>
        <w:t>Moora</w:t>
      </w:r>
      <w:proofErr w:type="spellEnd"/>
      <w:r w:rsidRPr="00143CCF">
        <w:rPr>
          <w:rFonts w:cs="Times New Roman"/>
          <w:szCs w:val="24"/>
        </w:rPr>
        <w:t xml:space="preserve"> </w:t>
      </w:r>
      <w:r w:rsidRPr="00143CCF">
        <w:rPr>
          <w:rFonts w:cs="Times New Roman"/>
          <w:i/>
          <w:iCs/>
          <w:szCs w:val="24"/>
        </w:rPr>
        <w:t>et al.</w:t>
      </w:r>
      <w:r w:rsidRPr="00143CCF">
        <w:rPr>
          <w:rFonts w:cs="Times New Roman"/>
          <w:szCs w:val="24"/>
        </w:rPr>
        <w:t xml:space="preserve">, </w:t>
      </w:r>
      <w:r w:rsidR="003B55DF">
        <w:rPr>
          <w:rFonts w:cs="Times New Roman"/>
          <w:szCs w:val="24"/>
        </w:rPr>
        <w:t>(</w:t>
      </w:r>
      <w:r w:rsidRPr="00143CCF">
        <w:rPr>
          <w:rFonts w:cs="Times New Roman"/>
          <w:szCs w:val="24"/>
        </w:rPr>
        <w:t>2014</w:t>
      </w:r>
      <w:r w:rsidR="003B55DF">
        <w:rPr>
          <w:rFonts w:cs="Times New Roman"/>
          <w:szCs w:val="24"/>
        </w:rPr>
        <w:t>)</w:t>
      </w:r>
      <w:r>
        <w:rPr>
          <w:rFonts w:cs="Times New Roman"/>
          <w:szCs w:val="24"/>
        </w:rPr>
        <w:t xml:space="preserve"> found </w:t>
      </w:r>
      <w:r w:rsidRPr="00E0516E">
        <w:rPr>
          <w:rFonts w:cs="Times New Roman"/>
          <w:i/>
          <w:szCs w:val="24"/>
        </w:rPr>
        <w:t>Glomus</w:t>
      </w:r>
      <w:r>
        <w:rPr>
          <w:rFonts w:cs="Times New Roman"/>
          <w:szCs w:val="24"/>
        </w:rPr>
        <w:t xml:space="preserve"> species were more strongly associated with forest habitats than </w:t>
      </w:r>
      <w:proofErr w:type="spellStart"/>
      <w:r w:rsidRPr="001A34A7">
        <w:rPr>
          <w:rFonts w:cs="Times New Roman"/>
          <w:i/>
          <w:szCs w:val="24"/>
        </w:rPr>
        <w:t>Archaeospora</w:t>
      </w:r>
      <w:proofErr w:type="spellEnd"/>
      <w:r>
        <w:rPr>
          <w:rFonts w:cs="Times New Roman"/>
          <w:szCs w:val="24"/>
        </w:rPr>
        <w:t xml:space="preserve">, </w:t>
      </w:r>
      <w:proofErr w:type="spellStart"/>
      <w:r w:rsidRPr="001A34A7">
        <w:rPr>
          <w:rFonts w:cs="Times New Roman"/>
          <w:i/>
          <w:szCs w:val="24"/>
        </w:rPr>
        <w:t>Diversispor</w:t>
      </w:r>
      <w:r>
        <w:rPr>
          <w:rFonts w:cs="Times New Roman"/>
          <w:szCs w:val="24"/>
        </w:rPr>
        <w:t>a</w:t>
      </w:r>
      <w:proofErr w:type="spellEnd"/>
      <w:r>
        <w:rPr>
          <w:rFonts w:cs="Times New Roman"/>
          <w:szCs w:val="24"/>
        </w:rPr>
        <w:t xml:space="preserve"> and </w:t>
      </w:r>
      <w:proofErr w:type="spellStart"/>
      <w:r w:rsidRPr="001A34A7">
        <w:rPr>
          <w:rFonts w:cs="Times New Roman"/>
          <w:i/>
          <w:szCs w:val="24"/>
        </w:rPr>
        <w:t>Claroideoglomus</w:t>
      </w:r>
      <w:proofErr w:type="spellEnd"/>
      <w:r>
        <w:rPr>
          <w:rFonts w:cs="Times New Roman"/>
          <w:szCs w:val="24"/>
        </w:rPr>
        <w:t xml:space="preserve"> species. </w:t>
      </w:r>
    </w:p>
    <w:p w:rsidR="00B46350" w:rsidRPr="00E4441D" w:rsidRDefault="00B46350" w:rsidP="00B46350">
      <w:r w:rsidRPr="00D777A0">
        <w:t>The genera</w:t>
      </w:r>
      <w:r>
        <w:rPr>
          <w:i/>
        </w:rPr>
        <w:t xml:space="preserve"> </w:t>
      </w:r>
      <w:r w:rsidRPr="00D777A0">
        <w:rPr>
          <w:i/>
        </w:rPr>
        <w:t>Glomus</w:t>
      </w:r>
      <w:r>
        <w:t xml:space="preserve"> was found to be the most abundant in all habitats sampled by this study (</w:t>
      </w:r>
      <w:r>
        <w:fldChar w:fldCharType="begin"/>
      </w:r>
      <w:r>
        <w:instrText xml:space="preserve"> REF _Ref468735587 \h </w:instrText>
      </w:r>
      <w:r>
        <w:fldChar w:fldCharType="separate"/>
      </w:r>
      <w:r w:rsidR="00E0714D" w:rsidRPr="00F55C45">
        <w:t xml:space="preserve">Figure </w:t>
      </w:r>
      <w:r w:rsidR="00E0714D">
        <w:rPr>
          <w:noProof/>
        </w:rPr>
        <w:t>3</w:t>
      </w:r>
      <w:r w:rsidR="00E0714D">
        <w:t>.</w:t>
      </w:r>
      <w:r w:rsidR="00E0714D">
        <w:rPr>
          <w:noProof/>
        </w:rPr>
        <w:t>20</w:t>
      </w:r>
      <w:r>
        <w:fldChar w:fldCharType="end"/>
      </w:r>
      <w:r>
        <w:t xml:space="preserve">). Interestingly our study showed a varied response of Glomus types to land management intensity with clear differences were shown between the relative abundance of specific </w:t>
      </w:r>
      <w:r w:rsidRPr="00D777A0">
        <w:rPr>
          <w:i/>
        </w:rPr>
        <w:t>Glomu</w:t>
      </w:r>
      <w:r>
        <w:t>s types between arable habitats in comparison to orchard and woodland habitats (</w:t>
      </w:r>
      <w:r>
        <w:fldChar w:fldCharType="begin"/>
      </w:r>
      <w:r>
        <w:instrText xml:space="preserve"> REF _Ref463095472 \h </w:instrText>
      </w:r>
      <w:r>
        <w:fldChar w:fldCharType="separate"/>
      </w:r>
      <w:r w:rsidR="00E0714D" w:rsidRPr="00F55C45">
        <w:t xml:space="preserve">Figure </w:t>
      </w:r>
      <w:r w:rsidR="00E0714D">
        <w:rPr>
          <w:noProof/>
        </w:rPr>
        <w:t>3</w:t>
      </w:r>
      <w:r w:rsidR="00E0714D">
        <w:t>.</w:t>
      </w:r>
      <w:r w:rsidR="00E0714D">
        <w:rPr>
          <w:noProof/>
        </w:rPr>
        <w:t>14</w:t>
      </w:r>
      <w:r>
        <w:fldChar w:fldCharType="end"/>
      </w:r>
      <w:r>
        <w:t xml:space="preserve">, </w:t>
      </w:r>
      <w:r>
        <w:fldChar w:fldCharType="begin"/>
      </w:r>
      <w:r>
        <w:instrText xml:space="preserve"> REF _Ref463095474 \h </w:instrText>
      </w:r>
      <w:r>
        <w:fldChar w:fldCharType="separate"/>
      </w:r>
      <w:r w:rsidR="00E0714D" w:rsidRPr="00F55C45">
        <w:t xml:space="preserve">Figure </w:t>
      </w:r>
      <w:r w:rsidR="00E0714D">
        <w:rPr>
          <w:noProof/>
        </w:rPr>
        <w:t>3</w:t>
      </w:r>
      <w:r w:rsidR="00E0714D">
        <w:t>.</w:t>
      </w:r>
      <w:r w:rsidR="00E0714D">
        <w:rPr>
          <w:noProof/>
        </w:rPr>
        <w:t>15</w:t>
      </w:r>
      <w:r>
        <w:fldChar w:fldCharType="end"/>
      </w:r>
      <w:r>
        <w:t xml:space="preserve">, </w:t>
      </w:r>
      <w:r>
        <w:fldChar w:fldCharType="begin"/>
      </w:r>
      <w:r>
        <w:instrText xml:space="preserve"> REF _Ref466197868 \h </w:instrText>
      </w:r>
      <w:r>
        <w:fldChar w:fldCharType="separate"/>
      </w:r>
      <w:r w:rsidR="00E0714D" w:rsidRPr="00F55C45">
        <w:t xml:space="preserve">Figure </w:t>
      </w:r>
      <w:r w:rsidR="00E0714D">
        <w:rPr>
          <w:noProof/>
        </w:rPr>
        <w:t>3</w:t>
      </w:r>
      <w:r w:rsidR="00E0714D">
        <w:t>.</w:t>
      </w:r>
      <w:r w:rsidR="00E0714D">
        <w:rPr>
          <w:noProof/>
        </w:rPr>
        <w:t>19</w:t>
      </w:r>
      <w:r>
        <w:fldChar w:fldCharType="end"/>
      </w:r>
      <w:r>
        <w:t xml:space="preserve">). This may be explained by the varied ecology of the Glomus genera which is a large and functionally diverse group </w:t>
      </w:r>
      <w:r>
        <w:fldChar w:fldCharType="begin"/>
      </w:r>
      <w:r w:rsidR="006B3935">
        <w:instrText xml:space="preserve"> ADDIN ZOTERO_ITEM CSL_CITATION {"citationID":"slv3sh5e9","properties":{"formattedCitation":"(Smith &amp; Read, 2008)","plainCitation":"(Smith &amp; Read, 2008)"},"citationItems":[{"id":366,"uris":["http://zotero.org/users/local/d1gJDEOw/items/QCZ7TGSK"],"uri":["http://zotero.org/users/local/d1gJDEOw/items/QCZ7TGSK"],"itemData":{"id":366,"type":"book","title":"Mycorrhizal Symbiosis","publisher":"Academic Press","publisher-place":"London","source":"ScienceDirect","event-place":"London","URL":"http://www.sciencedirect.com/science/article/pii/B9780123705266500027","ISBN":"978-0-12-370526-6","author":[{"family":"Smith","given":"Sally E."},{"family":"Read","given":"David"}],"issued":{"date-parts":[["2008"]]},"accessed":{"date-parts":[["2016",9,27]]}}}],"schema":"https://github.com/citation-style-language/schema/raw/master/csl-citation.json"} </w:instrText>
      </w:r>
      <w:r>
        <w:fldChar w:fldCharType="separate"/>
      </w:r>
      <w:r w:rsidR="006B3935" w:rsidRPr="006B3935">
        <w:rPr>
          <w:rFonts w:cs="Times New Roman"/>
        </w:rPr>
        <w:t>(Smith &amp; Read, 2008)</w:t>
      </w:r>
      <w:r>
        <w:fldChar w:fldCharType="end"/>
      </w:r>
      <w:r>
        <w:t xml:space="preserve">. </w:t>
      </w:r>
      <w:r>
        <w:lastRenderedPageBreak/>
        <w:t xml:space="preserve">Unexpectedly our results showed that AMF belonging to the genera </w:t>
      </w:r>
      <w:proofErr w:type="spellStart"/>
      <w:r w:rsidRPr="00B55DDE">
        <w:rPr>
          <w:i/>
        </w:rPr>
        <w:t>Archaeospora</w:t>
      </w:r>
      <w:proofErr w:type="spellEnd"/>
      <w:r>
        <w:t xml:space="preserve"> were most abundant in arable habitats in comparison to orchards and woodland. This is surprising as </w:t>
      </w:r>
      <w:proofErr w:type="spellStart"/>
      <w:r w:rsidRPr="00B55DDE">
        <w:rPr>
          <w:i/>
        </w:rPr>
        <w:t>Archaeospora</w:t>
      </w:r>
      <w:proofErr w:type="spellEnd"/>
      <w:r>
        <w:t xml:space="preserve"> are known to be macrospore formers which are slower to regenerate from hyphal fragments than fungi such as those of the genus </w:t>
      </w:r>
      <w:r w:rsidRPr="00B9625A">
        <w:rPr>
          <w:i/>
        </w:rPr>
        <w:t xml:space="preserve">Glomus </w:t>
      </w:r>
      <w:r>
        <w:rPr>
          <w:i/>
        </w:rPr>
        <w:fldChar w:fldCharType="begin"/>
      </w:r>
      <w:r w:rsidR="00954B3D">
        <w:rPr>
          <w:i/>
        </w:rPr>
        <w:instrText xml:space="preserve"> ADDIN ZOTERO_ITEM CSL_CITATION {"citationID":"2oc5tdknal","properties":{"formattedCitation":"{\\rtf (Oehl {\\i{}et al.}, 2003)}","plainCitation":"(Oehl et al., 2003)"},"citationItems":[{"id":505,"uris":["http://zotero.org/users/local/d1gJDEOw/items/KKUC84AI"],"uri":["http://zotero.org/users/local/d1gJDEOw/items/KKUC84AI"],"itemData":{"id":505,"type":"article-journal","title":"Impact of Land Use Intensity on the Species Diversity of Arbuscular Mycorrhizal Fungi in Agroecosystems of Central Europe","container-title":"Applied and Environmental Microbiology","page":"2816-2824","volume":"69","issue":"5","source":"PubMed Central","abstract":"The impact of land use intensity on the diversity of arbuscular mycorrhizal fungi (AMF) was investigated at eight sites in the “three-country corner” of France, Germany, and Switzerland. Three sites were low-input, species-rich grasslands. Two sites represented low- to moderate-input farming with a 7-year crop rotation, and three sites represented high-input continuous maize monocropping. Representative soil samples were taken, and the AMF spores present were morphologically identified and counted. The same soil samples also served as inocula for “AMF trap cultures” with Plantago lanceolata, Trifolium pratense, and Lolium perenne. These trap cultures were established in pots in a greenhouse, and AMF root colonization and spore formation were monitored over 8 months. For the field samples, the numbers of AMF spores and species were highest in the grasslands, lower in the low- and moderate-input arable lands, and lowest in the lands with intensive continuous maize monocropping. Some AMF species occurred at all sites (“generalists”); most of them were prevalent in the intensively managed arable lands. Many other species, particularly those forming sporocarps, appeared to be specialists for grasslands. Only a few species were specialized on the arable lands with crop rotation, and only one species was restricted to the high-input maize sites. In the trap culture experiment, the rate of root colonization by AMF was highest with inocula from the permanent grasslands and lowest with those from the high-input monocropping sites. In contrast, AMF spore formation was slowest with the former inocula and fastest with the latter inocula. In conclusion, the increased land use intensity was correlated with a decrease in AMF species richness and with a preferential selection of species that colonized roots slowly but formed spores rapidly.","DOI":"10.1128/AEM.69.5.2816-2824.2003","ISSN":"0099-2240","note":"PMID: 12732553\nPMCID: PMC154529","journalAbbreviation":"Appl Environ Microbiol","author":[{"family":"Oehl","given":"Fritz"},{"family":"Sieverding","given":"Ewald"},{"family":"Ineichen","given":"Kurt"},{"family":"Mäder","given":"Paul"},{"family":"Boller","given":"Thomas"},{"family":"Wiemken","given":"Andres"}],"issued":{"date-parts":[["2003",5]]}}}],"schema":"https://github.com/citation-style-language/schema/raw/master/csl-citation.json"} </w:instrText>
      </w:r>
      <w:r>
        <w:rPr>
          <w:i/>
        </w:rPr>
        <w:fldChar w:fldCharType="separate"/>
      </w:r>
      <w:r w:rsidR="00954B3D" w:rsidRPr="00954B3D">
        <w:rPr>
          <w:rFonts w:cs="Times New Roman"/>
          <w:szCs w:val="24"/>
        </w:rPr>
        <w:t>(</w:t>
      </w:r>
      <w:proofErr w:type="spellStart"/>
      <w:r w:rsidR="00954B3D" w:rsidRPr="00954B3D">
        <w:rPr>
          <w:rFonts w:cs="Times New Roman"/>
          <w:szCs w:val="24"/>
        </w:rPr>
        <w:t>Oehl</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2003)</w:t>
      </w:r>
      <w:r>
        <w:rPr>
          <w:i/>
        </w:rPr>
        <w:fldChar w:fldCharType="end"/>
      </w:r>
      <w:r>
        <w:rPr>
          <w:i/>
        </w:rPr>
        <w:t xml:space="preserve"> </w:t>
      </w:r>
      <w:r>
        <w:t>and therefore would be expected to be less abundant in frequently disturbed habitats in comparison to those of lower disturbance.</w:t>
      </w:r>
    </w:p>
    <w:p w:rsidR="00B46350" w:rsidRDefault="00B46350" w:rsidP="00B46350">
      <w:pPr>
        <w:pStyle w:val="Heading3"/>
      </w:pPr>
      <w:bookmarkStart w:id="375" w:name="_Toc469855054"/>
      <w:bookmarkStart w:id="376" w:name="_Toc469856054"/>
      <w:bookmarkStart w:id="377" w:name="_Toc469931963"/>
      <w:bookmarkStart w:id="378" w:name="_Toc469982284"/>
      <w:r>
        <w:t>Effect of leek bait plant system on characterising soil AMF communities</w:t>
      </w:r>
      <w:bookmarkEnd w:id="375"/>
      <w:bookmarkEnd w:id="376"/>
      <w:bookmarkEnd w:id="377"/>
      <w:bookmarkEnd w:id="378"/>
      <w:r>
        <w:t xml:space="preserve"> </w:t>
      </w:r>
    </w:p>
    <w:p w:rsidR="00B46350" w:rsidRDefault="00B46350" w:rsidP="00B46350">
      <w:r>
        <w:t xml:space="preserve">In this study we measured the AMF community using a </w:t>
      </w:r>
      <w:r w:rsidRPr="00AF7454">
        <w:t xml:space="preserve">leek bait plant </w:t>
      </w:r>
      <w:r>
        <w:t>trap culture as this allowed</w:t>
      </w:r>
      <w:r w:rsidRPr="00AF7454">
        <w:t xml:space="preserve"> equal comparison to be made between the </w:t>
      </w:r>
      <w:r>
        <w:t>AMF communities of contrasting</w:t>
      </w:r>
      <w:r w:rsidRPr="00AF7454">
        <w:t xml:space="preserve"> habitat types by controlling for </w:t>
      </w:r>
      <w:r>
        <w:t xml:space="preserve">factors such as </w:t>
      </w:r>
      <w:r w:rsidRPr="00AF7454">
        <w:t>host plant age, genetics and growth envir</w:t>
      </w:r>
      <w:r>
        <w:t xml:space="preserve">onment. Furthermore comparison between all five habits using root samples collected from the field would not have been possible due to </w:t>
      </w:r>
      <w:r w:rsidRPr="00AF7454">
        <w:t xml:space="preserve">lack of common species </w:t>
      </w:r>
      <w:r>
        <w:t xml:space="preserve">between all habitats. </w:t>
      </w:r>
    </w:p>
    <w:p w:rsidR="00B46350" w:rsidRDefault="00B46350" w:rsidP="00B46350">
      <w:r>
        <w:t xml:space="preserve">However the use of bait plant systems to study AMF communities has several caveats </w:t>
      </w:r>
      <w:r>
        <w:fldChar w:fldCharType="begin"/>
      </w:r>
      <w:r w:rsidR="006B3935">
        <w:instrText xml:space="preserve"> ADDIN ZOTERO_ITEM CSL_CITATION {"citationID":"3mx64qLn","properties":{"formattedCitation":"{\\rtf (S\\uc0\\u253{}korov\\uc0\\u225{} {\\i{}et al.}, 2007; Jansa {\\i{}et al.}, 2016)}","plainCitation":"(Sýkorová et al., 2007; Jansa et al., 2016)"},"citationItems":[{"id":412,"uris":["http://zotero.org/users/local/d1gJDEOw/items/AG2T3I7W"],"uri":["http://zotero.org/users/local/d1gJDEOw/items/AG2T3I7W"],"itemData":{"id":412,"type":"article-journal","title":"The cultivation bias: different communities of arbuscular mycorrhizal fungi detected in roots from the field, from bait plants transplanted to the field, and from a greenhouse trap experiment","container-title":"Mycorrhiza","page":"1-14","volume":"18","issue":"1","source":"PubMed","abstract":"The community composition of arbuscular mycorrhizal fungi (AMF) was investigated in roots of four different plant species (Inula salicina, Medicago sativa, Origanum vulgare, and Bromus erectus) sampled in (1) a plant species-rich calcareous grassland, (2) a bait plant bioassay conducted directly in that grassland, and (3) a greenhouse trap experiment using soil and a transplanted whole plant from that grassland as inoculum. Roots were analyzed by AMF-specific nested polymerase chain reaction, restriction fragment length polymorphism screening, and sequence analyses of rDNA small subunit and internal transcribed spacer regions. The AMF sequences were analyzed phylogenetically and used to define monophyletic phylotypes. Overall, 16 phylotypes from several lineages of AMF were detected. The community composition was strongly influenced by the experimental approach, with additional influence of cultivation duration, substrate, and host plant species in some experiments. Some fungal phylotypes, e.g., GLOM-A3 (Glomus mosseae) and several members of Glomus group B, appeared predominantly in the greenhouse experiment or in bait plants. Thus, these phylotypes can be considered r strategists, rapidly colonizing uncolonized ruderal habitats in early successional stages of the fungal community. In the greenhouse experiment, for instance, G. mosseae was abundant after 3 months, but could not be detected anymore after 10 months. In contrast, other phylotypes as GLOM-A17 (G. badium) and GLOM-A16 were detected almost exclusively in roots sampled from plants naturally growing in the grassland or from bait plants exposed in the field, indicating that they preferentially occur in late successional stages of fungal communities and thus represent the K strategy. The only phylotype found with high frequency in all three experimental approaches was GLOM A-1 (G. intraradices), which is known to be a generalist. These results indicate that, in greenhouse trap experiments, it is difficult to establish a root-colonizing AMF community reflecting the diversity of these fungi in the field roots because fungal succession in such artificial systems may bias the results. However, the field bait plant approach might be a convenient way to study the influence of different environmental factors on AMF community composition directly under the field conditions. For a better understanding of the dynamics of AMF communities, it will be necessary to classify AMF phylotypes and species according to their life history strategies.","DOI":"10.1007/s00572-007-0147-0","ISSN":"0940-6360","note":"PMID: 17879101","shortTitle":"The cultivation bias","journalAbbreviation":"Mycorrhiza","language":"eng","author":[{"family":"Sýkorová","given":"Zuzana"},{"family":"Ineichen","given":"Kurt"},{"family":"Wiemken","given":"Andres"},{"family":"Redecker","given":"Dirk"}],"issued":{"date-parts":[["2007",12]]}}},{"id":493,"uris":["http://zotero.org/users/local/d1gJDEOw/items/UPVGMQX5"],"uri":["http://zotero.org/users/local/d1gJDEOw/items/UPVGMQX5"],"itemData":{"id":493,"type":"article-journal","title":"Root colonization of bait plants by indigenous arbuscular mycorrhizal fungal communities is not a suitable indicator of agricultural land-use legacy","container-title":"Agriculture Ecosystems &amp; Environment","page":"310-319","volume":"231","source":"Web of Science","abstract":"Arbuscular mycorrhizal (AM) fungi are present in all soils and comprise an important component of soil biota with respect to plant nutrition and growth as well as soil quality. Previous research in a number of agroecosystems had documented large impacts from various management practices (e.g., tillage, fertilization, crop rotation) on the levels of host root colonization and/or composition of the AM fungal communities in the roots and soil. Here, we tested whether a standardized mycorrhizal bioassay could contribute to deciphering soil-use legacy through detection of consistent changes in the colonization pattern of a mycorrhizal bait plant (leek). To this end, we grew the leek in a large number (154) of soils under uniform environmental conditions. Most of the variation in the mycorrhizal colonization of bait plants grown in the different soils, could be attributed to soil properties and sampling site altitude, whereas the occurrence of specific structures (vesicles) was particularly correlated with abundance of certain AM fungal taxa such as Rhizophagus sp. Contributions of the root colonization of bait plants to explaining agricultural management practices and soil heavy metal concentrations (frequently used as indicators of soil quality) were comparatively small and partly counterintuitive. For example, higher incidence of arbuscules was detected in soils to which mineral fertilizers were applied as compared to organically farmed soils. Moreover, the explanatory power of the bioassay was much less than was that for soil respiration, a well established bioindicator of soil quality. Therefore, the mycorrhizal bioassay tested here appears not to be suitable as an interpreter of soil-use legacy, even though it does uncover very clear trends in colonization patterns of the bait plants by indigenous AM communities across large environmental gradients. (C) 2016 Elsevier B.V. All rights reserved.","DOI":"10.1016/j.agee.2016.07.013","ISSN":"0167-8809","note":"WOS:000382592700033","journalAbbreviation":"Agric. Ecosyst. Environ.","language":"English","author":[{"family":"Jansa","given":"Jan"},{"family":"Rezacova","given":"Veronika"},{"family":"Smilauer","given":"Petr"},{"family":"Oberholzer","given":"Hans-Rudolf"},{"family":"Egli","given":"Simon"}],"issued":{"date-parts":[["2016",9,1]]}}}],"schema":"https://github.com/citation-style-language/schema/raw/master/csl-citation.json"} </w:instrText>
      </w:r>
      <w:r>
        <w:fldChar w:fldCharType="separate"/>
      </w:r>
      <w:r w:rsidR="006B3935" w:rsidRPr="006B3935">
        <w:rPr>
          <w:rFonts w:cs="Times New Roman"/>
          <w:szCs w:val="24"/>
        </w:rPr>
        <w:t>(</w:t>
      </w:r>
      <w:proofErr w:type="spellStart"/>
      <w:r w:rsidR="006B3935" w:rsidRPr="006B3935">
        <w:rPr>
          <w:rFonts w:cs="Times New Roman"/>
          <w:szCs w:val="24"/>
        </w:rPr>
        <w:t>Sýkorová</w:t>
      </w:r>
      <w:proofErr w:type="spellEnd"/>
      <w:r w:rsidR="006B3935" w:rsidRPr="006B3935">
        <w:rPr>
          <w:rFonts w:cs="Times New Roman"/>
          <w:szCs w:val="24"/>
        </w:rPr>
        <w:t xml:space="preserve"> </w:t>
      </w:r>
      <w:r w:rsidR="006B3935" w:rsidRPr="006B3935">
        <w:rPr>
          <w:rFonts w:cs="Times New Roman"/>
          <w:i/>
          <w:iCs/>
          <w:szCs w:val="24"/>
        </w:rPr>
        <w:t>et al.</w:t>
      </w:r>
      <w:r w:rsidR="006B3935" w:rsidRPr="006B3935">
        <w:rPr>
          <w:rFonts w:cs="Times New Roman"/>
          <w:szCs w:val="24"/>
        </w:rPr>
        <w:t xml:space="preserve">, 2007; </w:t>
      </w:r>
      <w:proofErr w:type="spellStart"/>
      <w:r w:rsidR="006B3935" w:rsidRPr="006B3935">
        <w:rPr>
          <w:rFonts w:cs="Times New Roman"/>
          <w:szCs w:val="24"/>
        </w:rPr>
        <w:t>Jansa</w:t>
      </w:r>
      <w:proofErr w:type="spellEnd"/>
      <w:r w:rsidR="006B3935" w:rsidRPr="006B3935">
        <w:rPr>
          <w:rFonts w:cs="Times New Roman"/>
          <w:szCs w:val="24"/>
        </w:rPr>
        <w:t xml:space="preserve"> </w:t>
      </w:r>
      <w:r w:rsidR="006B3935" w:rsidRPr="006B3935">
        <w:rPr>
          <w:rFonts w:cs="Times New Roman"/>
          <w:i/>
          <w:iCs/>
          <w:szCs w:val="24"/>
        </w:rPr>
        <w:t>et al.</w:t>
      </w:r>
      <w:r w:rsidR="006B3935" w:rsidRPr="006B3935">
        <w:rPr>
          <w:rFonts w:cs="Times New Roman"/>
          <w:szCs w:val="24"/>
        </w:rPr>
        <w:t>, 2016)</w:t>
      </w:r>
      <w:r>
        <w:fldChar w:fldCharType="end"/>
      </w:r>
      <w:r>
        <w:t xml:space="preserve"> and it is </w:t>
      </w:r>
      <w:r w:rsidR="00223448">
        <w:t>recognised</w:t>
      </w:r>
      <w:r>
        <w:t xml:space="preserve"> that by using a leek bait plant system this study has filtered a subset of AMF from those that were present in the habitat soils. AMF species identified within the leek roots are those which are (</w:t>
      </w:r>
      <w:proofErr w:type="spellStart"/>
      <w:r>
        <w:t>i</w:t>
      </w:r>
      <w:proofErr w:type="spellEnd"/>
      <w:r>
        <w:t xml:space="preserve">) able to form symbiosis with leek, (ii) are able to colonise the leek rapidly enough following soil disturbance to be observed within the roots after 4 months of growth. Leek bait plants may therefore have caused over representation of competitive AMF types which are resilient to disturbance in comparison to slow growing, sensitive species.  </w:t>
      </w:r>
    </w:p>
    <w:p w:rsidR="00B46350" w:rsidRDefault="00B46350" w:rsidP="00B46350">
      <w:r>
        <w:t xml:space="preserve">Apple orchard AMF communities were composed mainly of Glomeraceae (66%), Claroideoglomeraceae (13%), Archaeosporaceae (9%) and a small proportion of </w:t>
      </w:r>
      <w:proofErr w:type="spellStart"/>
      <w:r>
        <w:t>Diversisporaceae</w:t>
      </w:r>
      <w:proofErr w:type="spellEnd"/>
      <w:r>
        <w:t xml:space="preserve"> (6%), </w:t>
      </w:r>
      <w:proofErr w:type="spellStart"/>
      <w:proofErr w:type="gramStart"/>
      <w:r>
        <w:t>Gigasporaceae</w:t>
      </w:r>
      <w:proofErr w:type="spellEnd"/>
      <w:proofErr w:type="gramEnd"/>
      <w:r>
        <w:t xml:space="preserve"> (3%) </w:t>
      </w:r>
      <w:proofErr w:type="spellStart"/>
      <w:r>
        <w:t>Acaulosporaceae</w:t>
      </w:r>
      <w:proofErr w:type="spellEnd"/>
      <w:r>
        <w:t xml:space="preserve"> (3%) and </w:t>
      </w:r>
      <w:proofErr w:type="spellStart"/>
      <w:r>
        <w:t>Ambisporaceae</w:t>
      </w:r>
      <w:proofErr w:type="spellEnd"/>
      <w:r>
        <w:t xml:space="preserve"> (1%). Dominance of Glomeraceae and Claroideoglomeraceae within apple orchards has also been reported in a recent study by Van </w:t>
      </w:r>
      <w:proofErr w:type="spellStart"/>
      <w:r>
        <w:t>Geel</w:t>
      </w:r>
      <w:proofErr w:type="spellEnd"/>
      <w:r>
        <w:t xml:space="preserve"> et al., </w:t>
      </w:r>
      <w:r w:rsidR="003B55DF">
        <w:t>(</w:t>
      </w:r>
      <w:r>
        <w:t>2015</w:t>
      </w:r>
      <w:r w:rsidR="003B55DF">
        <w:t>)</w:t>
      </w:r>
      <w:r>
        <w:t xml:space="preserve"> which used 454-pyrosequencing to identify AMF within apple roots collected from 18 conventional and 6 organic </w:t>
      </w:r>
      <w:r w:rsidR="00E2551B">
        <w:t>dessert</w:t>
      </w:r>
      <w:r>
        <w:t xml:space="preserve"> apple orchards in Belgium and found out of the 110 AMF OTUs identified, AMF were classified as Glomeraceae (73%), Claroideoglomeraceae (19%), </w:t>
      </w:r>
      <w:proofErr w:type="spellStart"/>
      <w:r>
        <w:t>Gigasporaceae</w:t>
      </w:r>
      <w:proofErr w:type="spellEnd"/>
      <w:r>
        <w:t xml:space="preserve"> (4%), </w:t>
      </w:r>
      <w:proofErr w:type="spellStart"/>
      <w:r>
        <w:t>Diversisporaceae</w:t>
      </w:r>
      <w:proofErr w:type="spellEnd"/>
      <w:r>
        <w:t xml:space="preserve"> (3%), </w:t>
      </w:r>
      <w:proofErr w:type="spellStart"/>
      <w:r>
        <w:t>Acaulosporaceae</w:t>
      </w:r>
      <w:proofErr w:type="spellEnd"/>
      <w:r>
        <w:t xml:space="preserve"> (1%), </w:t>
      </w:r>
      <w:proofErr w:type="spellStart"/>
      <w:r>
        <w:t>Paraglomeraceae</w:t>
      </w:r>
      <w:proofErr w:type="spellEnd"/>
      <w:r>
        <w:t xml:space="preserve"> (1%). This shows that despite use of leek bait plants as trap cultures by our study, AMF genera captured from the leek bait plant system were representative of those which have previously been found within apple roots by Van </w:t>
      </w:r>
      <w:proofErr w:type="spellStart"/>
      <w:r>
        <w:t>Geel</w:t>
      </w:r>
      <w:proofErr w:type="spellEnd"/>
      <w:r>
        <w:t xml:space="preserve"> </w:t>
      </w:r>
      <w:r w:rsidRPr="00390881">
        <w:rPr>
          <w:i/>
        </w:rPr>
        <w:t>et al</w:t>
      </w:r>
      <w:r>
        <w:t xml:space="preserve">., </w:t>
      </w:r>
      <w:r w:rsidR="003B55DF">
        <w:t>(</w:t>
      </w:r>
      <w:r>
        <w:t>2015</w:t>
      </w:r>
      <w:r w:rsidR="003B55DF">
        <w:t>)</w:t>
      </w:r>
      <w:r>
        <w:t xml:space="preserve">. </w:t>
      </w:r>
    </w:p>
    <w:p w:rsidR="00B46350" w:rsidRDefault="00B46350" w:rsidP="00B46350">
      <w:r>
        <w:t xml:space="preserve">When comparing the colonisation strategies of three AMF families (Glomeraceae, </w:t>
      </w:r>
      <w:proofErr w:type="spellStart"/>
      <w:r>
        <w:t>Acaulorsporaceae</w:t>
      </w:r>
      <w:proofErr w:type="spellEnd"/>
      <w:r>
        <w:t xml:space="preserve"> and </w:t>
      </w:r>
      <w:proofErr w:type="spellStart"/>
      <w:r>
        <w:t>Gigsasporaceae</w:t>
      </w:r>
      <w:proofErr w:type="spellEnd"/>
      <w:r>
        <w:t xml:space="preserve">) Hart and Reader, </w:t>
      </w:r>
      <w:r w:rsidR="003B55DF">
        <w:t>(</w:t>
      </w:r>
      <w:r>
        <w:t>2002</w:t>
      </w:r>
      <w:r w:rsidR="003B55DF">
        <w:t>)</w:t>
      </w:r>
      <w:r>
        <w:t xml:space="preserve"> found that three months was sufficient for species from all three families to be represented in the roots of leek trap culture plants despite the slower rate of colonisation by species of </w:t>
      </w:r>
      <w:proofErr w:type="spellStart"/>
      <w:r>
        <w:t>Gigasporaceae</w:t>
      </w:r>
      <w:proofErr w:type="spellEnd"/>
      <w:r>
        <w:t xml:space="preserve">, which regenerate from </w:t>
      </w:r>
      <w:r>
        <w:lastRenderedPageBreak/>
        <w:t xml:space="preserve">spores. However although all species were represented when comparing colonisation strategies of fungal isolates of AMF families; (Glomeraceae, </w:t>
      </w:r>
      <w:proofErr w:type="spellStart"/>
      <w:r>
        <w:t>Gigasporaceae</w:t>
      </w:r>
      <w:proofErr w:type="spellEnd"/>
      <w:r>
        <w:t xml:space="preserve"> and </w:t>
      </w:r>
      <w:proofErr w:type="spellStart"/>
      <w:r>
        <w:t>Acaulosporaceae</w:t>
      </w:r>
      <w:proofErr w:type="spellEnd"/>
      <w:r>
        <w:t xml:space="preserve">) over 12 weeks using four bait plant species (2 x </w:t>
      </w:r>
      <w:proofErr w:type="spellStart"/>
      <w:r w:rsidRPr="00CF3A1E">
        <w:rPr>
          <w:i/>
        </w:rPr>
        <w:t>Plantago</w:t>
      </w:r>
      <w:proofErr w:type="spellEnd"/>
      <w:r>
        <w:t xml:space="preserve"> </w:t>
      </w:r>
      <w:proofErr w:type="spellStart"/>
      <w:r>
        <w:t>sp</w:t>
      </w:r>
      <w:proofErr w:type="spellEnd"/>
      <w:r>
        <w:t xml:space="preserve">, 2 x </w:t>
      </w:r>
      <w:proofErr w:type="spellStart"/>
      <w:r w:rsidRPr="00CF3A1E">
        <w:rPr>
          <w:i/>
        </w:rPr>
        <w:t>Poa</w:t>
      </w:r>
      <w:proofErr w:type="spellEnd"/>
      <w:r>
        <w:t xml:space="preserve"> </w:t>
      </w:r>
      <w:proofErr w:type="spellStart"/>
      <w:r>
        <w:t>sp</w:t>
      </w:r>
      <w:proofErr w:type="spellEnd"/>
      <w:r>
        <w:t xml:space="preserve">) fungal biomass within bait plant roots was found to be highest for Glomeraceae isolates (mean of 1.74-4.64 </w:t>
      </w:r>
      <w:proofErr w:type="spellStart"/>
      <w:r>
        <w:t>ug</w:t>
      </w:r>
      <w:proofErr w:type="spellEnd"/>
      <w:r>
        <w:t xml:space="preserve"> g</w:t>
      </w:r>
      <w:r w:rsidRPr="00862F99">
        <w:rPr>
          <w:vertAlign w:val="superscript"/>
        </w:rPr>
        <w:t>-1</w:t>
      </w:r>
      <w:r>
        <w:t xml:space="preserve"> root </w:t>
      </w:r>
      <w:proofErr w:type="spellStart"/>
      <w:r>
        <w:t>d.wt</w:t>
      </w:r>
      <w:proofErr w:type="spellEnd"/>
      <w:r>
        <w:t xml:space="preserve">.) compared to </w:t>
      </w:r>
      <w:proofErr w:type="spellStart"/>
      <w:r>
        <w:t>Acaulosporaceae</w:t>
      </w:r>
      <w:proofErr w:type="spellEnd"/>
      <w:r>
        <w:t xml:space="preserve"> and </w:t>
      </w:r>
      <w:proofErr w:type="spellStart"/>
      <w:r>
        <w:t>Gigasporaceae</w:t>
      </w:r>
      <w:proofErr w:type="spellEnd"/>
      <w:r>
        <w:t xml:space="preserve"> (mean range from 0.82-1.41 </w:t>
      </w:r>
      <w:proofErr w:type="spellStart"/>
      <w:r>
        <w:t>ug</w:t>
      </w:r>
      <w:proofErr w:type="spellEnd"/>
      <w:r>
        <w:t xml:space="preserve"> g</w:t>
      </w:r>
      <w:r w:rsidRPr="002B4DD1">
        <w:rPr>
          <w:vertAlign w:val="superscript"/>
        </w:rPr>
        <w:t>-1</w:t>
      </w:r>
      <w:r>
        <w:t>). Fungi within the Glomeraceae are known to be rapid colonisers and able to produce high within</w:t>
      </w:r>
      <w:r w:rsidR="00DD7814">
        <w:t>-</w:t>
      </w:r>
      <w:r>
        <w:t xml:space="preserve">root biomass. Thus, the fact that the Glomeraceae family are shown to be well represented in all habitats within our study may be partly due to the ability of </w:t>
      </w:r>
      <w:r w:rsidRPr="00AF7454">
        <w:rPr>
          <w:i/>
        </w:rPr>
        <w:t>Glomus</w:t>
      </w:r>
      <w:r>
        <w:t xml:space="preserve"> to thrive in trap culture environments due to the colonisation strategy of this group. </w:t>
      </w:r>
    </w:p>
    <w:p w:rsidR="00B46350" w:rsidRDefault="00B46350" w:rsidP="00B46350">
      <w:pPr>
        <w:pStyle w:val="Heading2"/>
      </w:pPr>
      <w:bookmarkStart w:id="379" w:name="_Toc469855055"/>
      <w:bookmarkStart w:id="380" w:name="_Toc469856055"/>
      <w:bookmarkStart w:id="381" w:name="_Toc469931964"/>
      <w:bookmarkStart w:id="382" w:name="_Toc469982285"/>
      <w:r>
        <w:t>Conclusion</w:t>
      </w:r>
      <w:bookmarkEnd w:id="379"/>
      <w:bookmarkEnd w:id="380"/>
      <w:bookmarkEnd w:id="381"/>
      <w:bookmarkEnd w:id="382"/>
    </w:p>
    <w:p w:rsidR="00B46350" w:rsidRDefault="00B46350" w:rsidP="00B46350">
      <w:r>
        <w:t xml:space="preserve">This study compares for the first time AMF community composition between three cider apple orchard management types </w:t>
      </w:r>
      <w:r w:rsidR="003B55DF">
        <w:t>with</w:t>
      </w:r>
      <w:r>
        <w:t xml:space="preserve"> </w:t>
      </w:r>
      <w:r w:rsidR="003B55DF">
        <w:t xml:space="preserve">those of </w:t>
      </w:r>
      <w:r>
        <w:t xml:space="preserve">arable </w:t>
      </w:r>
      <w:r w:rsidR="003B55DF">
        <w:t>and</w:t>
      </w:r>
      <w:r>
        <w:t xml:space="preserve"> woodland habitats</w:t>
      </w:r>
      <w:r w:rsidR="003B55DF">
        <w:t>,</w:t>
      </w:r>
      <w:r>
        <w:t xml:space="preserve"> specifically testing the following hypotheses:</w:t>
      </w:r>
    </w:p>
    <w:p w:rsidR="00B46350" w:rsidRPr="007A1FCF" w:rsidRDefault="00B46350" w:rsidP="005D6985">
      <w:pPr>
        <w:pStyle w:val="ListParagraph"/>
        <w:numPr>
          <w:ilvl w:val="0"/>
          <w:numId w:val="13"/>
        </w:numPr>
      </w:pPr>
      <w:r>
        <w:t xml:space="preserve">Intensive orchard management would impact the AMF community with conventional bush orchards showing reduced AMF richness and evenness and significant differences in community composition and taxa relative abundance when compared to conventional standard and organic standard orchards. </w:t>
      </w:r>
    </w:p>
    <w:p w:rsidR="00B46350" w:rsidRPr="007A1FCF" w:rsidRDefault="00B46350" w:rsidP="005D6985">
      <w:pPr>
        <w:pStyle w:val="ListParagraph"/>
        <w:numPr>
          <w:ilvl w:val="0"/>
          <w:numId w:val="13"/>
        </w:numPr>
      </w:pPr>
      <w:r>
        <w:t>AMF communities of orchards show greater similarity with those of woodlands to those of arable fields.</w:t>
      </w:r>
      <w:r w:rsidRPr="007A1FCF">
        <w:t xml:space="preserve"> </w:t>
      </w:r>
    </w:p>
    <w:p w:rsidR="00B46350" w:rsidRPr="00502F68" w:rsidRDefault="00B46350" w:rsidP="00B46350">
      <w:r>
        <w:t xml:space="preserve">The results from this study show that hypothesis one should be rejected as all three orchard management types showed high similarity in AMF diversity, structure and composition irrespective of management type. </w:t>
      </w:r>
      <w:r w:rsidRPr="00E625F1">
        <w:rPr>
          <w:rFonts w:cs="Times New Roman"/>
        </w:rPr>
        <w:t xml:space="preserve">Despite receiving higher application rates of inorganic fertilisers and herbicide, negligible negative effects upon AMF structure and composition were found in conventional bush orchards and in contrast to previous studies no evidence of improved AMF diversity within organic orchard types was shown. Similarity between AMF community composition and diversity of orchards in comparison </w:t>
      </w:r>
      <w:r w:rsidR="003B55DF">
        <w:rPr>
          <w:rFonts w:cs="Times New Roman"/>
        </w:rPr>
        <w:t xml:space="preserve">to </w:t>
      </w:r>
      <w:r w:rsidRPr="00E625F1">
        <w:rPr>
          <w:rFonts w:cs="Times New Roman"/>
        </w:rPr>
        <w:t>broadleaved woodland soils suggests that all orchard types are able to sustain relatively natural AMF communities.</w:t>
      </w:r>
    </w:p>
    <w:p w:rsidR="002F645F" w:rsidRDefault="00B46350" w:rsidP="00E95851">
      <w:pPr>
        <w:sectPr w:rsidR="002F645F" w:rsidSect="00B46350">
          <w:pgSz w:w="11906" w:h="16838" w:code="9"/>
          <w:pgMar w:top="1134" w:right="1134" w:bottom="1134" w:left="2268" w:header="709" w:footer="709" w:gutter="0"/>
          <w:cols w:space="708"/>
          <w:docGrid w:linePitch="360"/>
        </w:sectPr>
      </w:pPr>
      <w:r>
        <w:t xml:space="preserve">In contrast, hypothesis two was supported by the data from this study which showed a greater difference between orchard AMF communities when compared to arable soils than those of woodland. </w:t>
      </w:r>
      <w:r>
        <w:rPr>
          <w:rFonts w:cs="Times New Roman"/>
        </w:rPr>
        <w:t>Similarity of orchard AMF communities to those of “natural” woodland habitats suggests that even under intensive management, orchard production systems do not impact AMF communities to the same extent as arable agriculture.</w:t>
      </w:r>
      <w:r w:rsidR="00E95851">
        <w:t xml:space="preserve"> </w:t>
      </w:r>
    </w:p>
    <w:p w:rsidR="002F645F" w:rsidRPr="000B5F7C" w:rsidRDefault="002F645F" w:rsidP="00E62128">
      <w:pPr>
        <w:pStyle w:val="Heading1"/>
        <w:tabs>
          <w:tab w:val="left" w:pos="1843"/>
        </w:tabs>
      </w:pPr>
      <w:bookmarkStart w:id="383" w:name="_Toc469855056"/>
      <w:bookmarkStart w:id="384" w:name="_Toc469856056"/>
      <w:bookmarkStart w:id="385" w:name="_Toc469931965"/>
      <w:bookmarkStart w:id="386" w:name="_Toc469982286"/>
      <w:r>
        <w:lastRenderedPageBreak/>
        <w:t>Investigating the effects of orchard management upon AMF communities colonising apple tree roots and the relationship between AMF richness, taxa abundance and apple yield.</w:t>
      </w:r>
      <w:bookmarkEnd w:id="383"/>
      <w:bookmarkEnd w:id="384"/>
      <w:bookmarkEnd w:id="385"/>
      <w:bookmarkEnd w:id="386"/>
    </w:p>
    <w:p w:rsidR="002F645F" w:rsidRDefault="002F645F" w:rsidP="002F645F">
      <w:pPr>
        <w:pStyle w:val="Heading2"/>
        <w:rPr>
          <w:rFonts w:cs="Times New Roman"/>
          <w:szCs w:val="28"/>
        </w:rPr>
      </w:pPr>
      <w:bookmarkStart w:id="387" w:name="_Toc469855057"/>
      <w:bookmarkStart w:id="388" w:name="_Toc469856057"/>
      <w:bookmarkStart w:id="389" w:name="_Toc469931966"/>
      <w:bookmarkStart w:id="390" w:name="_Toc469982287"/>
      <w:r w:rsidRPr="00F779C0">
        <w:rPr>
          <w:rFonts w:cs="Times New Roman"/>
          <w:szCs w:val="28"/>
        </w:rPr>
        <w:t>Summary</w:t>
      </w:r>
      <w:bookmarkEnd w:id="387"/>
      <w:bookmarkEnd w:id="388"/>
      <w:bookmarkEnd w:id="389"/>
      <w:bookmarkEnd w:id="390"/>
    </w:p>
    <w:p w:rsidR="002F645F" w:rsidRPr="00E62128" w:rsidRDefault="002F645F" w:rsidP="00E62128">
      <w:pPr>
        <w:pStyle w:val="ListParagraph"/>
        <w:numPr>
          <w:ilvl w:val="0"/>
          <w:numId w:val="20"/>
        </w:numPr>
      </w:pPr>
      <w:r w:rsidRPr="00E62128">
        <w:t>Developing agricultural systems which are able to balance productivity and sustainability is critical for ensuring future food security. Arbuscular mycorrhizal fungi (AMF) play an important role in many key ecosystem functions and are able to form symbioses with apple (</w:t>
      </w:r>
      <w:r w:rsidRPr="00E62128">
        <w:rPr>
          <w:i/>
        </w:rPr>
        <w:t>Malus pumila</w:t>
      </w:r>
      <w:r w:rsidRPr="00E62128">
        <w:t>) which is amongst the most widely grown fruits globally. To assess the potent</w:t>
      </w:r>
      <w:r w:rsidR="008558BA">
        <w:t>ial for utilising AMF to enhance</w:t>
      </w:r>
      <w:r w:rsidRPr="00E62128">
        <w:t xml:space="preserve"> apple orchard sustainability several key questions must be addressed (</w:t>
      </w:r>
      <w:proofErr w:type="spellStart"/>
      <w:r w:rsidRPr="00E62128">
        <w:t>i</w:t>
      </w:r>
      <w:proofErr w:type="spellEnd"/>
      <w:r w:rsidRPr="00E62128">
        <w:t>) what are the AMF communities naturally found within apple orchards</w:t>
      </w:r>
      <w:r w:rsidR="008558BA">
        <w:t xml:space="preserve">? </w:t>
      </w:r>
      <w:r w:rsidRPr="00E62128">
        <w:t xml:space="preserve">(ii) </w:t>
      </w:r>
      <w:proofErr w:type="gramStart"/>
      <w:r w:rsidRPr="00E62128">
        <w:t>are</w:t>
      </w:r>
      <w:proofErr w:type="gramEnd"/>
      <w:r w:rsidRPr="00E62128">
        <w:t xml:space="preserve"> they impacted by orchard management</w:t>
      </w:r>
      <w:r w:rsidR="008558BA">
        <w:t xml:space="preserve">? </w:t>
      </w:r>
      <w:r w:rsidRPr="00E62128">
        <w:t xml:space="preserve">(iii) </w:t>
      </w:r>
      <w:proofErr w:type="gramStart"/>
      <w:r w:rsidRPr="00E62128">
        <w:t>do</w:t>
      </w:r>
      <w:proofErr w:type="gramEnd"/>
      <w:r w:rsidRPr="00E62128">
        <w:t xml:space="preserve"> AMF communities affect tree </w:t>
      </w:r>
      <w:r w:rsidR="008558BA">
        <w:t>productivity at the field scale?</w:t>
      </w:r>
    </w:p>
    <w:p w:rsidR="002F645F" w:rsidRPr="00E62128" w:rsidRDefault="002F645F" w:rsidP="00E62128">
      <w:pPr>
        <w:pStyle w:val="ListParagraph"/>
        <w:numPr>
          <w:ilvl w:val="0"/>
          <w:numId w:val="20"/>
        </w:numPr>
      </w:pPr>
      <w:r w:rsidRPr="00E62128">
        <w:t xml:space="preserve">This study used terminal restriction fragment length polymorphism (TRFLP) analysis- a high throughput community fingerprinting technique to characterise the AMF communities colonising the roots of 150 apple trees within 75 apple orchards under three contrasting orchard management types. Using data collected per orchard relating to management factors including nitrogen and phosphorus fertiliser application rates, the effect of orchard management upon </w:t>
      </w:r>
      <w:r w:rsidR="008558BA">
        <w:t xml:space="preserve">AMF </w:t>
      </w:r>
      <w:r w:rsidRPr="00E62128">
        <w:t xml:space="preserve">diversity, community </w:t>
      </w:r>
      <w:r w:rsidR="008558BA">
        <w:t>structure and taxa abundance were</w:t>
      </w:r>
      <w:r w:rsidRPr="00E62128">
        <w:t xml:space="preserve"> examined. The relationship between tree yield (mean annual fresh fruit weight) and AMF richness and taxa relative abundance was examined using yield data collected for a subset of 120 trees over two consecutive harvests. </w:t>
      </w:r>
    </w:p>
    <w:p w:rsidR="002F645F" w:rsidRPr="00E62128" w:rsidRDefault="002F645F" w:rsidP="00E62128">
      <w:pPr>
        <w:pStyle w:val="ListParagraph"/>
        <w:numPr>
          <w:ilvl w:val="0"/>
          <w:numId w:val="20"/>
        </w:numPr>
      </w:pPr>
      <w:r w:rsidRPr="00E62128">
        <w:t>Our results show that AMF richness</w:t>
      </w:r>
      <w:r w:rsidR="008558BA">
        <w:t xml:space="preserve"> within apple roots</w:t>
      </w:r>
      <w:r w:rsidRPr="00E62128">
        <w:t xml:space="preserve"> is highest in conventional bush orchards which are most intensively managed; a result which may partly be explained by the younger age of these orchard types.  In contrast, community composition and taxa relative abundance </w:t>
      </w:r>
      <w:r w:rsidR="008558BA">
        <w:t>showed only minor differences</w:t>
      </w:r>
      <w:r w:rsidRPr="00E62128">
        <w:t xml:space="preserve"> between all orchard management types. No relationship between the AMF communities colonising apple trees (richness or taxa relative abundance) and fruit yield of trees was found.</w:t>
      </w:r>
    </w:p>
    <w:p w:rsidR="002F645F" w:rsidRPr="00E62128" w:rsidRDefault="002F645F" w:rsidP="00E62128">
      <w:pPr>
        <w:pStyle w:val="ListParagraph"/>
        <w:numPr>
          <w:ilvl w:val="0"/>
          <w:numId w:val="20"/>
        </w:numPr>
      </w:pPr>
      <w:r w:rsidRPr="00E62128">
        <w:t xml:space="preserve">Overall, this study presents the first large scale </w:t>
      </w:r>
      <w:r w:rsidR="009816A7">
        <w:t>characterisation</w:t>
      </w:r>
      <w:r w:rsidRPr="00E62128">
        <w:t xml:space="preserve"> of AMF colonising apple </w:t>
      </w:r>
      <w:r w:rsidR="009816A7">
        <w:t>t</w:t>
      </w:r>
      <w:r w:rsidR="00983887">
        <w:t>rees</w:t>
      </w:r>
      <w:r w:rsidR="008558BA">
        <w:t xml:space="preserve"> with</w:t>
      </w:r>
      <w:r w:rsidRPr="00E62128">
        <w:t>in UK cider orchards and is the first to investigate the relati</w:t>
      </w:r>
      <w:r w:rsidR="009816A7">
        <w:t>onships between AMF richness and</w:t>
      </w:r>
      <w:r w:rsidRPr="00E62128">
        <w:t xml:space="preserve"> taxa abundance and apple tree productivity. Our results show that irrespective of management, apple trees across a range of orchard types are able to support </w:t>
      </w:r>
      <w:r w:rsidRPr="00E62128">
        <w:lastRenderedPageBreak/>
        <w:t xml:space="preserve">a relatively complex/rich AMF community which may largely be due to the low </w:t>
      </w:r>
      <w:r w:rsidR="009816A7">
        <w:t>soil disturbance within</w:t>
      </w:r>
      <w:r w:rsidRPr="00E62128">
        <w:t xml:space="preserve"> orchard systems. </w:t>
      </w:r>
    </w:p>
    <w:p w:rsidR="002F645F" w:rsidRDefault="000F2456" w:rsidP="002F645F">
      <w:pPr>
        <w:pStyle w:val="Heading2"/>
      </w:pPr>
      <w:r>
        <w:br w:type="page"/>
      </w:r>
      <w:bookmarkStart w:id="391" w:name="_Toc469855058"/>
      <w:bookmarkStart w:id="392" w:name="_Toc469856058"/>
      <w:bookmarkStart w:id="393" w:name="_Toc469931967"/>
      <w:bookmarkStart w:id="394" w:name="_Toc469982288"/>
      <w:r w:rsidR="002F645F" w:rsidRPr="000B5F7C">
        <w:lastRenderedPageBreak/>
        <w:t>Introduction</w:t>
      </w:r>
      <w:bookmarkEnd w:id="391"/>
      <w:bookmarkEnd w:id="392"/>
      <w:bookmarkEnd w:id="393"/>
      <w:bookmarkEnd w:id="394"/>
    </w:p>
    <w:p w:rsidR="002F645F" w:rsidRDefault="002F645F" w:rsidP="002F645F">
      <w:r>
        <w:t xml:space="preserve">Developing sustainable agricultural systems which are able to balance both productivity and environmental sustainability is a </w:t>
      </w:r>
      <w:r w:rsidR="009816A7">
        <w:t>critical challenge for humanity</w:t>
      </w:r>
      <w:r>
        <w:t xml:space="preserve"> </w:t>
      </w:r>
      <w:r>
        <w:fldChar w:fldCharType="begin"/>
      </w:r>
      <w:r w:rsidR="00954B3D">
        <w:instrText xml:space="preserve"> ADDIN ZOTERO_ITEM CSL_CITATION {"citationID":"1qb1be5ub8","properties":{"formattedCitation":"(Pretty, 2008)","plainCitation":"(Pretty, 2008)"},"citationItems":[{"id":122,"uris":["http://zotero.org/users/local/d1gJDEOw/items/EAZKFBQV"],"uri":["http://zotero.org/users/local/d1gJDEOw/items/EAZKFBQV"],"itemData":{"id":122,"type":"article-journal","title":"Agricultural Sustainability: Concepts, Principles and Evidence","container-title":"Philosophical Transactions: Biological Sciences","page":"447-465","volume":"363","issue":"1491","source":"JSTOR","abstract":"Concerns about sustainability in agricultural systems centre on the need to develop technologies and practices that do not have adverse effects on environmental goods and services, are accessible to and effective for farmers, and lead to improvements in food productivity. Despite great progress in agricultural productivity in the past half-century, with crop and livestock productivity strongly driven by increased use of fertilizers, irrigation water, agricultural machinery, pesticides and land, it would be over-optimistic to assume that these relationships will remain linear in the future. New approaches are needed that will integrate biological and ecological processes into food production, minimize the use of those non-renewable inputs that cause harm to the environment or to the health of farmers and consumers, make productive use of the knowledge and skills of farmers, so substituting human capital for costly external inputs, and make productive use of people's collective capacities to work together to solve common agricultural and natural resource problems, such as for pest, watershed, irrigation, forest and credit management. These principles help to build important capital assets for agricultural systems: natural; social; human; physical; and financial capital. Improving natural capital is a central aim, and dividends can come from making the best use of the genotypes of crops and animals and the ecological conditions under which they are grown or raised. Agricultural sustainability suggests a focus on both genotype improvements through the full range of modern biological approaches and improved understanding of the benefits of ecological and agronomic management, manipulation and redesign. The ecological management of agroecosystems that addresses energy flows, nutrient cycling, population-regulating mechanisms and system resilience can lead to the redesign of agriculture at a landscape scale. Sustainable agriculture outcomes can be positive for food productivity, reduced pesticide use and carbon balances. Significant challenges, however, remain to develop national and international policies to support the wider emergence of more sustainable forms of agricultural production across both industrialized and developing countries.","ISSN":"0962-8436","shortTitle":"Agricultural Sustainability","journalAbbreviation":"Philosophical Transactions: Biological Sciences","author":[{"family":"Pretty","given":"Jules"}],"issued":{"date-parts":[["2008"]]}}}],"schema":"https://github.com/citation-style-language/schema/raw/master/csl-citation.json"} </w:instrText>
      </w:r>
      <w:r>
        <w:fldChar w:fldCharType="separate"/>
      </w:r>
      <w:r w:rsidR="00954B3D" w:rsidRPr="00954B3D">
        <w:rPr>
          <w:rFonts w:cs="Times New Roman"/>
        </w:rPr>
        <w:t>(Pretty, 2008)</w:t>
      </w:r>
      <w:r>
        <w:fldChar w:fldCharType="end"/>
      </w:r>
      <w:r>
        <w:t xml:space="preserve">. Awareness of the environmental impact of high input intensive agriculture has driven research interest in developing agricultural sustainability through utilising components of natural ecosystems </w:t>
      </w:r>
      <w:r>
        <w:fldChar w:fldCharType="begin"/>
      </w:r>
      <w:r w:rsidR="00954B3D">
        <w:instrText xml:space="preserve"> ADDIN ZOTERO_ITEM CSL_CITATION {"citationID":"d117vfq2t","properties":{"formattedCitation":"{\\rtf (Tilman {\\i{}et al.}, 2002)}","plainCitation":"(Tilman et al., 2002)"},"citationItems":[{"id":114,"uris":["http://zotero.org/users/local/d1gJDEOw/items/7UZ489J3"],"uri":["http://zotero.org/users/local/d1gJDEOw/items/7UZ489J3"],"itemData":{"id":114,"type":"article-journal","title":"Agricultural sustainability and intensive production practices","container-title":"Nature","page":"671-677","volume":"418","issue":"6898","DOI":"10.1038/nature01014","ISSN":"0028-0836","journalAbbreviation":"Nature","author":[{"family":"Tilman","given":"David"},{"family":"Cassman","given":"Kenneth G."},{"family":"Matson","given":"Pamela A."},{"family":"Naylor","given":"Rosamond"},{"family":"Polasky","given":"Stephen"}],"issued":{"date-parts":[["2002",8,8]]}}}],"schema":"https://github.com/citation-style-language/schema/raw/master/csl-citation.json"}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Tilman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2002)</w:t>
      </w:r>
      <w:r>
        <w:fldChar w:fldCharType="end"/>
      </w:r>
      <w:r>
        <w:t xml:space="preserve">. Arbuscular mycorrhizal fungi (AMF) are an important constituent of the soil microbial community and play a vital role in many ecosystem functions including plant productivity </w:t>
      </w:r>
      <w:r>
        <w:fldChar w:fldCharType="begin"/>
      </w:r>
      <w:r w:rsidR="00954B3D">
        <w:instrText xml:space="preserve"> ADDIN ZOTERO_ITEM CSL_CITATION {"citationID":"2jdadva7t1","properties":{"formattedCitation":"{\\rtf (van der Heijden {\\i{}et al.}, 2008)}","plainCitation":"(van der Heijden et al., 2008)"},"citationItems":[{"id":403,"uris":["http://zotero.org/users/local/d1gJDEOw/items/EZR8WUV8"],"uri":["http://zotero.org/users/local/d1gJDEOw/items/EZR8WUV8"],"itemData":{"id":403,"type":"article-journal","title":"The unseen majority: soil microbes as drivers of plant diversity and productivity in terrestrial ecosystems","container-title":"Ecology Letters","page":"296-310","volume":"11","issue":"3","source":"Wiley Online Library","abstract":"Microbes are the unseen majority in soil and comprise a large portion of life’s genetic diversity. Despite their abundance, the impact of soil microbes on ecosystem processes is still poorly understood. Here we explore the various roles that soil microbes play in terrestrial ecosystems with special emphasis on their contribution to plant productivity and diversity. Soil microbes are important regulators of plant productivity, especially in nutrient poor ecosystems where plant symbionts are responsible for the acquisition of limiting nutrients. Mycorrhizal fungi and nitrogen-fixing bacteria are responsible for c. 5–20% (grassland and savannah) to 80% (temperate and boreal forests) of all nitrogen, and up to 75% of phosphorus, that is acquired by plants annually. Free-living microbes also strongly regulate plant productivity, through the mineralization of, and competition for, nutrients that sustain plant productivity. Soil microbes, including microbial pathogens, are also important regulators of plant community dynamics and plant diversity, determining plant abundance and, in some cases, facilitating invasion by exotic plants. Conservative estimates suggest that c. 20 000 plant species are completely dependent on microbial symbionts for growth and survival pointing to the importance of soil microbes as regulators of plant species richness on Earth. Overall, this review shows that soil microbes must be considered as important drivers of plant diversity and productivity in terrestrial ecosystems.","DOI":"10.1111/j.1461-0248.2007.01139.x","ISSN":"1461-0248","shortTitle":"The unseen majority","language":"en","author":[{"family":"Heijden","given":"Marcel G. A.","non-dropping-particle":"van der"},{"family":"Bardgett","given":"Richard D."},{"family":"Van Straalen","given":"Nico M."}],"issued":{"date-parts":[["2008",3,1]]}}}],"schema":"https://github.com/citation-style-language/schema/raw/master/csl-citation.json"} </w:instrText>
      </w:r>
      <w:r>
        <w:fldChar w:fldCharType="separate"/>
      </w:r>
      <w:r w:rsidR="00954B3D" w:rsidRPr="00954B3D">
        <w:rPr>
          <w:rFonts w:cs="Times New Roman"/>
          <w:szCs w:val="24"/>
        </w:rPr>
        <w:t xml:space="preserve">(van der </w:t>
      </w:r>
      <w:proofErr w:type="spellStart"/>
      <w:r w:rsidR="00954B3D" w:rsidRPr="00954B3D">
        <w:rPr>
          <w:rFonts w:cs="Times New Roman"/>
          <w:szCs w:val="24"/>
        </w:rPr>
        <w:t>Heijden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2008)</w:t>
      </w:r>
      <w:r>
        <w:fldChar w:fldCharType="end"/>
      </w:r>
      <w:r>
        <w:t xml:space="preserve">. However there are still many unknowns relating to AMF functioning within sustainable agro-ecosystems </w:t>
      </w:r>
      <w:r>
        <w:fldChar w:fldCharType="begin"/>
      </w:r>
      <w:r w:rsidR="00954B3D">
        <w:instrText xml:space="preserve"> ADDIN ZOTERO_ITEM CSL_CITATION {"citationID":"1lfo3n9ps2","properties":{"formattedCitation":"(Fester &amp; Sawers, 2011)","plainCitation":"(Fester &amp; Sawers, 2011)"},"citationItems":[{"id":140,"uris":["http://zotero.org/users/local/d1gJDEOw/items/9IE68PVG"],"uri":["http://zotero.org/users/local/d1gJDEOw/items/9IE68PVG"],"itemData":{"id":140,"type":"article-journal","title":"Progress and Challenges in Agricultural Applications of Arbuscular Mycorrhizal Fungi","container-title":"Critical Reviews in Plant Sciences","page":"459-470","volume":"30","issue":"5","source":"Taylor and Francis+NEJM","abstract":"Arbuscular mycorrhiza is a widespread interaction between plant roots and mutualistic fungi that both promotes plant mineral nutrition and supports stability in many natural ecosystems. Given the demand in current agriculture for these ecosystem services, it appears desirable to further integrate this interaction in current management schemes. While two different approaches can be identified in this regard, a number of problems have limited the agricultural application of mycorrhiza to date. In this review, the sensitivity of arbuscular mycorrhizal fungi to certain agricultural management methods, the functional variability of arbuscular mycorrhizal fungi, and the variability of plant responsiveness will be discussed in particular. In addition we will focus on recent advances in the study of mycorrhiza in natural ecosystems, and illustrate how such knowledge might be used to further the integration of arbuscular mycorrhizal fungi in agricultural regimes, and so increase the sustainability and robustness of current practice.","DOI":"10.1080/07352689.2011.605741","ISSN":"0735-2689","author":[{"family":"Fester","given":"T."},{"family":"Sawers","given":"R."}],"issued":{"date-parts":[["2011",9,1]]}}}],"schema":"https://github.com/citation-style-language/schema/raw/master/csl-citation.json"} </w:instrText>
      </w:r>
      <w:r>
        <w:fldChar w:fldCharType="separate"/>
      </w:r>
      <w:r w:rsidR="00954B3D" w:rsidRPr="00954B3D">
        <w:rPr>
          <w:rFonts w:cs="Times New Roman"/>
        </w:rPr>
        <w:t xml:space="preserve">(Fester &amp; </w:t>
      </w:r>
      <w:proofErr w:type="spellStart"/>
      <w:r w:rsidR="00954B3D" w:rsidRPr="00954B3D">
        <w:rPr>
          <w:rFonts w:cs="Times New Roman"/>
        </w:rPr>
        <w:t>Sawers</w:t>
      </w:r>
      <w:proofErr w:type="spellEnd"/>
      <w:r w:rsidR="00954B3D" w:rsidRPr="00954B3D">
        <w:rPr>
          <w:rFonts w:cs="Times New Roman"/>
        </w:rPr>
        <w:t>, 2011)</w:t>
      </w:r>
      <w:r>
        <w:fldChar w:fldCharType="end"/>
      </w:r>
      <w:r>
        <w:t xml:space="preserve">. </w:t>
      </w:r>
    </w:p>
    <w:p w:rsidR="002F645F" w:rsidRDefault="002F645F" w:rsidP="002F645F">
      <w:r>
        <w:t xml:space="preserve">A key research priority regarding the potential role of AMF within sustainable agro-ecosystems is understanding the extent to which AMF may improve crop plant productivity.  AMF are known to affect plant productivity principally through direct effects on host plant nutrient supply </w:t>
      </w:r>
      <w:r>
        <w:fldChar w:fldCharType="begin"/>
      </w:r>
      <w:r w:rsidR="00FB6511">
        <w:instrText xml:space="preserve"> ADDIN ZOTERO_ITEM CSL_CITATION {"citationID":"2c1nfn6184","properties":{"formattedCitation":"(Smith &amp; Read, 2008; Smith &amp; Smith, 2011a)","plainCitation":"(Smith &amp; Read, 2008; Smith &amp; Smith, 2011a)"},"citationItems":[{"id":366,"uris":["http://zotero.org/users/local/d1gJDEOw/items/QCZ7TGSK"],"uri":["http://zotero.org/users/local/d1gJDEOw/items/QCZ7TGSK"],"itemData":{"id":366,"type":"book","title":"Mycorrhizal Symbiosis","publisher":"Academic Press","publisher-place":"London","source":"ScienceDirect","event-place":"London","URL":"http://www.sciencedirect.com/science/article/pii/B9780123705266500027","ISBN":"978-0-12-370526-6","author":[{"family":"Smith","given":"Sally E."},{"family":"Read","given":"David"}],"issued":{"date-parts":[["2008"]]},"accessed":{"date-parts":[["2016",9,27]]}}},{"id":178,"uris":["http://zotero.org/users/local/d1gJDEOw/items/9VG7ZU42"],"uri":["http://zotero.org/users/local/d1gJDEOw/items/9VG7ZU42"],"itemData":{"id":178,"type":"chapter","title":"Roles of Arbuscular Mycorrhizas in Plant Nutrition and Growth: New Paradigms from Cellular to Ecosystem Scales","container-title":"Annual Review of Plant Biology, Vol 62","publisher":"Annual Reviews","publisher-place":"Palo Alto","page":"227-250","volume":"62","source":"Web of Science","event-place":"Palo Alto","abstract":"Root systems of most land plants form arbuscular mycorrhizal (AM) symbioses in the field, and these contribute to nutrient uptake. AM roots have two pathways for nutrient absorption, directly through the root: epidermis and root hairs and via AM fungal hyphae into root cortical cells, where arbuscules or hyphal coils provide symbiotic interfaces. New physiological and molecular evidence shows that for phosphorus the mycorrhizal pathway (MP) is operational regardless of plant growth responses (positive or negative). Amounts delivered cannot be determined from plant nutrient contents because when responses are negative the contribution of the direct pathway (DP) is reduced. Nitrogen (N) is also delivered to roots via an MP, but the contribution to total N requirement and the costs to the plant are not clear. The functional interplay between activities of the DP and MP has important implications for consideration of AM symbioses in ecological, agronomic, and evolutionary contexts.","ISBN":"978-0-8243-0662-5","note":"WOS:000292009300010","shortTitle":"Roles of Arbuscular Mycorrhizas in Plant Nutrition and Growth","language":"English","author":[{"family":"Smith","given":"Sally E."},{"family":"Smith","given":"F. Andrew"}],"editor":[{"family":"Merchant","given":"S. S."},{"family":"Briggs","given":"W. R."},{"family":"Ort","given":"D."}],"issued":{"date-parts":[["2011"]]}}}],"schema":"https://github.com/citation-style-language/schema/raw/master/csl-citation.json"} </w:instrText>
      </w:r>
      <w:r>
        <w:fldChar w:fldCharType="separate"/>
      </w:r>
      <w:r w:rsidR="00FB6511" w:rsidRPr="00FB6511">
        <w:rPr>
          <w:rFonts w:cs="Times New Roman"/>
        </w:rPr>
        <w:t>(Smith &amp; Read, 2008; Smith &amp; Smith, 2011a)</w:t>
      </w:r>
      <w:r>
        <w:fldChar w:fldCharType="end"/>
      </w:r>
      <w:r>
        <w:t xml:space="preserve"> (as detailed in Chapter 2) but also indirectly through effects on plant competitive interactions </w:t>
      </w:r>
      <w:r>
        <w:fldChar w:fldCharType="begin"/>
      </w:r>
      <w:r w:rsidR="00954B3D">
        <w:instrText xml:space="preserve"> ADDIN ZOTERO_ITEM CSL_CITATION {"citationID":"1ujmubatp7","properties":{"formattedCitation":"(Cameron, 2010)","plainCitation":"(Cameron, 2010)"},"citationItems":[{"id":149,"uris":["http://zotero.org/users/local/d1gJDEOw/items/G385TKN4"],"uri":["http://zotero.org/users/local/d1gJDEOw/items/G385TKN4"],"itemData":{"id":149,"type":"article-journal","title":"Arbuscular mycorrhizal fungi as (agro)ecosystem engineers","container-title":"Plant and Soil","page":"1-5","volume":"333","issue":"1","abstract":"Symbiotic interactions have been shown to facilitate shifts in the structure and function of host plant communities. For example, parasitic plants can induce changes in plant diversity through the suppression of competitive community dominants. Arbuscular mycorrhizal (AM) fungi have also be shown to induce shifts in host communities by increasing host plant nutrient uptake and growth while suppressing non-mycorrhizal species. AM fungi can therefore function as ecosystem engineers facilitating shifts in host plant communities though the presumed physiological suppression of non-contributing or non-mycorrhizal plant species. This dichotomy in plant response to AM fungi has been suggested as a tool to suppress weed species (many of which are non-mycorrhizal) in agro-ecosystems where mycorrhizal crop species are cultivated. Rinaudo et al. (2010), this issue, have demonstrated that AM fungi can suppress pernicious non-mycorrhizal weed species including Chenopodium album (fat hen) while benefiting the crop plant Helianthus annuus (sunflower). These findings now suggest a future for harnessing AM fungi as agro-ecosystem engineers representing potential alternatives to costly and environmentally damaging herbicides.","DOI":"10.1007/s11104-010-0361-y","ISSN":"1573-5036","journalAbbreviation":"Plant and Soil","author":[{"family":"Cameron","given":"Duncan D."}],"issued":{"date-parts":[["2010"]]}}}],"schema":"https://github.com/citation-style-language/schema/raw/master/csl-citation.json"} </w:instrText>
      </w:r>
      <w:r>
        <w:fldChar w:fldCharType="separate"/>
      </w:r>
      <w:r w:rsidR="00954B3D" w:rsidRPr="00954B3D">
        <w:rPr>
          <w:rFonts w:cs="Times New Roman"/>
        </w:rPr>
        <w:t>(Cameron, 2010)</w:t>
      </w:r>
      <w:r>
        <w:fldChar w:fldCharType="end"/>
      </w:r>
      <w:r>
        <w:t xml:space="preserve"> and the rhizosphere environment </w:t>
      </w:r>
      <w:r>
        <w:fldChar w:fldCharType="begin"/>
      </w:r>
      <w:r w:rsidR="00954B3D">
        <w:instrText xml:space="preserve"> ADDIN ZOTERO_ITEM CSL_CITATION {"citationID":"1l5cb6rcq","properties":{"formattedCitation":"{\\rtf (Wilson {\\i{}et al.}, 2009; Bedini {\\i{}et al.}, 2009; Cavagnaro {\\i{}et al.}, 2015)}","plainCitation":"(Wilson et al., 2009; Bedini et al., 2009; Cavagnaro et al., 2015)"},"citationItems":[{"id":166,"uris":["http://zotero.org/users/local/d1gJDEOw/items/3AZT9DIF"],"uri":["http://zotero.org/users/local/d1gJDEOw/items/3AZT9DIF"],"itemData":{"id":166,"type":"article-journal","title":"Soil aggregation and carbon sequestration are tightly correlated with the abundance of arbuscular mycorrhizal fungi: results from long-term field experiments","container-title":"Ecology Letters","page":"452-461","volume":"12","issue":"5","source":"Web of Science","abstract":"We examined the role of arbuscular mycorrhizal fungi (AMF) in ecosystems using soil aggregate stability and C and N storage as representative ecosystem processes. We utilized a wide gradient in AMF abundance, obtained through long-term (17 and 6 years) large-scale field manipulations. Burning and N-fertilization increased soil AMF hyphae, glomalin-related soil protein (GRSP) pools and water-stable macroaggregates while fungicide applications reduced AMF hyphae, GRSP and water-stable macroaggregates. We found that AMF abundance was a surprisingly dominant factor explaining the vast majority of variability in soil aggregation. This experimental field study, involving long-term diverse management practices of native multispecies prairie communities, invariably showed a close positive correlation between AMF hyphal abundance and soil aggregation, and C and N sequestration. This highly significant linear correlation suggests there are serious consequences to the loss of AMF from ecosystems.","DOI":"10.1111/j.1461-0248.2009.01303.x","ISSN":"1461-023X","note":"WOS:000265010400008","shortTitle":"Soil aggregation and carbon sequestration are tightly correlated with the abundance of arbuscular mycorrhizal fungi","journalAbbreviation":"Ecol. Lett.","language":"English","author":[{"family":"Wilson","given":"Gail W. T."},{"family":"Rice","given":"Charles W."},{"family":"Rillig","given":"Matthias C."},{"family":"Springer","given":"Adam"},{"family":"Hartnett","given":"David C."}],"issued":{"date-parts":[["2009",5]]}}},{"id":375,"uris":["http://zotero.org/users/local/d1gJDEOw/items/P52IWKWR"],"uri":["http://zotero.org/users/local/d1gJDEOw/items/P52IWKWR"],"itemData":{"id":375,"type":"article-journal","title":"Changes in soil aggregation and glomalin-related soil protein content as affected by the arbuscular mycorrhizal fungal species Glomus mosseae and Glomus intraradices","container-title":"Soil Biology and Biochemistry","page":"1491-1496","volume":"41","issue":"7","source":"ScienceDirect","abstract":"Arbuscular mycorrhizal (AM) fungi are key organisms of the soil/plant system, influencing soil fertility and plant nutrition, and contributing to soil aggregation and soil structure stability by the combined action of extraradical hyphae and of an insoluble, hydrophobic proteinaceous substance named glomalin-related soil protein (GRSP). Since the GRSP extraction procedures have recently revealed problems related to co-extracting substances, the relationship between GRSP and AM fungi still remains to be verified. In this work the hypothesis that GRSP concentration is positively correlated with the occurrence of AM fungi was tested by using Medicago sativa plants inoculated with different isolates of Glomus mosseae and Glomus intraradices in a microcosm experiment. Our results show that (i) mycorrhizal establishment produced an increase in GRSP concentration – compared to initial values – in contrast with non-mycorrhizal plants, which did not produce any change; (ii) aggregate stability, evaluated as mean weight diameter (MWD) of macroaggregates of 1–2 mm diameter, was significantly higher in mycorrhizal soils compared to non-mycorrhizal soil; (iii) GRSP concentration and soil aggregate stability were positively correlated with mycorrhizal root volume and weakly correlated with total root volume; (iv) MWD values of soil aggregates were positively correlated with values of total hyphal length and hyphal density of the AM fungi utilized.\n\nThe different ability of AM fungal isolates to affect GRSP concentration and to form extensive and dense mycelial networks, which may directly affect soil aggregates stability by hyphal enmeshment of soil particles, suggests the possibility of selecting the most efficient isolates to be utilized for soil quality improvement and land restoration programs.","DOI":"10.1016/j.soilbio.2009.04.005","ISSN":"0038-0717","journalAbbreviation":"Soil Biology and Biochemistry","author":[{"family":"Bedini","given":"Stefano"},{"family":"Pellegrino","given":"Elisa"},{"family":"Avio","given":"Luciano"},{"family":"Pellegrini","given":"Sergio"},{"family":"Bazzoffi","given":"Paolo"},{"family":"Argese","given":"Emanuele"},{"family":"Giovannetti","given":"Manuela"}],"issued":{"date-parts":[["2009",7]]}}},{"id":152,"uris":["http://zotero.org/users/local/d1gJDEOw/items/75U9VBE8"],"uri":["http://zotero.org/users/local/d1gJDEOw/items/75U9VBE8"],"itemData":{"id":152,"type":"article-journal","title":"The role of arbuscular mycorrhizas in reducing soil nutrient loss","container-title":"Trends in Plant Science","page":"283-290","volume":"20","issue":"5","source":"Web of Science","abstract":"Substantial amounts of nutrients are lost from soils via leaching and as gaseous emissions. These losses can be environmentally damaging and expensive in terms of lost agricultural production. Plants have evolved many traits to optimize nutrient acquisition, including the formation of arbuscular mycorrhizas (AM), associations of plant roots with fungi that acquire soil nutrients. There is emerging evidence that AM have the ability to reduce nutrient loss from soils by enlarging the nutrient interception zone and preventing nutrient loss after rain-induced leaching events. Until recently, this important ecosystem service of AM had been largely overlooked. Here we review the role of AM in reducing nutrient loss and conclude that this role cannot be ignored if we are to increase global food production in an environmentally sustainable manner.","DOI":"10.1016/j.tplants.2015.03.004","ISSN":"1360-1385","note":"WOS:000355045100008","journalAbbreviation":"Trends Plant Sci.","language":"English","author":[{"family":"Cavagnaro","given":"Timothy R."},{"family":"Bender","given":"S. Franz"},{"family":"Asghari","given":"Hamid R."},{"family":"Heijden","given":"Marcel G. A.","non-dropping-particle":"van der"}],"issued":{"date-parts":[["2015",5]]}}}],"schema":"https://github.com/citation-style-language/schema/raw/master/csl-citation.json"} </w:instrText>
      </w:r>
      <w:r>
        <w:fldChar w:fldCharType="separate"/>
      </w:r>
      <w:r w:rsidR="00954B3D" w:rsidRPr="00954B3D">
        <w:rPr>
          <w:rFonts w:cs="Times New Roman"/>
          <w:szCs w:val="24"/>
        </w:rPr>
        <w:t xml:space="preserve">(Wilson </w:t>
      </w:r>
      <w:r w:rsidR="00954B3D" w:rsidRPr="00954B3D">
        <w:rPr>
          <w:rFonts w:cs="Times New Roman"/>
          <w:i/>
          <w:iCs/>
          <w:szCs w:val="24"/>
        </w:rPr>
        <w:t>et al.</w:t>
      </w:r>
      <w:r w:rsidR="00954B3D" w:rsidRPr="00954B3D">
        <w:rPr>
          <w:rFonts w:cs="Times New Roman"/>
          <w:szCs w:val="24"/>
        </w:rPr>
        <w:t xml:space="preserve">, 2009; </w:t>
      </w:r>
      <w:proofErr w:type="spellStart"/>
      <w:r w:rsidR="00954B3D" w:rsidRPr="00954B3D">
        <w:rPr>
          <w:rFonts w:cs="Times New Roman"/>
          <w:szCs w:val="24"/>
        </w:rPr>
        <w:t>Bedini</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2009; </w:t>
      </w:r>
      <w:proofErr w:type="spellStart"/>
      <w:r w:rsidR="00954B3D" w:rsidRPr="00954B3D">
        <w:rPr>
          <w:rFonts w:cs="Times New Roman"/>
          <w:szCs w:val="24"/>
        </w:rPr>
        <w:t>Cavagnaro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2015)</w:t>
      </w:r>
      <w:r>
        <w:fldChar w:fldCharType="end"/>
      </w:r>
      <w:r>
        <w:t xml:space="preserve"> however the relationship between AMF communities and plant productivity is complex. </w:t>
      </w:r>
    </w:p>
    <w:p w:rsidR="002F645F" w:rsidRDefault="002F645F" w:rsidP="002F645F">
      <w:r w:rsidRPr="001B767B">
        <w:t>Due to</w:t>
      </w:r>
      <w:r w:rsidR="008F5A02" w:rsidRPr="001B767B">
        <w:t xml:space="preserve"> taxa</w:t>
      </w:r>
      <w:r w:rsidRPr="001B767B">
        <w:t xml:space="preserve"> specific differences in AMF functioning (e.g. variability in nutrient provisioning  and defence induction)  it has been hypothesised that systems with a greater diversity of AMF will be more productive due to functional complementarity between taxa </w:t>
      </w:r>
      <w:r w:rsidRPr="001B767B">
        <w:fldChar w:fldCharType="begin"/>
      </w:r>
      <w:r w:rsidR="00954B3D">
        <w:instrText xml:space="preserve"> ADDIN ZOTERO_ITEM CSL_CITATION {"citationID":"efm8ask4b","properties":{"formattedCitation":"{\\rtf (van der Heijden {\\i{}et al.}, 2008)}","plainCitation":"(van der Heijden et al., 2008)"},"citationItems":[{"id":403,"uris":["http://zotero.org/users/local/d1gJDEOw/items/EZR8WUV8"],"uri":["http://zotero.org/users/local/d1gJDEOw/items/EZR8WUV8"],"itemData":{"id":403,"type":"article-journal","title":"The unseen majority: soil microbes as drivers of plant diversity and productivity in terrestrial ecosystems","container-title":"Ecology Letters","page":"296-310","volume":"11","issue":"3","source":"Wiley Online Library","abstract":"Microbes are the unseen majority in soil and comprise a large portion of life’s genetic diversity. Despite their abundance, the impact of soil microbes on ecosystem processes is still poorly understood. Here we explore the various roles that soil microbes play in terrestrial ecosystems with special emphasis on their contribution to plant productivity and diversity. Soil microbes are important regulators of plant productivity, especially in nutrient poor ecosystems where plant symbionts are responsible for the acquisition of limiting nutrients. Mycorrhizal fungi and nitrogen-fixing bacteria are responsible for c. 5–20% (grassland and savannah) to 80% (temperate and boreal forests) of all nitrogen, and up to 75% of phosphorus, that is acquired by plants annually. Free-living microbes also strongly regulate plant productivity, through the mineralization of, and competition for, nutrients that sustain plant productivity. Soil microbes, including microbial pathogens, are also important regulators of plant community dynamics and plant diversity, determining plant abundance and, in some cases, facilitating invasion by exotic plants. Conservative estimates suggest that c. 20 000 plant species are completely dependent on microbial symbionts for growth and survival pointing to the importance of soil microbes as regulators of plant species richness on Earth. Overall, this review shows that soil microbes must be considered as important drivers of plant diversity and productivity in terrestrial ecosystems.","DOI":"10.1111/j.1461-0248.2007.01139.x","ISSN":"1461-0248","shortTitle":"The unseen majority","language":"en","author":[{"family":"Heijden","given":"Marcel G. A.","non-dropping-particle":"van der"},{"family":"Bardgett","given":"Richard D."},{"family":"Van Straalen","given":"Nico M."}],"issued":{"date-parts":[["2008",3,1]]}}}],"schema":"https://github.com/citation-style-language/schema/raw/master/csl-citation.json"} </w:instrText>
      </w:r>
      <w:r w:rsidRPr="001B767B">
        <w:fldChar w:fldCharType="separate"/>
      </w:r>
      <w:r w:rsidR="00954B3D" w:rsidRPr="00954B3D">
        <w:rPr>
          <w:rFonts w:cs="Times New Roman"/>
          <w:szCs w:val="24"/>
        </w:rPr>
        <w:t xml:space="preserve">(van der </w:t>
      </w:r>
      <w:proofErr w:type="spellStart"/>
      <w:r w:rsidR="00954B3D" w:rsidRPr="00954B3D">
        <w:rPr>
          <w:rFonts w:cs="Times New Roman"/>
          <w:szCs w:val="24"/>
        </w:rPr>
        <w:t>Heijden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2008)</w:t>
      </w:r>
      <w:r w:rsidRPr="001B767B">
        <w:fldChar w:fldCharType="end"/>
      </w:r>
      <w:r w:rsidRPr="001B767B">
        <w:t>. This notion has been supported by several microcosm experiments testing AMF diversity and</w:t>
      </w:r>
      <w:r>
        <w:t xml:space="preserve"> plant productivity relationships </w:t>
      </w:r>
      <w:r>
        <w:fldChar w:fldCharType="begin"/>
      </w:r>
      <w:r w:rsidR="0054501B">
        <w:instrText xml:space="preserve"> ADDIN ZOTERO_ITEM CSL_CITATION {"citationID":"1vd6qa7fpv","properties":{"formattedCitation":"{\\rtf (van der Heijden {\\i{}et al.}, 1998; Maherali &amp; Klironomos, 2007)}","plainCitation":"(van der Heijden et al., 1998; Maherali &amp; Klironomos, 2007)"},"citationItems":[{"id":572,"uris":["http://zotero.org/users/local/d1gJDEOw/items/AF7B2VZ2"],"uri":["http://zotero.org/users/local/d1gJDEOw/items/AF7B2VZ2"],"itemData":{"id":572,"type":"article-journal","title":"Mycorrhizal fungal diversity determines plant biodiversity, ecosystem variability and productivity","container-title":"Nature","page":"69-72","volume":"396","issue":"6706","source":"Web of Science","abstract":"The functioning and stability of terrestrial ecosystems are determined by plant biodiversity and species composition(1-5). However. the ecological mechanisms by which plant biodiversity and species composition are regulated and maintained are not well understood. These mechanisms need to be identified to ensure successful management for conservation and restoration of diverse natural ecosystems. Here we show,by using two-independent, but complementary, ecological experiments, that below-ground diversity of arbuscular mycorrhizal fungi (AMF) is a major factor contributing to the maintenance of plant biodiversity and to ecosystem functioning. At low AMF diversity, the plant species composition and overall structure of microcosms that simulate European calcareous grassland fluctuate greatly when the AMF taxa that are present are changed. Plant biodiversity, nutrient capture and productivity in macrocosms that simulate North American old-fields increase significantly with increasing AMF-species richness. These results emphasize the need to protect AMF and to consider these fungi in future management practices in order to maintain diverse ecosystems. Our results also show that microbial interactions can drive ecosystem functions such as plant biodiversity, productivity and variability.","ISSN":"0028-0836","note":"WOS:000076852700054","journalAbbreviation":"Nature","language":"English","author":[{"family":"Heijden","given":"M. G. A.","non-dropping-particle":"van der"},{"family":"Klironomos","given":"J. N."},{"family":"Ursic","given":"M."},{"family":"Moutoglis","given":"P."},{"family":"Streitwolf-Engel","given":"R."},{"family":"Boller","given":"T."},{"family":"Wiemken","given":"A."},{"family":"Sanders","given":"I. R."}],"issued":{"date-parts":[["1998",11,5]]}}},{"id":573,"uris":["http://zotero.org/users/local/d1gJDEOw/items/I7SQ23TH"],"uri":["http://zotero.org/users/local/d1gJDEOw/items/I7SQ23TH"],"itemData":{"id":573,"type":"article-journal","title":"Influence of Phylogeny on fungal community assembly and ecosystem functioning","container-title":"Science","page":"1746-1748","volume":"316","issue":"5832","source":"Web of Science","abstract":"Ecology seeks to explain species coexistence and its functional consequences, but experimental tests of mechanisms that simultaneously account for both processes are difficult. We used an experimental mycorrhizal plant system to test whether functional similarity among closely related species (phylogenetic conservatism) can drive community assembly and ecosystem functioning. Communities were constructed with the same number of fungal species, but after 1 year of growth, realized species richness was highest where the starting species were more distantly related to each other. Communities with high realized species richness also stimulated plant productivity more than those with low realized species richness. Our findings suggest that phylogenetic trait conservatism can promote coexistence because of reduced competition between distinct evolutionary lineages and enhance ecosystem function because of functional complementarity among those same lineages.","DOI":"10.1126/science.1143082","ISSN":"0036-8075","note":"WOS:000247400500047","journalAbbreviation":"Science","language":"English","author":[{"family":"Maherali","given":"Hafiz"},{"family":"Klironomos","given":"John N."}],"issued":{"date-parts":[["2007",6,22]]}}}],"schema":"https://github.com/citation-style-language/schema/raw/master/csl-citation.json"} </w:instrText>
      </w:r>
      <w:r>
        <w:fldChar w:fldCharType="separate"/>
      </w:r>
      <w:r w:rsidR="0054501B" w:rsidRPr="0054501B">
        <w:rPr>
          <w:rFonts w:cs="Times New Roman"/>
          <w:szCs w:val="24"/>
        </w:rPr>
        <w:t xml:space="preserve">(van der </w:t>
      </w:r>
      <w:proofErr w:type="spellStart"/>
      <w:r w:rsidR="0054501B" w:rsidRPr="0054501B">
        <w:rPr>
          <w:rFonts w:cs="Times New Roman"/>
          <w:szCs w:val="24"/>
        </w:rPr>
        <w:t>Heijden</w:t>
      </w:r>
      <w:proofErr w:type="spellEnd"/>
      <w:r w:rsidR="0054501B" w:rsidRPr="0054501B">
        <w:rPr>
          <w:rFonts w:cs="Times New Roman"/>
          <w:szCs w:val="24"/>
        </w:rPr>
        <w:t xml:space="preserve"> </w:t>
      </w:r>
      <w:r w:rsidR="0054501B" w:rsidRPr="0054501B">
        <w:rPr>
          <w:rFonts w:cs="Times New Roman"/>
          <w:i/>
          <w:iCs/>
          <w:szCs w:val="24"/>
        </w:rPr>
        <w:t>et al.</w:t>
      </w:r>
      <w:r w:rsidR="0054501B" w:rsidRPr="0054501B">
        <w:rPr>
          <w:rFonts w:cs="Times New Roman"/>
          <w:szCs w:val="24"/>
        </w:rPr>
        <w:t xml:space="preserve">, 1998; </w:t>
      </w:r>
      <w:proofErr w:type="spellStart"/>
      <w:r w:rsidR="0054501B" w:rsidRPr="0054501B">
        <w:rPr>
          <w:rFonts w:cs="Times New Roman"/>
          <w:szCs w:val="24"/>
        </w:rPr>
        <w:t>Maherali</w:t>
      </w:r>
      <w:proofErr w:type="spellEnd"/>
      <w:r w:rsidR="0054501B" w:rsidRPr="0054501B">
        <w:rPr>
          <w:rFonts w:cs="Times New Roman"/>
          <w:szCs w:val="24"/>
        </w:rPr>
        <w:t xml:space="preserve"> &amp; </w:t>
      </w:r>
      <w:proofErr w:type="spellStart"/>
      <w:r w:rsidR="0054501B" w:rsidRPr="0054501B">
        <w:rPr>
          <w:rFonts w:cs="Times New Roman"/>
          <w:szCs w:val="24"/>
        </w:rPr>
        <w:t>Klironomos</w:t>
      </w:r>
      <w:proofErr w:type="spellEnd"/>
      <w:r w:rsidR="0054501B" w:rsidRPr="0054501B">
        <w:rPr>
          <w:rFonts w:cs="Times New Roman"/>
          <w:szCs w:val="24"/>
        </w:rPr>
        <w:t>, 2007)</w:t>
      </w:r>
      <w:r>
        <w:fldChar w:fldCharType="end"/>
      </w:r>
      <w:r>
        <w:t xml:space="preserve"> which attribute improved productivity of plants colonised by more AMF taxa to functional complementarity and improved efficiency of resource access within a more functionally diverse AMF community. AMF community composition may also affect plant productivity due to inter-taxa differences in functionality </w:t>
      </w:r>
      <w:r>
        <w:fldChar w:fldCharType="begin"/>
      </w:r>
      <w:r w:rsidR="0054501B">
        <w:instrText xml:space="preserve"> ADDIN ZOTERO_ITEM CSL_CITATION {"citationID":"1enmeif8en","properties":{"formattedCitation":"(Maherali &amp; Klironomos, 2007)","plainCitation":"(Maherali &amp; Klironomos, 2007)"},"citationItems":[{"id":573,"uris":["http://zotero.org/users/local/d1gJDEOw/items/I7SQ23TH"],"uri":["http://zotero.org/users/local/d1gJDEOw/items/I7SQ23TH"],"itemData":{"id":573,"type":"article-journal","title":"Influence of Phylogeny on fungal community assembly and ecosystem functioning","container-title":"Science","page":"1746-1748","volume":"316","issue":"5832","source":"Web of Science","abstract":"Ecology seeks to explain species coexistence and its functional consequences, but experimental tests of mechanisms that simultaneously account for both processes are difficult. We used an experimental mycorrhizal plant system to test whether functional similarity among closely related species (phylogenetic conservatism) can drive community assembly and ecosystem functioning. Communities were constructed with the same number of fungal species, but after 1 year of growth, realized species richness was highest where the starting species were more distantly related to each other. Communities with high realized species richness also stimulated plant productivity more than those with low realized species richness. Our findings suggest that phylogenetic trait conservatism can promote coexistence because of reduced competition between distinct evolutionary lineages and enhance ecosystem function because of functional complementarity among those same lineages.","DOI":"10.1126/science.1143082","ISSN":"0036-8075","note":"WOS:000247400500047","journalAbbreviation":"Science","language":"English","author":[{"family":"Maherali","given":"Hafiz"},{"family":"Klironomos","given":"John N."}],"issued":{"date-parts":[["2007",6,22]]}}}],"schema":"https://github.com/citation-style-language/schema/raw/master/csl-citation.json"} </w:instrText>
      </w:r>
      <w:r>
        <w:fldChar w:fldCharType="separate"/>
      </w:r>
      <w:r w:rsidR="0054501B" w:rsidRPr="0054501B">
        <w:rPr>
          <w:rFonts w:cs="Times New Roman"/>
        </w:rPr>
        <w:t>(</w:t>
      </w:r>
      <w:proofErr w:type="spellStart"/>
      <w:r w:rsidR="0054501B" w:rsidRPr="0054501B">
        <w:rPr>
          <w:rFonts w:cs="Times New Roman"/>
        </w:rPr>
        <w:t>Maherali</w:t>
      </w:r>
      <w:proofErr w:type="spellEnd"/>
      <w:r w:rsidR="0054501B" w:rsidRPr="0054501B">
        <w:rPr>
          <w:rFonts w:cs="Times New Roman"/>
        </w:rPr>
        <w:t xml:space="preserve"> &amp; </w:t>
      </w:r>
      <w:proofErr w:type="spellStart"/>
      <w:r w:rsidR="0054501B" w:rsidRPr="0054501B">
        <w:rPr>
          <w:rFonts w:cs="Times New Roman"/>
        </w:rPr>
        <w:t>Klironomos</w:t>
      </w:r>
      <w:proofErr w:type="spellEnd"/>
      <w:r w:rsidR="0054501B" w:rsidRPr="0054501B">
        <w:rPr>
          <w:rFonts w:cs="Times New Roman"/>
        </w:rPr>
        <w:t>, 2007)</w:t>
      </w:r>
      <w:r>
        <w:fldChar w:fldCharType="end"/>
      </w:r>
      <w:r>
        <w:t xml:space="preserve"> which relate to </w:t>
      </w:r>
      <w:r w:rsidR="008F5A02">
        <w:t>contrasts</w:t>
      </w:r>
      <w:r>
        <w:t xml:space="preserve"> in ecology of AMF taxa including differences in carbon requirements, nutrient foraging ability and nutrient storage ability </w:t>
      </w:r>
      <w:r>
        <w:fldChar w:fldCharType="begin"/>
      </w:r>
      <w:r w:rsidR="00954B3D">
        <w:instrText xml:space="preserve"> ADDIN ZOTERO_ITEM CSL_CITATION {"citationID":"mos6pqren","properties":{"formattedCitation":"{\\rtf (Kiers {\\i{}et al.}, 2011)}","plainCitation":"(Kiers et al., 2011)"},"citationItems":[{"id":177,"uris":["http://zotero.org/users/local/d1gJDEOw/items/N3DHFNGH"],"uri":["http://zotero.org/users/local/d1gJDEOw/items/N3DHFNGH"],"itemData":{"id":177,"type":"article-journal","title":"Reciprocal Rewards Stabilize Cooperation in the Mycorrhizal Symbiosis","container-title":"Science","page":"880-882","volume":"333","issue":"6044","source":"Web of Science","abstract":"Plants and their arbuscular mycorrhizal fungal symbionts interact in complex underground networks involving multiple partners. This increases the potential for exploitation and defection by individuals, raising the question of how partners maintain a fair, two-way transfer of resources. We manipulated cooperation in plants and fungal partners to show that plants can detect, discriminate, and reward the best fungal partners with more carbohydrates. In turn, their fungal partners enforce cooperation by increasing nutrient transfer only to those roots providing more carbohydrates. On the basis of these observations we conclude that, unlike many other mutualisms, the symbiont cannot be \"enslaved.\" Rather, the mutualism is evolutionarily stable because control is bidirectional, and partners offering the best rate of exchange are rewarded.","DOI":"10.1126/science.1208473","ISSN":"0036-8075","note":"WOS:000293785400041","journalAbbreviation":"Science","language":"English","author":[{"family":"Kiers","given":"E. Toby"},{"family":"Duhamel","given":"Marie"},{"family":"Beesetty","given":"Yugandhar"},{"family":"Mensah","given":"Jerry A."},{"family":"Franken","given":"Oscar"},{"family":"Verbruggen","given":"Erik"},{"family":"Fellbaum","given":"Carl R."},{"family":"Kowalchuk","given":"George A."},{"family":"Hart","given":"Miranda M."},{"family":"Bago","given":"Alberto"},{"family":"Palmer","given":"Todd M."},{"family":"West","given":"Stuart A."},{"family":"Vandenkoornhuyse","given":"Philippe"},{"family":"Jansa","given":"Jan"},{"family":"Buecking","given":"Heike"}],"issued":{"date-parts":[["2011",8,12]]}}}],"schema":"https://github.com/citation-style-language/schema/raw/master/csl-citation.json"} </w:instrText>
      </w:r>
      <w:r>
        <w:fldChar w:fldCharType="separate"/>
      </w:r>
      <w:r w:rsidR="00954B3D" w:rsidRPr="00954B3D">
        <w:rPr>
          <w:rFonts w:cs="Times New Roman"/>
          <w:szCs w:val="24"/>
        </w:rPr>
        <w:t xml:space="preserve">(Kiers </w:t>
      </w:r>
      <w:r w:rsidR="00954B3D" w:rsidRPr="00954B3D">
        <w:rPr>
          <w:rFonts w:cs="Times New Roman"/>
          <w:i/>
          <w:iCs/>
          <w:szCs w:val="24"/>
        </w:rPr>
        <w:t>et al.</w:t>
      </w:r>
      <w:r w:rsidR="00954B3D" w:rsidRPr="00954B3D">
        <w:rPr>
          <w:rFonts w:cs="Times New Roman"/>
          <w:szCs w:val="24"/>
        </w:rPr>
        <w:t>, 2011)</w:t>
      </w:r>
      <w:r>
        <w:fldChar w:fldCharType="end"/>
      </w:r>
      <w:r>
        <w:t xml:space="preserve">. </w:t>
      </w:r>
      <w:r w:rsidR="008F5A02">
        <w:t>Alternatively, t</w:t>
      </w:r>
      <w:r>
        <w:t xml:space="preserve">here is evidence that the identity and functionality of the </w:t>
      </w:r>
      <w:r w:rsidR="008F5A02">
        <w:t xml:space="preserve">AMF taxa </w:t>
      </w:r>
      <w:r>
        <w:t>present</w:t>
      </w:r>
      <w:r w:rsidR="008F5A02">
        <w:t>,</w:t>
      </w:r>
      <w:r>
        <w:t xml:space="preserve"> rather than their number</w:t>
      </w:r>
      <w:r w:rsidR="008F5A02">
        <w:t>,</w:t>
      </w:r>
      <w:r>
        <w:t xml:space="preserve"> may determine the </w:t>
      </w:r>
      <w:r w:rsidR="008F5A02">
        <w:t xml:space="preserve">overall benefit to plant productivity. Consequently </w:t>
      </w:r>
      <w:r>
        <w:t xml:space="preserve">symbiosis with </w:t>
      </w:r>
      <w:r w:rsidR="008F5A02">
        <w:t>a</w:t>
      </w:r>
      <w:r>
        <w:t xml:space="preserve"> single </w:t>
      </w:r>
      <w:r w:rsidR="008F5A02">
        <w:t xml:space="preserve">beneficial AMF taxa may result in similar benefit to plant productivity as symbiosis with a more diverse AMF community </w:t>
      </w:r>
      <w:r>
        <w:t>which includes the single most productive AMF</w:t>
      </w:r>
      <w:r w:rsidR="008F5A02">
        <w:t xml:space="preserve"> taxa</w:t>
      </w:r>
      <w:r>
        <w:t xml:space="preserve"> </w:t>
      </w:r>
      <w:r>
        <w:fldChar w:fldCharType="begin"/>
      </w:r>
      <w:r>
        <w:instrText xml:space="preserve"> ADDIN ZOTERO_ITEM CSL_CITATION {"citationID":"2bupcckojo","properties":{"formattedCitation":"{\\rtf (Vogelsang {\\i{}et al.}, 2006b)}","plainCitation":"(Vogelsang et al., 2006b)","dontUpdate":true},"citationItems":[{"id":689,"uris":["http://zotero.org/users/local/d1gJDEOw/items/F6T3P6JA"],"uri":["http://zotero.org/users/local/d1gJDEOw/items/F6T3P6JA"],"itemData":{"id":689,"type":"article-journal","title":"Mycorrhizal fungal identity and richness determine the diversity and productivity of a tallgrass prairie system","container-title":"The New Phytologist","page":"554-562","volume":"172","issue":"3","source":"PubMed","abstract":"We investigated the effects of arbuscular mycorrhizal fungal (AMF) species richness and composition on plant community productivity and diversity, and whether AMF mediate plant species coexistence by promoting niche differentiation in phosphorus use. Our experiment manipulated AMF species richness and identity across a range of P conditions in tallgrass prairie mesocosms. We showed that increasing AMF richness promoted plant diversity and productivity, but that this AMF richness effect was small relative to the effects of individual AMF species. We found little support for AMF-facilitated complementarity in P use. Rather, the AMF richness effect appeared to be caused by the inclusion of particular diversity- and productivity-promoting AMF (a sampling effect). Furthermore, the identity of the diversity-promoting fungi changed with P environment, as did the relationship between the diversity-promoting and productivity-promoting benefits of AMF. Our results suggest that plant diversity and productivity are more responsive to AMF identity than to AMF diversity per se, and that AMF identity and P environment can interact in complex ways to alter community-level properties.","DOI":"10.1111/j.1469-8137.2006.01854.x","ISSN":"0028-646X","note":"PMID: 17083685","journalAbbreviation":"New Phytol.","language":"eng","author":[{"family":"Vogelsang","given":"Keith M."},{"family":"Reynolds","given":"Heather L."},{"family":"Bever","given":"James D."}],"issued":{"date-parts":[["2006"]]}}}],"schema":"https://github.com/citation-style-language/schema/raw/master/csl-citation.json"} </w:instrText>
      </w:r>
      <w:r>
        <w:fldChar w:fldCharType="separate"/>
      </w:r>
      <w:r w:rsidRPr="00BA4BF1">
        <w:rPr>
          <w:rFonts w:cs="Times New Roman"/>
          <w:szCs w:val="24"/>
        </w:rPr>
        <w:t>(</w:t>
      </w:r>
      <w:proofErr w:type="spellStart"/>
      <w:r w:rsidRPr="00BA4BF1">
        <w:rPr>
          <w:rFonts w:cs="Times New Roman"/>
          <w:szCs w:val="24"/>
        </w:rPr>
        <w:t>Vogelsang</w:t>
      </w:r>
      <w:proofErr w:type="spellEnd"/>
      <w:r w:rsidRPr="00BA4BF1">
        <w:rPr>
          <w:rFonts w:cs="Times New Roman"/>
          <w:szCs w:val="24"/>
        </w:rPr>
        <w:t xml:space="preserve"> </w:t>
      </w:r>
      <w:r w:rsidRPr="00BA4BF1">
        <w:rPr>
          <w:rFonts w:cs="Times New Roman"/>
          <w:i/>
          <w:iCs/>
          <w:szCs w:val="24"/>
        </w:rPr>
        <w:t>et al.</w:t>
      </w:r>
      <w:r>
        <w:rPr>
          <w:rFonts w:cs="Times New Roman"/>
          <w:szCs w:val="24"/>
        </w:rPr>
        <w:t>, 2006</w:t>
      </w:r>
      <w:r w:rsidRPr="00BA4BF1">
        <w:rPr>
          <w:rFonts w:cs="Times New Roman"/>
          <w:szCs w:val="24"/>
        </w:rPr>
        <w:t>)</w:t>
      </w:r>
      <w:r>
        <w:fldChar w:fldCharType="end"/>
      </w:r>
      <w:r>
        <w:t>.</w:t>
      </w:r>
      <w:r w:rsidRPr="00BA4BF1">
        <w:t xml:space="preserve"> </w:t>
      </w:r>
    </w:p>
    <w:p w:rsidR="002F645F" w:rsidRDefault="002F645F" w:rsidP="002F645F">
      <w:r>
        <w:t>Few studies have examined AMF diversity - productivity relationship</w:t>
      </w:r>
      <w:r w:rsidR="001B767B">
        <w:t>s</w:t>
      </w:r>
      <w:r>
        <w:t xml:space="preserve"> at</w:t>
      </w:r>
      <w:r w:rsidR="009816A7">
        <w:t xml:space="preserve"> the field or</w:t>
      </w:r>
      <w:r w:rsidR="008F5A02">
        <w:t xml:space="preserve"> </w:t>
      </w:r>
      <w:r>
        <w:t xml:space="preserve">landscape scale and those which have report AMF richness to be associated with a range of effects on plant productivity from positive </w:t>
      </w:r>
      <w:r>
        <w:fldChar w:fldCharType="begin"/>
      </w:r>
      <w:r w:rsidR="006B3935">
        <w:instrText xml:space="preserve"> ADDIN ZOTERO_ITEM CSL_CITATION {"citationID":"cu9pd8NP","properties":{"formattedCitation":"{\\rtf (Vogelsang {\\i{}et al.}, 2006)}","plainCitation":"(Vogelsang et al., 2006)"},"citationItems":[{"id":689,"uris":["http://zotero.org/users/local/d1gJDEOw/items/F6T3P6JA"],"uri":["http://zotero.org/users/local/d1gJDEOw/items/F6T3P6JA"],"itemData":{"id":689,"type":"article-journal","title":"Mycorrhizal fungal identity and richness determine the diversity and productivity of a tallgrass prairie system","container-title":"The New Phytologist","page":"554-562","volume":"172","issue":"3","source":"PubMed","abstract":"We investigated the effects of arbuscular mycorrhizal fungal (AMF) species richness and composition on plant community productivity and diversity, and whether AMF mediate plant species coexistence by promoting niche differentiation in phosphorus use. Our experiment manipulated AMF species richness and identity across a range of P conditions in tallgrass prairie mesocosms. We showed that increasing AMF richness promoted plant diversity and productivity, but that this AMF richness effect was small relative to the effects of individual AMF species. We found little support for AMF-facilitated complementarity in P use. Rather, the AMF richness effect appeared to be caused by the inclusion of particular diversity- and productivity-promoting AMF (a sampling effect). Furthermore, the identity of the diversity-promoting fungi changed with P environment, as did the relationship between the diversity-promoting and productivity-promoting benefits of AMF. Our results suggest that plant diversity and productivity are more responsive to AMF identity than to AMF diversity per se, and that AMF identity and P environment can interact in complex ways to alter community-level properties.","DOI":"10.1111/j.1469-8137.2006.01854.x","ISSN":"0028-646X","note":"PMID: 17083685","journalAbbreviation":"New Phytol.","language":"eng","author":[{"family":"Vogelsang","given":"Keith M."},{"family":"Reynolds","given":"Heather L."},{"family":"Bever","given":"James D."}],"issued":{"date-parts":[["2006"]]}}}],"schema":"https://github.com/citation-style-language/schema/raw/master/csl-citation.json"} </w:instrText>
      </w:r>
      <w:r>
        <w:fldChar w:fldCharType="separate"/>
      </w:r>
      <w:r w:rsidR="006B3935" w:rsidRPr="006B3935">
        <w:rPr>
          <w:rFonts w:cs="Times New Roman"/>
          <w:szCs w:val="24"/>
        </w:rPr>
        <w:t>(</w:t>
      </w:r>
      <w:proofErr w:type="spellStart"/>
      <w:r w:rsidR="006B3935" w:rsidRPr="006B3935">
        <w:rPr>
          <w:rFonts w:cs="Times New Roman"/>
          <w:szCs w:val="24"/>
        </w:rPr>
        <w:t>Vogelsang</w:t>
      </w:r>
      <w:proofErr w:type="spellEnd"/>
      <w:r w:rsidR="006B3935" w:rsidRPr="006B3935">
        <w:rPr>
          <w:rFonts w:cs="Times New Roman"/>
          <w:szCs w:val="24"/>
        </w:rPr>
        <w:t xml:space="preserve"> </w:t>
      </w:r>
      <w:r w:rsidR="006B3935" w:rsidRPr="006B3935">
        <w:rPr>
          <w:rFonts w:cs="Times New Roman"/>
          <w:i/>
          <w:iCs/>
          <w:szCs w:val="24"/>
        </w:rPr>
        <w:t>et al.</w:t>
      </w:r>
      <w:r w:rsidR="006B3935" w:rsidRPr="006B3935">
        <w:rPr>
          <w:rFonts w:cs="Times New Roman"/>
          <w:szCs w:val="24"/>
        </w:rPr>
        <w:t>, 2006)</w:t>
      </w:r>
      <w:r>
        <w:fldChar w:fldCharType="end"/>
      </w:r>
      <w:r>
        <w:t xml:space="preserve">, to negative </w:t>
      </w:r>
      <w:r>
        <w:fldChar w:fldCharType="begin"/>
      </w:r>
      <w:r w:rsidR="00954B3D">
        <w:instrText xml:space="preserve"> ADDIN ZOTERO_ITEM CSL_CITATION {"citationID":"Kl33HySh","properties":{"formattedCitation":"{\\rtf (Hiiesalu {\\i{}et al.}, 2014; Holste {\\i{}et al.}, 2016)}","plainCitation":"(Hiiesalu et al., 2014; Holste et al., 2016)"},"citationItems":[{"id":332,"uris":["http://zotero.org/users/local/d1gJDEOw/items/M2TQSK6X"],"uri":["http://zotero.org/users/local/d1gJDEOw/items/M2TQSK6X"],"itemData":{"id":332,"type":"article-journal","title":"Species richness of arbuscular mycorrhizal fungi: associations with grassland plant richness and biomass","container-title":"New Phytologist","page":"233-244","volume":"203","issue":"1","source":"Wiley Online Library","abstract":"* Although experiments show a positive association between vascular plant and arbuscular mycorrhizal fungal (AMF) species richness, evidence from natural ecosystems is scarce. Furthermore, there is little knowledge about how AMF richness varies with belowground plant richness and biomass.\n\n* We examined relationships among AMF richness, above- and belowground plant richness, and plant root and shoot biomass in a native North American grassland. Root-colonizing AMF richness and belowground plant richness were detected from the same bulk root samples by 454-sequencing of the AMF SSU rRNA and plant trnL genes.\n\n* In total we detected 63 AMF taxa. Plant richness was 1.5 times greater belowground than aboveground. AMF richness was significantly positively correlated with plant species richness, and more strongly with below- than aboveground plant richness. Belowground plant richness was positively correlated with belowground plant biomass and total plant biomass, whereas aboveground plant richness was positively correlated only with belowground plant biomass. By contrast, AMF richness was negatively correlated with belowground and total plant biomass.\n\n* Our results indicate that AMF richness and plant belowground richness are more strongly related with each other and with plant community biomass than with the plant aboveground richness measures that have been almost exclusively considered to date.","DOI":"10.1111/nph.12765","ISSN":"1469-8137","shortTitle":"Species richness of arbuscular mycorrhizal fungi","journalAbbreviation":"New Phytol","language":"en","author":[{"family":"Hiiesalu","given":"Inga"},{"family":"Pärtel","given":"Meelis"},{"family":"Davison","given":"John"},{"family":"Gerhold","given":"Pille"},{"family":"Metsis","given":"Madis"},{"family":"Moora","given":"Mari"},{"family":"Öpik","given":"Maarja"},{"family":"Vasar","given":"Martti"},{"family":"Zobel","given":"Martin"},{"family":"Wilson","given":"Scott D."}],"issued":{"date-parts":[["2014",7,1]]}}},{"id":582,"uris":["http://zotero.org/users/local/d1gJDEOw/items/PB6V6GEW"],"uri":["http://zotero.org/users/local/d1gJDEOw/items/PB6V6GEW"],"itemData":{"id":582,"type":"article-journal","title":"Reduced aboveground tree growth associated with higher arbuscular mycorrhizal fungal diversity in tropical forest restoration","container-title":"Ecology and Evolution","page":"7253-7262","volume":"6","issue":"20","source":"Web of Science","abstract":"Establishing diverse mycorrhizal fungal communities is considered important for forest recovery, yet mycorrhizae may have complex effects on tree growth depending on the composition of fungal species present. In an effort to understand the role of mycorrhizal fungi community in forest restoration in southern Costa Rica, we sampled the arbuscular mycorrhizal fungal (AMF) community across eight sites that were planted with the same species (Inga edulis, Erythrina poeppigiana, Terminalia amazonia, and Vochysia guatemalensis) but varied twofold to fourfold in overall tree growth rates. The AMF community was measured in multiple ways: as percent colonization of host tree roots, by DNA isolation of the fungal species associated with the roots, and through spore density, volume, and identity in both the wet and dry seasons. Consistent with prior tropical restoration research, the majority of fungal species belonged to the genus Glomus and genus Acaulospora, accounting for more than half of the species and relative abundance found on trees roots and over 95% of spore density across all sites. Greater AMF diversity correlated with lower soil organic matter, carbon, and nitrogen concentrations and longer durations of prior pasture use across sites. Contrary to previous literature findings, AMF species diversity and spore densities were inversely related to tree growth, which may have arisen from trees facultatively increasing their associations with AMF in lower soil fertility sites. Changes to AMF community composition also may have led to variation in disturbance susceptibility, host tree nutrient acquisition, and tree growth. These results highlight the potential importance of fungal-tree-soil interactions in forest recovery and suggest that fungal community -dynamics could have important implications for tree growth in disturbed soils.","DOI":"10.1002/ece3.2487","ISSN":"2045-7758","note":"WOS:000386429200009","journalAbbreviation":"Ecol. Evol.","language":"English","author":[{"family":"Holste","given":"Ellen K."},{"family":"Holl","given":"Karen D."},{"family":"Zahawi","given":"Rakan A."},{"family":"Kobe","given":"Richard K."}],"issued":{"date-parts":[["2016",10]]}}}],"schema":"https://github.com/citation-style-language/schema/raw/master/csl-citation.json"}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Hiiesalu</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2014; </w:t>
      </w:r>
      <w:proofErr w:type="spellStart"/>
      <w:r w:rsidR="00954B3D" w:rsidRPr="00954B3D">
        <w:rPr>
          <w:rFonts w:cs="Times New Roman"/>
          <w:szCs w:val="24"/>
        </w:rPr>
        <w:t>Holste</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2016)</w:t>
      </w:r>
      <w:r>
        <w:fldChar w:fldCharType="end"/>
      </w:r>
      <w:r>
        <w:t xml:space="preserve">. This is probably because at the landscape scale many other factors may also have strong effects on plant productivity for example differences in soil pH, fertility, topography, rainfall and microclimatic differences </w:t>
      </w:r>
      <w:r>
        <w:fldChar w:fldCharType="begin"/>
      </w:r>
      <w:r w:rsidR="00954B3D">
        <w:instrText xml:space="preserve"> ADDIN ZOTERO_ITEM CSL_CITATION {"citationID":"x9O9A77V","properties":{"formattedCitation":"{\\rtf (van der Heijden {\\i{}et al.}, 2008; Jansa {\\i{}et al.}, 2014)}","plainCitation":"(van der Heijden et al., 2008; Jansa et al., 2014)"},"citationItems":[{"id":403,"uris":["http://zotero.org/users/local/d1gJDEOw/items/EZR8WUV8"],"uri":["http://zotero.org/users/local/d1gJDEOw/items/EZR8WUV8"],"itemData":{"id":403,"type":"article-journal","title":"The unseen majority: soil microbes as drivers of plant diversity and productivity in terrestrial ecosystems","container-title":"Ecology Letters","page":"296-310","volume":"11","issue":"3","source":"Wiley Online Library","abstract":"Microbes are the unseen majority in soil and comprise a large portion of life’s genetic diversity. Despite their abundance, the impact of soil microbes on ecosystem processes is still poorly understood. Here we explore the various roles that soil microbes play in terrestrial ecosystems with special emphasis on their contribution to plant productivity and diversity. Soil microbes are important regulators of plant productivity, especially in nutrient poor ecosystems where plant symbionts are responsible for the acquisition of limiting nutrients. Mycorrhizal fungi and nitrogen-fixing bacteria are responsible for c. 5–20% (grassland and savannah) to 80% (temperate and boreal forests) of all nitrogen, and up to 75% of phosphorus, that is acquired by plants annually. Free-living microbes also strongly regulate plant productivity, through the mineralization of, and competition for, nutrients that sustain plant productivity. Soil microbes, including microbial pathogens, are also important regulators of plant community dynamics and plant diversity, determining plant abundance and, in some cases, facilitating invasion by exotic plants. Conservative estimates suggest that c. 20 000 plant species are completely dependent on microbial symbionts for growth and survival pointing to the importance of soil microbes as regulators of plant species richness on Earth. Overall, this review shows that soil microbes must be considered as important drivers of plant diversity and productivity in terrestrial ecosystems.","DOI":"10.1111/j.1461-0248.2007.01139.x","ISSN":"1461-0248","shortTitle":"The unseen majority","language":"en","author":[{"family":"Heijden","given":"Marcel G. A.","non-dropping-particle":"van der"},{"family":"Bardgett","given":"Richard D."},{"family":"Van Straalen","given":"Nico M."}],"issued":{"date-parts":[["2008",3,1]]}}},{"id":682,"uris":["http://zotero.org/users/local/d1gJDEOw/items/VUK7D9B8"],"uri":["http://zotero.org/users/local/d1gJDEOw/items/VUK7D9B8"],"itemData":{"id":682,"type":"article-journal","title":"Soil and geography are more important determinants of indigenous arbuscular mycorrhizal communities than management practices in Swiss agricultural soils","container-title":"Molecular Ecology","page":"2118-2135","volume":"23","issue":"8","source":"Wiley Online Library","abstract":"Arbuscular mycorrhizal fungi (AMF) are ubiquitous soil fungi, forming mutualistic symbiosis with a majority of terrestrial plant species. They are abundant in nearly all soils, less diverse than soil prokaryotes and other intensively studied soil organisms and thus are promising candidates for universal indicators of land management legacies and soil quality degradation. However, insufficient data on how the composition of indigenous AMF varies along soil and landscape gradients have hampered the definition of baselines and effect thresholds to date. Here, indigenous AMF communities in 154 agricultural soils collected across Switzerland were profiled by quantitative real-time PCR with taxon-specific markers for six widespread AMF species. To identify the key determinants of AMF community composition, the profiles were related to soil properties, land management and site geography. Our results indicate a number of well-supported dependencies between abundances of certain AMF taxa and soil properties such as pH, soil fertility and texture, and a surprising lack of effect of available soil phosphorus on the AMF community profiles. Site geography, especially the altitude and large geographical distance, strongly affected AMF communities. Unexpected was the apparent lack of a strong land management effect on the AMF communities as compared to the other predictors, which could be due to the rarity of highly intensive and unsustainable land management in Swiss agriculture. In spite of the extensive coverage of large geographical and soil gradients, we did not identify any taxon suitable as an indicator of land use among the six taxa we studied.","DOI":"10.1111/mec.12706","ISSN":"1365-294X","journalAbbreviation":"Mol Ecol","language":"en","author":[{"family":"Jansa","given":"Jan"},{"family":"Erb","given":"Angela"},{"family":"Oberholzer","given":"Hans-Rudolf"},{"family":"Šmilauer","given":"Petr"},{"family":"Egli","given":"Simon"}],"issued":{"date-parts":[["2014",4,1]]}}}],"schema":"https://github.com/citation-style-language/schema/raw/master/csl-citation.json"} </w:instrText>
      </w:r>
      <w:r>
        <w:fldChar w:fldCharType="separate"/>
      </w:r>
      <w:r w:rsidR="00954B3D" w:rsidRPr="00954B3D">
        <w:rPr>
          <w:rFonts w:cs="Times New Roman"/>
          <w:szCs w:val="24"/>
        </w:rPr>
        <w:t xml:space="preserve">(van der </w:t>
      </w:r>
      <w:proofErr w:type="spellStart"/>
      <w:r w:rsidR="00954B3D" w:rsidRPr="00954B3D">
        <w:rPr>
          <w:rFonts w:cs="Times New Roman"/>
          <w:szCs w:val="24"/>
        </w:rPr>
        <w:t>Heijden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2008; </w:t>
      </w:r>
      <w:proofErr w:type="spellStart"/>
      <w:r w:rsidR="00954B3D" w:rsidRPr="00954B3D">
        <w:rPr>
          <w:rFonts w:cs="Times New Roman"/>
          <w:szCs w:val="24"/>
        </w:rPr>
        <w:t>Jansa</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2014)</w:t>
      </w:r>
      <w:r>
        <w:fldChar w:fldCharType="end"/>
      </w:r>
      <w:r>
        <w:t>.</w:t>
      </w:r>
    </w:p>
    <w:p w:rsidR="002F645F" w:rsidRDefault="002F645F" w:rsidP="002F645F">
      <w:r>
        <w:lastRenderedPageBreak/>
        <w:t xml:space="preserve">Apple orchards are amongst the most widely planted tree-based cropping systems </w:t>
      </w:r>
      <w:r>
        <w:fldChar w:fldCharType="begin"/>
      </w:r>
      <w:r w:rsidR="00954B3D">
        <w:instrText xml:space="preserve"> ADDIN ZOTERO_ITEM CSL_CITATION {"citationID":"c9k99gc34","properties":{"formattedCitation":"(FAO, 2014)","plainCitation":"(FAO, 2014)"},"citationItems":[{"id":189,"uris":["http://zotero.org/users/local/d1gJDEOw/items/MTKR8VIW"],"uri":["http://zotero.org/users/local/d1gJDEOw/items/MTKR8VIW"],"itemData":{"id":189,"type":"article","title":"FAOSTAT database collections. Food and Agriculture Organization of the United Nations.Rome","archive_location":"2016-06-01","URL":"http://foastat.fao.org","author":[{"literal":"FAO"}],"issued":{"date-parts":[["2014"]]}}}],"schema":"https://github.com/citation-style-language/schema/raw/master/csl-citation.json"} </w:instrText>
      </w:r>
      <w:r>
        <w:fldChar w:fldCharType="separate"/>
      </w:r>
      <w:r w:rsidR="00954B3D" w:rsidRPr="00954B3D">
        <w:rPr>
          <w:rFonts w:cs="Times New Roman"/>
        </w:rPr>
        <w:t>(FAO, 2014)</w:t>
      </w:r>
      <w:r>
        <w:fldChar w:fldCharType="end"/>
      </w:r>
      <w:r>
        <w:t xml:space="preserve"> yet there are many knowledge gaps relating to the AMF which occur naturally within orchards regarding both their community assembly (diversity and composition) and functioning. Apples are responsive to AMF and may derive benefits from AMF symbiosis (as detailed in Chapter 2), furthermore data from Chapter 3 of this thesis has sho</w:t>
      </w:r>
      <w:r w:rsidR="001B767B">
        <w:t>wn the ability of apple orchard</w:t>
      </w:r>
      <w:r>
        <w:t xml:space="preserve"> soils to harbour a relatively high number of AMF taxa (79 OTUs belonging to seven genera).  Comparison of the AMF communities within orchard soils in Chapter 3 showed little differences in the AMF communities between orchard types. However</w:t>
      </w:r>
      <w:r w:rsidR="001B767B">
        <w:t>,</w:t>
      </w:r>
      <w:r>
        <w:t xml:space="preserve"> this does not necessarily reflect the AMF colonising trees within the orchards due to biases associated with trap culture systems caused by factors such as  differences in host preferences and inter taxa differences in disturbance tolerance </w:t>
      </w:r>
      <w:r>
        <w:fldChar w:fldCharType="begin"/>
      </w:r>
      <w:r w:rsidR="006B3935">
        <w:instrText xml:space="preserve"> ADDIN ZOTERO_ITEM CSL_CITATION {"citationID":"LW9rIW18","properties":{"formattedCitation":"{\\rtf (S\\uc0\\u253{}korov\\uc0\\u225{} {\\i{}et al.}, 2007; Uibopuu {\\i{}et al.}, 2012)}","plainCitation":"(Sýkorová et al., 2007; Uibopuu et al., 2012)"},"citationItems":[{"id":412,"uris":["http://zotero.org/users/local/d1gJDEOw/items/AG2T3I7W"],"uri":["http://zotero.org/users/local/d1gJDEOw/items/AG2T3I7W"],"itemData":{"id":412,"type":"article-journal","title":"The cultivation bias: different communities of arbuscular mycorrhizal fungi detected in roots from the field, from bait plants transplanted to the field, and from a greenhouse trap experiment","container-title":"Mycorrhiza","page":"1-14","volume":"18","issue":"1","source":"PubMed","abstract":"The community composition of arbuscular mycorrhizal fungi (AMF) was investigated in roots of four different plant species (Inula salicina, Medicago sativa, Origanum vulgare, and Bromus erectus) sampled in (1) a plant species-rich calcareous grassland, (2) a bait plant bioassay conducted directly in that grassland, and (3) a greenhouse trap experiment using soil and a transplanted whole plant from that grassland as inoculum. Roots were analyzed by AMF-specific nested polymerase chain reaction, restriction fragment length polymorphism screening, and sequence analyses of rDNA small subunit and internal transcribed spacer regions. The AMF sequences were analyzed phylogenetically and used to define monophyletic phylotypes. Overall, 16 phylotypes from several lineages of AMF were detected. The community composition was strongly influenced by the experimental approach, with additional influence of cultivation duration, substrate, and host plant species in some experiments. Some fungal phylotypes, e.g., GLOM-A3 (Glomus mosseae) and several members of Glomus group B, appeared predominantly in the greenhouse experiment or in bait plants. Thus, these phylotypes can be considered r strategists, rapidly colonizing uncolonized ruderal habitats in early successional stages of the fungal community. In the greenhouse experiment, for instance, G. mosseae was abundant after 3 months, but could not be detected anymore after 10 months. In contrast, other phylotypes as GLOM-A17 (G. badium) and GLOM-A16 were detected almost exclusively in roots sampled from plants naturally growing in the grassland or from bait plants exposed in the field, indicating that they preferentially occur in late successional stages of fungal communities and thus represent the K strategy. The only phylotype found with high frequency in all three experimental approaches was GLOM A-1 (G. intraradices), which is known to be a generalist. These results indicate that, in greenhouse trap experiments, it is difficult to establish a root-colonizing AMF community reflecting the diversity of these fungi in the field roots because fungal succession in such artificial systems may bias the results. However, the field bait plant approach might be a convenient way to study the influence of different environmental factors on AMF community composition directly under the field conditions. For a better understanding of the dynamics of AMF communities, it will be necessary to classify AMF phylotypes and species according to their life history strategies.","DOI":"10.1007/s00572-007-0147-0","ISSN":"0940-6360","note":"PMID: 17879101","shortTitle":"The cultivation bias","journalAbbreviation":"Mycorrhiza","language":"eng","author":[{"family":"Sýkorová","given":"Zuzana"},{"family":"Ineichen","given":"Kurt"},{"family":"Wiemken","given":"Andres"},{"family":"Redecker","given":"Dirk"}],"issued":{"date-parts":[["2007",12]]}}},{"id":350,"uris":["http://zotero.org/users/local/d1gJDEOw/items/MS3RJCAS"],"uri":["http://zotero.org/users/local/d1gJDEOw/items/MS3RJCAS"],"itemData":{"id":350,"type":"article-journal","title":"Temperate forest understorey species performance is altered by local arbuscular mycorrhizal fungal communities from stands of different successional stages","container-title":"Plant and Soil","page":"331-339","volume":"356","issue":"1-2","source":"link.springer.com","abstract":"Background and AimsArbuscular mycorrhizal (AM) fungal communities in plant roots vary in space and time. However, the effect of different fungal communities on plant performance and growth is poorly understood.MethodsWe test the effect of two AM fungal communities originating from successionally young and old forest stands on eight forest plant species.ResultsTwo plant species (Geranium pratense, Prunella vulgaris) showed greater positive mycorrhizal growth response to old forest than to young forest inoculum. Hypericum maculatum showed higher positive growth response to old forest inoculum with respect to shoot biomass and Veronica chamaedrys with respect to root biomass. Fragaria vesca, Plantago lanceolata and Primula veris showed no difference in response to old and young forest inoculum, Solidago virgaurea grew better with young forest inoculum. The naturally growing plant individuals of G. pratense and P. vulgaris were also significantly larger in old stands.ConclusionsThe effect of AM fungal communities from differently managed forests resulted in different growth of forest plant species; the old growth inoculum exhibited in general a more positive effect than inoculum from young forest. Because land use affects the composition of AM fungal communities, the response of plant communities to forest management intensity may be mediated by mycorrhizal interactions.","DOI":"10.1007/s11104-011-1116-0","ISSN":"0032-079X, 1573-5036","journalAbbreviation":"Plant Soil","language":"en","author":[{"family":"Uibopuu","given":"Annika"},{"family":"Moora","given":"Mari"},{"family":"Öpik","given":"Maarja"},{"family":"Zobel","given":"Martin"}],"issued":{"date-parts":[["2012",1,21]]}}}],"schema":"https://github.com/citation-style-language/schema/raw/master/csl-citation.json"} </w:instrText>
      </w:r>
      <w:r>
        <w:fldChar w:fldCharType="separate"/>
      </w:r>
      <w:r w:rsidR="006B3935" w:rsidRPr="006B3935">
        <w:rPr>
          <w:rFonts w:cs="Times New Roman"/>
          <w:szCs w:val="24"/>
        </w:rPr>
        <w:t>(</w:t>
      </w:r>
      <w:proofErr w:type="spellStart"/>
      <w:r w:rsidR="006B3935" w:rsidRPr="006B3935">
        <w:rPr>
          <w:rFonts w:cs="Times New Roman"/>
          <w:szCs w:val="24"/>
        </w:rPr>
        <w:t>Sýkorová</w:t>
      </w:r>
      <w:proofErr w:type="spellEnd"/>
      <w:r w:rsidR="006B3935" w:rsidRPr="006B3935">
        <w:rPr>
          <w:rFonts w:cs="Times New Roman"/>
          <w:szCs w:val="24"/>
        </w:rPr>
        <w:t xml:space="preserve"> </w:t>
      </w:r>
      <w:r w:rsidR="006B3935" w:rsidRPr="006B3935">
        <w:rPr>
          <w:rFonts w:cs="Times New Roman"/>
          <w:i/>
          <w:iCs/>
          <w:szCs w:val="24"/>
        </w:rPr>
        <w:t>et al.</w:t>
      </w:r>
      <w:r w:rsidR="006B3935" w:rsidRPr="006B3935">
        <w:rPr>
          <w:rFonts w:cs="Times New Roman"/>
          <w:szCs w:val="24"/>
        </w:rPr>
        <w:t xml:space="preserve">, 2007; </w:t>
      </w:r>
      <w:proofErr w:type="spellStart"/>
      <w:r w:rsidR="006B3935" w:rsidRPr="006B3935">
        <w:rPr>
          <w:rFonts w:cs="Times New Roman"/>
          <w:szCs w:val="24"/>
        </w:rPr>
        <w:t>Uibopuu</w:t>
      </w:r>
      <w:proofErr w:type="spellEnd"/>
      <w:r w:rsidR="006B3935" w:rsidRPr="006B3935">
        <w:rPr>
          <w:rFonts w:cs="Times New Roman"/>
          <w:szCs w:val="24"/>
        </w:rPr>
        <w:t xml:space="preserve"> </w:t>
      </w:r>
      <w:r w:rsidR="006B3935" w:rsidRPr="006B3935">
        <w:rPr>
          <w:rFonts w:cs="Times New Roman"/>
          <w:i/>
          <w:iCs/>
          <w:szCs w:val="24"/>
        </w:rPr>
        <w:t>et al.</w:t>
      </w:r>
      <w:r w:rsidR="006B3935" w:rsidRPr="006B3935">
        <w:rPr>
          <w:rFonts w:cs="Times New Roman"/>
          <w:szCs w:val="24"/>
        </w:rPr>
        <w:t>, 2012)</w:t>
      </w:r>
      <w:r>
        <w:fldChar w:fldCharType="end"/>
      </w:r>
      <w:r>
        <w:t>. As detailed in Chapter 3, many agricultural management practices are known to affect diversity and community composition of AMF colonising crops. Therefore a key question is whether orchard management practices are able to affect the AMF communities colonising apple roots and furthermore whether changes in the AMF community due to management will result in reduced productivity benefits.</w:t>
      </w:r>
    </w:p>
    <w:p w:rsidR="002F645F" w:rsidRPr="00266F65" w:rsidRDefault="002F645F" w:rsidP="002F645F">
      <w:r>
        <w:t xml:space="preserve">The aim of this chapter is to characterise the AMF colonising apple trees within three main commercial apple orchard type and to test how measured differences in management including application of inorganic phosphorus and nitrogen, affect the AMF colonising apple tree roots. Furthermore, this chapter aims to examine the relationship between AMF colonising apple tree roots and tree productivity using measurement of tree yield collected for two subsequent growing seasons for </w:t>
      </w:r>
      <w:r w:rsidR="00884776">
        <w:t xml:space="preserve">the </w:t>
      </w:r>
      <w:r>
        <w:t>trees for which the AMF communities were characterised. Using terminal restriction fragment length polymorphism (TRFLP) analysis - a high throughput molecular community fingerprinting technique, the following measures of the AMF community were made: (</w:t>
      </w:r>
      <w:proofErr w:type="spellStart"/>
      <w:r>
        <w:t>i</w:t>
      </w:r>
      <w:proofErr w:type="spellEnd"/>
      <w:r>
        <w:t>) richness (ii) Simpson’s diversity index (iii) community composition (measured as presence/absence and relative abundance of individual taxa.</w:t>
      </w:r>
    </w:p>
    <w:p w:rsidR="002F645F" w:rsidRPr="00D540FC" w:rsidRDefault="002F645F" w:rsidP="002F645F">
      <w:pPr>
        <w:rPr>
          <w:rFonts w:cs="Times New Roman"/>
        </w:rPr>
      </w:pPr>
      <w:r>
        <w:rPr>
          <w:rFonts w:cs="Times New Roman"/>
        </w:rPr>
        <w:t>Specifically this chapter addresses the following research questions:</w:t>
      </w:r>
    </w:p>
    <w:p w:rsidR="002F645F" w:rsidRDefault="002F645F" w:rsidP="005D6985">
      <w:pPr>
        <w:pStyle w:val="ListParagraph"/>
        <w:numPr>
          <w:ilvl w:val="0"/>
          <w:numId w:val="14"/>
        </w:numPr>
      </w:pPr>
      <w:r>
        <w:t>What is the richness, Simpson’s diversity and community composition of AMF colonising the roots of cider apple trees within orchards under three management types and how does t</w:t>
      </w:r>
      <w:r w:rsidR="00884776">
        <w:t xml:space="preserve">his differ between orchard </w:t>
      </w:r>
      <w:proofErr w:type="gramStart"/>
      <w:r w:rsidR="00884776">
        <w:t>type</w:t>
      </w:r>
      <w:proofErr w:type="gramEnd"/>
      <w:r>
        <w:t xml:space="preserve">? </w:t>
      </w:r>
    </w:p>
    <w:p w:rsidR="002F645F" w:rsidRPr="009E06A8" w:rsidRDefault="002F645F" w:rsidP="005D6985">
      <w:pPr>
        <w:pStyle w:val="ListParagraph"/>
        <w:numPr>
          <w:ilvl w:val="0"/>
          <w:numId w:val="14"/>
        </w:numPr>
      </w:pPr>
      <w:r>
        <w:t>Which aspects of orchard management are most important for determining the</w:t>
      </w:r>
      <w:r w:rsidRPr="009E06A8">
        <w:t xml:space="preserve"> richness and </w:t>
      </w:r>
      <w:r>
        <w:t>community composition</w:t>
      </w:r>
      <w:r w:rsidRPr="009E06A8">
        <w:t xml:space="preserve"> of AMF colonising apple trees?  </w:t>
      </w:r>
    </w:p>
    <w:p w:rsidR="002F645F" w:rsidRPr="00C24647" w:rsidRDefault="002F645F" w:rsidP="005D6985">
      <w:pPr>
        <w:pStyle w:val="ListParagraph"/>
        <w:numPr>
          <w:ilvl w:val="0"/>
          <w:numId w:val="14"/>
        </w:numPr>
      </w:pPr>
      <w:r>
        <w:t>Is there a relationship between fruit yield of apple trees and the richness or community composition of AMF colonising the tree?</w:t>
      </w:r>
    </w:p>
    <w:p w:rsidR="000F2456" w:rsidRDefault="000F2456" w:rsidP="002F645F">
      <w:pPr>
        <w:rPr>
          <w:rFonts w:cs="Times New Roman"/>
        </w:rPr>
      </w:pPr>
    </w:p>
    <w:p w:rsidR="00B31A40" w:rsidRDefault="00B31A40" w:rsidP="002F645F">
      <w:pPr>
        <w:rPr>
          <w:rFonts w:cs="Times New Roman"/>
        </w:rPr>
      </w:pPr>
    </w:p>
    <w:p w:rsidR="002F645F" w:rsidRPr="00C24647" w:rsidRDefault="002F645F" w:rsidP="002F645F">
      <w:pPr>
        <w:rPr>
          <w:rFonts w:cs="Times New Roman"/>
        </w:rPr>
      </w:pPr>
      <w:r w:rsidRPr="00C24647">
        <w:rPr>
          <w:rFonts w:cs="Times New Roman"/>
        </w:rPr>
        <w:lastRenderedPageBreak/>
        <w:t>The following hypothesis were tested:</w:t>
      </w:r>
    </w:p>
    <w:p w:rsidR="002F645F" w:rsidRPr="00306EC8" w:rsidRDefault="002F645F" w:rsidP="005D6985">
      <w:pPr>
        <w:pStyle w:val="ListParagraph"/>
        <w:numPr>
          <w:ilvl w:val="0"/>
          <w:numId w:val="15"/>
        </w:numPr>
      </w:pPr>
      <w:r w:rsidRPr="00306EC8">
        <w:t xml:space="preserve">Intensive </w:t>
      </w:r>
      <w:r>
        <w:t>orchard management reduces AMF richness and Simpson’s diversity and alters community composition (presence/absence of taxa present and their relative abundance).</w:t>
      </w:r>
    </w:p>
    <w:p w:rsidR="002F645F" w:rsidRPr="00306EC8" w:rsidRDefault="002F645F" w:rsidP="005D6985">
      <w:pPr>
        <w:pStyle w:val="ListParagraph"/>
        <w:numPr>
          <w:ilvl w:val="0"/>
          <w:numId w:val="15"/>
        </w:numPr>
      </w:pPr>
      <w:r>
        <w:t>Increased i</w:t>
      </w:r>
      <w:r w:rsidRPr="00306EC8">
        <w:t xml:space="preserve">norganic fertiliser </w:t>
      </w:r>
      <w:r>
        <w:t>application is associated with reduced AMF richness and changes in community composition of the fungal taxa colonising apple trees.</w:t>
      </w:r>
    </w:p>
    <w:p w:rsidR="002F645F" w:rsidRDefault="002F645F" w:rsidP="005D6985">
      <w:pPr>
        <w:pStyle w:val="ListParagraph"/>
        <w:numPr>
          <w:ilvl w:val="0"/>
          <w:numId w:val="15"/>
        </w:numPr>
      </w:pPr>
      <w:r w:rsidRPr="00306EC8">
        <w:t>There is a positive relationship between AMF</w:t>
      </w:r>
      <w:r>
        <w:t xml:space="preserve"> richness and abundance with tree fruit yield.</w:t>
      </w:r>
    </w:p>
    <w:p w:rsidR="002F645F" w:rsidRDefault="002F645F" w:rsidP="002F645F">
      <w:pPr>
        <w:pStyle w:val="Heading2"/>
      </w:pPr>
      <w:bookmarkStart w:id="395" w:name="_Toc469855059"/>
      <w:bookmarkStart w:id="396" w:name="_Toc469856059"/>
      <w:bookmarkStart w:id="397" w:name="_Toc469931968"/>
      <w:bookmarkStart w:id="398" w:name="_Toc469982289"/>
      <w:r w:rsidRPr="00904E37">
        <w:t>Methods</w:t>
      </w:r>
      <w:bookmarkEnd w:id="395"/>
      <w:bookmarkEnd w:id="396"/>
      <w:bookmarkEnd w:id="397"/>
      <w:bookmarkEnd w:id="398"/>
    </w:p>
    <w:p w:rsidR="002F645F" w:rsidRDefault="002F645F" w:rsidP="002F645F">
      <w:pPr>
        <w:pStyle w:val="Heading3"/>
      </w:pPr>
      <w:bookmarkStart w:id="399" w:name="_Toc469855060"/>
      <w:bookmarkStart w:id="400" w:name="_Toc469856060"/>
      <w:bookmarkStart w:id="401" w:name="_Toc469931969"/>
      <w:bookmarkStart w:id="402" w:name="_Toc469982290"/>
      <w:r>
        <w:t>Orchard study site selection</w:t>
      </w:r>
      <w:bookmarkEnd w:id="399"/>
      <w:bookmarkEnd w:id="400"/>
      <w:bookmarkEnd w:id="401"/>
      <w:bookmarkEnd w:id="402"/>
    </w:p>
    <w:p w:rsidR="000F2456" w:rsidRDefault="002F645F" w:rsidP="002F645F">
      <w:r>
        <w:rPr>
          <w:rFonts w:cs="Times New Roman"/>
        </w:rPr>
        <w:t>A total of 75 orchards belonging to three main commercial cider apple orchard management types were used for this study. Apple tree roots were collected from two trees per orchard to give a total of 150 apple trees. Orchard sites were the same as described in Chapter 3 where full details of sample site s</w:t>
      </w:r>
      <w:r w:rsidR="00E62128">
        <w:rPr>
          <w:rFonts w:cs="Times New Roman"/>
        </w:rPr>
        <w:t xml:space="preserve">election are provided (see </w:t>
      </w:r>
      <w:r w:rsidR="00E62128">
        <w:rPr>
          <w:rFonts w:cs="Times New Roman"/>
        </w:rPr>
        <w:fldChar w:fldCharType="begin"/>
      </w:r>
      <w:r w:rsidR="00E62128">
        <w:rPr>
          <w:rFonts w:cs="Times New Roman"/>
        </w:rPr>
        <w:instrText xml:space="preserve"> REF _Ref469867738 \r \h </w:instrText>
      </w:r>
      <w:r w:rsidR="00E62128">
        <w:rPr>
          <w:rFonts w:cs="Times New Roman"/>
        </w:rPr>
      </w:r>
      <w:r w:rsidR="00E62128">
        <w:rPr>
          <w:rFonts w:cs="Times New Roman"/>
        </w:rPr>
        <w:fldChar w:fldCharType="separate"/>
      </w:r>
      <w:r w:rsidR="00E0714D">
        <w:rPr>
          <w:rFonts w:cs="Times New Roman"/>
        </w:rPr>
        <w:t>3.3.1</w:t>
      </w:r>
      <w:r w:rsidR="00E62128">
        <w:rPr>
          <w:rFonts w:cs="Times New Roman"/>
        </w:rPr>
        <w:fldChar w:fldCharType="end"/>
      </w:r>
      <w:r w:rsidR="00E62128">
        <w:rPr>
          <w:rFonts w:cs="Times New Roman"/>
        </w:rPr>
        <w:t xml:space="preserve"> and </w:t>
      </w:r>
      <w:r w:rsidR="00E62128">
        <w:rPr>
          <w:rFonts w:cs="Times New Roman"/>
        </w:rPr>
        <w:fldChar w:fldCharType="begin"/>
      </w:r>
      <w:r w:rsidR="00E62128">
        <w:rPr>
          <w:rFonts w:cs="Times New Roman"/>
        </w:rPr>
        <w:instrText xml:space="preserve"> REF _Ref469867747 \r \h </w:instrText>
      </w:r>
      <w:r w:rsidR="00E62128">
        <w:rPr>
          <w:rFonts w:cs="Times New Roman"/>
        </w:rPr>
      </w:r>
      <w:r w:rsidR="00E62128">
        <w:rPr>
          <w:rFonts w:cs="Times New Roman"/>
        </w:rPr>
        <w:fldChar w:fldCharType="separate"/>
      </w:r>
      <w:r w:rsidR="00E0714D">
        <w:rPr>
          <w:rFonts w:cs="Times New Roman"/>
        </w:rPr>
        <w:t>3.3.2</w:t>
      </w:r>
      <w:r w:rsidR="00E62128">
        <w:rPr>
          <w:rFonts w:cs="Times New Roman"/>
        </w:rPr>
        <w:fldChar w:fldCharType="end"/>
      </w:r>
      <w:r>
        <w:rPr>
          <w:rFonts w:cs="Times New Roman"/>
        </w:rPr>
        <w:t xml:space="preserve">). In brief, </w:t>
      </w:r>
      <w:r w:rsidR="00465488">
        <w:rPr>
          <w:rFonts w:cs="Times New Roman"/>
        </w:rPr>
        <w:t>t</w:t>
      </w:r>
      <w:r>
        <w:rPr>
          <w:rFonts w:cs="Times New Roman"/>
        </w:rPr>
        <w:t>wenty replicate</w:t>
      </w:r>
      <w:r w:rsidRPr="008D3EFF">
        <w:rPr>
          <w:rFonts w:cs="Times New Roman"/>
        </w:rPr>
        <w:t xml:space="preserve"> cider apple orchards</w:t>
      </w:r>
      <w:r>
        <w:rPr>
          <w:rFonts w:cs="Times New Roman"/>
        </w:rPr>
        <w:t xml:space="preserve"> belonging to</w:t>
      </w:r>
      <w:r w:rsidRPr="008D3EFF">
        <w:rPr>
          <w:rFonts w:cs="Times New Roman"/>
        </w:rPr>
        <w:t xml:space="preserve"> </w:t>
      </w:r>
      <w:r>
        <w:rPr>
          <w:rFonts w:cs="Times New Roman"/>
        </w:rPr>
        <w:t xml:space="preserve">the </w:t>
      </w:r>
      <w:r w:rsidRPr="008D3EFF">
        <w:rPr>
          <w:rFonts w:cs="Times New Roman"/>
        </w:rPr>
        <w:t>followin</w:t>
      </w:r>
      <w:r>
        <w:rPr>
          <w:rFonts w:cs="Times New Roman"/>
        </w:rPr>
        <w:t>g management categories were studied</w:t>
      </w:r>
      <w:r w:rsidRPr="008D3EFF">
        <w:rPr>
          <w:rFonts w:cs="Times New Roman"/>
        </w:rPr>
        <w:t>: (</w:t>
      </w:r>
      <w:proofErr w:type="spellStart"/>
      <w:r w:rsidRPr="008D3EFF">
        <w:rPr>
          <w:rFonts w:cs="Times New Roman"/>
        </w:rPr>
        <w:t>i</w:t>
      </w:r>
      <w:proofErr w:type="spellEnd"/>
      <w:r w:rsidRPr="008D3EFF">
        <w:rPr>
          <w:rFonts w:cs="Times New Roman"/>
        </w:rPr>
        <w:t xml:space="preserve">) conventional bush </w:t>
      </w:r>
      <w:r>
        <w:rPr>
          <w:rFonts w:cs="Times New Roman"/>
        </w:rPr>
        <w:t xml:space="preserve">orchard </w:t>
      </w:r>
      <w:r w:rsidRPr="008D3EFF">
        <w:rPr>
          <w:rFonts w:cs="Times New Roman"/>
        </w:rPr>
        <w:t>(ii) conventional standard</w:t>
      </w:r>
      <w:r>
        <w:rPr>
          <w:rFonts w:cs="Times New Roman"/>
        </w:rPr>
        <w:t xml:space="preserve"> orchard</w:t>
      </w:r>
      <w:r w:rsidRPr="008D3EFF">
        <w:rPr>
          <w:rFonts w:cs="Times New Roman"/>
        </w:rPr>
        <w:t>, (iii) organic standard</w:t>
      </w:r>
      <w:r>
        <w:rPr>
          <w:rFonts w:cs="Times New Roman"/>
        </w:rPr>
        <w:t xml:space="preserve"> orchard. Main differences in these orchard types related to the intensity of management with conventional bush orchards (most intensively managed) receiving higher application of fertilisers, herbicide and chemical controls than conventional standard orchards (intermediate management intensity) and organic standard orchards (low management intensity). Full details of differences in orchard management practices are</w:t>
      </w:r>
      <w:r w:rsidR="00E62128">
        <w:rPr>
          <w:rFonts w:cs="Times New Roman"/>
        </w:rPr>
        <w:t xml:space="preserve"> provided in Chapter 3 </w:t>
      </w:r>
      <w:r w:rsidR="00E62128">
        <w:rPr>
          <w:rFonts w:cs="Times New Roman"/>
        </w:rPr>
        <w:fldChar w:fldCharType="begin"/>
      </w:r>
      <w:r w:rsidR="00E62128">
        <w:rPr>
          <w:rFonts w:cs="Times New Roman"/>
        </w:rPr>
        <w:instrText xml:space="preserve"> REF _Ref465333127 \h </w:instrText>
      </w:r>
      <w:r w:rsidR="00E62128">
        <w:rPr>
          <w:rFonts w:cs="Times New Roman"/>
        </w:rPr>
      </w:r>
      <w:r w:rsidR="00E62128">
        <w:rPr>
          <w:rFonts w:cs="Times New Roman"/>
        </w:rPr>
        <w:fldChar w:fldCharType="separate"/>
      </w:r>
      <w:r w:rsidR="00E0714D" w:rsidRPr="00861E0B">
        <w:t xml:space="preserve">Table </w:t>
      </w:r>
      <w:r w:rsidR="00E0714D">
        <w:rPr>
          <w:noProof/>
        </w:rPr>
        <w:t>3</w:t>
      </w:r>
      <w:r w:rsidR="00E0714D" w:rsidRPr="00861E0B">
        <w:t>.</w:t>
      </w:r>
      <w:r w:rsidR="00E0714D">
        <w:rPr>
          <w:noProof/>
        </w:rPr>
        <w:t>1</w:t>
      </w:r>
      <w:r w:rsidR="00E62128">
        <w:rPr>
          <w:rFonts w:cs="Times New Roman"/>
        </w:rPr>
        <w:fldChar w:fldCharType="end"/>
      </w:r>
      <w:r>
        <w:rPr>
          <w:rFonts w:cs="Times New Roman"/>
        </w:rPr>
        <w:t xml:space="preserve">.  </w:t>
      </w:r>
      <w:r w:rsidRPr="008D3EFF">
        <w:rPr>
          <w:rFonts w:cs="Times New Roman"/>
        </w:rPr>
        <w:t>Organic orchar</w:t>
      </w:r>
      <w:r>
        <w:rPr>
          <w:rFonts w:cs="Times New Roman"/>
        </w:rPr>
        <w:t>ds were classified as those which had been registered as Soil Association Organic for a minimum of 10 years</w:t>
      </w:r>
      <w:r w:rsidRPr="008D3EFF">
        <w:rPr>
          <w:rFonts w:cs="Times New Roman"/>
        </w:rPr>
        <w:t>.</w:t>
      </w:r>
      <w:r>
        <w:rPr>
          <w:rFonts w:cs="Times New Roman"/>
        </w:rPr>
        <w:t xml:space="preserve"> Orchards were categorised as ‘Bush’ versus ‘Standard’ </w:t>
      </w:r>
      <w:r w:rsidRPr="008D3EFF">
        <w:rPr>
          <w:rFonts w:cs="Times New Roman"/>
        </w:rPr>
        <w:t xml:space="preserve">according to tree </w:t>
      </w:r>
      <w:r w:rsidRPr="00CD7C70">
        <w:rPr>
          <w:rFonts w:cs="Times New Roman"/>
        </w:rPr>
        <w:t xml:space="preserve">rootstocks with dwarfing/semi-dwarfing belonging to ‘bush’ and </w:t>
      </w:r>
      <w:r>
        <w:rPr>
          <w:rFonts w:cs="Times New Roman"/>
        </w:rPr>
        <w:t xml:space="preserve">full sized </w:t>
      </w:r>
      <w:r w:rsidRPr="00CD7C70">
        <w:rPr>
          <w:rFonts w:cs="Times New Roman"/>
        </w:rPr>
        <w:t xml:space="preserve">rootstocks </w:t>
      </w:r>
      <w:r>
        <w:rPr>
          <w:rFonts w:cs="Times New Roman"/>
        </w:rPr>
        <w:t>referred to</w:t>
      </w:r>
      <w:r w:rsidRPr="00CD7C70">
        <w:rPr>
          <w:rFonts w:cs="Times New Roman"/>
        </w:rPr>
        <w:t xml:space="preserve"> as ‘standard’.  </w:t>
      </w:r>
      <w:r w:rsidRPr="007A1FCF">
        <w:t>All study orchards fit the following criteria (</w:t>
      </w:r>
      <w:proofErr w:type="spellStart"/>
      <w:r w:rsidRPr="007A1FCF">
        <w:t>i</w:t>
      </w:r>
      <w:proofErr w:type="spellEnd"/>
      <w:r w:rsidRPr="007A1FCF">
        <w:t xml:space="preserve">) age of over 10 years, (ii) </w:t>
      </w:r>
      <w:r>
        <w:t>a minimum of 10 years under</w:t>
      </w:r>
      <w:r w:rsidRPr="007A1FCF">
        <w:t xml:space="preserve"> the classified management </w:t>
      </w:r>
      <w:r>
        <w:t xml:space="preserve">system </w:t>
      </w:r>
      <w:r w:rsidRPr="007A1FCF">
        <w:t xml:space="preserve">(iii) </w:t>
      </w:r>
      <w:r>
        <w:t xml:space="preserve">an area of over </w:t>
      </w:r>
      <w:r w:rsidRPr="007A1FCF">
        <w:t>100</w:t>
      </w:r>
      <w:r>
        <w:t xml:space="preserve"> </w:t>
      </w:r>
      <w:r w:rsidRPr="007A1FCF">
        <w:t>m</w:t>
      </w:r>
      <w:r w:rsidRPr="007A1FCF">
        <w:rPr>
          <w:vertAlign w:val="superscript"/>
        </w:rPr>
        <w:t>2</w:t>
      </w:r>
      <w:r w:rsidR="000F2456">
        <w:t xml:space="preserve">. </w:t>
      </w:r>
      <w:r w:rsidR="000F2456">
        <w:br w:type="page"/>
      </w:r>
    </w:p>
    <w:p w:rsidR="002F645F" w:rsidRDefault="002F645F" w:rsidP="002F645F">
      <w:pPr>
        <w:rPr>
          <w:rFonts w:cs="Times New Roman"/>
        </w:rPr>
      </w:pPr>
      <w:r>
        <w:rPr>
          <w:rFonts w:cs="Times New Roman"/>
          <w:noProof/>
          <w:lang w:eastAsia="en-GB"/>
        </w:rPr>
        <w:lastRenderedPageBreak/>
        <w:drawing>
          <wp:anchor distT="0" distB="0" distL="114300" distR="114300" simplePos="0" relativeHeight="251669504" behindDoc="0" locked="0" layoutInCell="1" allowOverlap="1" wp14:anchorId="60CE9D4E" wp14:editId="717596C5">
            <wp:simplePos x="0" y="0"/>
            <wp:positionH relativeFrom="column">
              <wp:posOffset>3580765</wp:posOffset>
            </wp:positionH>
            <wp:positionV relativeFrom="paragraph">
              <wp:posOffset>709666</wp:posOffset>
            </wp:positionV>
            <wp:extent cx="1854200" cy="1727835"/>
            <wp:effectExtent l="0" t="0" r="0" b="5715"/>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mall_map_just_20orchards.png"/>
                    <pic:cNvPicPr/>
                  </pic:nvPicPr>
                  <pic:blipFill rotWithShape="1">
                    <a:blip r:embed="rId62" cstate="print">
                      <a:extLst>
                        <a:ext uri="{28A0092B-C50C-407E-A947-70E740481C1C}">
                          <a14:useLocalDpi xmlns:a14="http://schemas.microsoft.com/office/drawing/2010/main" val="0"/>
                        </a:ext>
                      </a:extLst>
                    </a:blip>
                    <a:srcRect l="9775" t="5886" r="50332" b="41578"/>
                    <a:stretch/>
                  </pic:blipFill>
                  <pic:spPr bwMode="auto">
                    <a:xfrm>
                      <a:off x="0" y="0"/>
                      <a:ext cx="1854200" cy="1727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6C0F">
        <w:rPr>
          <w:rFonts w:cs="Times New Roman"/>
          <w:noProof/>
          <w:lang w:eastAsia="en-GB"/>
        </w:rPr>
        <mc:AlternateContent>
          <mc:Choice Requires="wps">
            <w:drawing>
              <wp:anchor distT="45720" distB="45720" distL="114300" distR="114300" simplePos="0" relativeHeight="251670528" behindDoc="0" locked="0" layoutInCell="1" allowOverlap="1" wp14:anchorId="4725F0D0" wp14:editId="15942F1C">
                <wp:simplePos x="0" y="0"/>
                <wp:positionH relativeFrom="column">
                  <wp:posOffset>3952444</wp:posOffset>
                </wp:positionH>
                <wp:positionV relativeFrom="paragraph">
                  <wp:posOffset>1200629</wp:posOffset>
                </wp:positionV>
                <wp:extent cx="836295" cy="275590"/>
                <wp:effectExtent l="0" t="0" r="0" b="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6295" cy="275590"/>
                        </a:xfrm>
                        <a:prstGeom prst="rect">
                          <a:avLst/>
                        </a:prstGeom>
                        <a:noFill/>
                        <a:ln w="9525">
                          <a:noFill/>
                          <a:miter lim="800000"/>
                          <a:headEnd/>
                          <a:tailEnd/>
                        </a:ln>
                      </wps:spPr>
                      <wps:txbx>
                        <w:txbxContent>
                          <w:p w:rsidR="003C4E2F" w:rsidRPr="000B6C0F" w:rsidRDefault="003C4E2F" w:rsidP="002F645F">
                            <w:pPr>
                              <w:rPr>
                                <w:rFonts w:cs="Times New Roman"/>
                                <w:sz w:val="16"/>
                                <w:szCs w:val="16"/>
                              </w:rPr>
                            </w:pPr>
                            <w:r w:rsidRPr="00325AD0">
                              <w:rPr>
                                <w:rFonts w:cs="Times New Roman"/>
                                <w:b/>
                                <w:sz w:val="16"/>
                                <w:szCs w:val="16"/>
                              </w:rPr>
                              <w:t>Herefordshire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5F0D0" id="Text Box 2" o:spid="_x0000_s1034" type="#_x0000_t202" style="position:absolute;left:0;text-align:left;margin-left:311.2pt;margin-top:94.55pt;width:65.85pt;height:21.7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" filled="f" stroked="f">
                <v:textbox>
                  <w:txbxContent>
                    <w:p w:rsidR="003C4E2F" w:rsidRPr="000B6C0F" w:rsidRDefault="003C4E2F" w:rsidP="002F645F">
                      <w:pPr>
                        <w:rPr>
                          <w:rFonts w:cs="Times New Roman"/>
                          <w:sz w:val="16"/>
                          <w:szCs w:val="16"/>
                        </w:rPr>
                      </w:pPr>
                      <w:r w:rsidRPr="00325AD0">
                        <w:rPr>
                          <w:rFonts w:cs="Times New Roman"/>
                          <w:b/>
                          <w:sz w:val="16"/>
                          <w:szCs w:val="16"/>
                        </w:rPr>
                        <w:t>Herefordshire</w:t>
                      </w:r>
                    </w:p>
                  </w:txbxContent>
                </v:textbox>
              </v:shape>
            </w:pict>
          </mc:Fallback>
        </mc:AlternateContent>
      </w:r>
      <w:r>
        <w:rPr>
          <w:rFonts w:cs="Times New Roman"/>
          <w:noProof/>
          <w:lang w:eastAsia="en-GB"/>
        </w:rPr>
        <w:drawing>
          <wp:inline distT="0" distB="0" distL="0" distR="0" wp14:anchorId="70E00CF3" wp14:editId="5E5DC6ED">
            <wp:extent cx="5495943" cy="2483977"/>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ust_20orchards.png"/>
                    <pic:cNvPicPr/>
                  </pic:nvPicPr>
                  <pic:blipFill rotWithShape="1">
                    <a:blip r:embed="rId63">
                      <a:extLst>
                        <a:ext uri="{28A0092B-C50C-407E-A947-70E740481C1C}">
                          <a14:useLocalDpi xmlns:a14="http://schemas.microsoft.com/office/drawing/2010/main" val="0"/>
                        </a:ext>
                      </a:extLst>
                    </a:blip>
                    <a:srcRect l="3204" t="10415" b="27761"/>
                    <a:stretch/>
                  </pic:blipFill>
                  <pic:spPr bwMode="auto">
                    <a:xfrm>
                      <a:off x="0" y="0"/>
                      <a:ext cx="5509380" cy="2490050"/>
                    </a:xfrm>
                    <a:prstGeom prst="rect">
                      <a:avLst/>
                    </a:prstGeom>
                    <a:ln>
                      <a:noFill/>
                    </a:ln>
                    <a:extLst>
                      <a:ext uri="{53640926-AAD7-44D8-BBD7-CCE9431645EC}">
                        <a14:shadowObscured xmlns:a14="http://schemas.microsoft.com/office/drawing/2010/main"/>
                      </a:ext>
                    </a:extLst>
                  </pic:spPr>
                </pic:pic>
              </a:graphicData>
            </a:graphic>
          </wp:inline>
        </w:drawing>
      </w:r>
    </w:p>
    <w:p w:rsidR="002F645F" w:rsidRPr="00535965" w:rsidRDefault="002F645F" w:rsidP="000F2456">
      <w:pPr>
        <w:pStyle w:val="Caption"/>
      </w:pPr>
      <w:bookmarkStart w:id="403" w:name="_Ref468871224"/>
      <w:bookmarkStart w:id="404" w:name="_Toc469982788"/>
      <w:r w:rsidRPr="00535965">
        <w:t xml:space="preserve">Figure </w:t>
      </w:r>
      <w:r w:rsidR="00C44EF5">
        <w:fldChar w:fldCharType="begin"/>
      </w:r>
      <w:r w:rsidR="00C44EF5">
        <w:instrText xml:space="preserve"> STYLEREF 1 \s </w:instrText>
      </w:r>
      <w:r w:rsidR="00C44EF5">
        <w:fldChar w:fldCharType="separate"/>
      </w:r>
      <w:r w:rsidR="00E0714D">
        <w:rPr>
          <w:noProof/>
        </w:rPr>
        <w:t>4</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1</w:t>
      </w:r>
      <w:r w:rsidR="00C44EF5">
        <w:rPr>
          <w:noProof/>
        </w:rPr>
        <w:fldChar w:fldCharType="end"/>
      </w:r>
      <w:bookmarkEnd w:id="403"/>
      <w:r w:rsidRPr="00535965">
        <w:t xml:space="preserve"> </w:t>
      </w:r>
      <w:r w:rsidRPr="000F2456">
        <w:t>Location</w:t>
      </w:r>
      <w:r w:rsidRPr="00535965">
        <w:t xml:space="preserve"> of study orchards within Herefordshire, UK. Apple </w:t>
      </w:r>
      <w:r w:rsidR="00EF459D">
        <w:t xml:space="preserve">tree yield data was </w:t>
      </w:r>
      <w:r w:rsidRPr="00535965">
        <w:t>collected from 2</w:t>
      </w:r>
      <w:r w:rsidR="00EF459D">
        <w:t>0</w:t>
      </w:r>
      <w:r w:rsidRPr="00535965">
        <w:t xml:space="preserve"> orchards for each of the three orchard types.</w:t>
      </w:r>
      <w:bookmarkEnd w:id="404"/>
      <w:r w:rsidRPr="00535965">
        <w:t xml:space="preserve"> </w:t>
      </w:r>
      <w:r w:rsidR="00EF459D">
        <w:t>Fruit yield data was collected from two trees per study orchard during autumn 2013 and 2014.</w:t>
      </w:r>
    </w:p>
    <w:p w:rsidR="002F645F" w:rsidRPr="00215CEF" w:rsidRDefault="002F645F" w:rsidP="002F645F">
      <w:pPr>
        <w:pStyle w:val="Heading3"/>
      </w:pPr>
      <w:bookmarkStart w:id="405" w:name="_Toc469855061"/>
      <w:bookmarkStart w:id="406" w:name="_Toc469856061"/>
      <w:bookmarkStart w:id="407" w:name="_Toc469931970"/>
      <w:bookmarkStart w:id="408" w:name="_Toc469982291"/>
      <w:r>
        <w:t>Orchard data collection</w:t>
      </w:r>
      <w:bookmarkEnd w:id="405"/>
      <w:bookmarkEnd w:id="406"/>
      <w:bookmarkEnd w:id="407"/>
      <w:bookmarkEnd w:id="408"/>
      <w:r w:rsidR="00E52B3A">
        <w:t xml:space="preserve"> and vegetation survey</w:t>
      </w:r>
    </w:p>
    <w:p w:rsidR="00E52B3A" w:rsidRPr="003B55DF" w:rsidRDefault="002F645F" w:rsidP="00E52B3A">
      <w:pPr>
        <w:rPr>
          <w:rFonts w:cs="Times New Roman"/>
        </w:rPr>
      </w:pPr>
      <w:r w:rsidRPr="008D3EFF">
        <w:rPr>
          <w:rFonts w:cs="Times New Roman"/>
        </w:rPr>
        <w:t xml:space="preserve">For each of the study orchards the following details </w:t>
      </w:r>
      <w:r>
        <w:rPr>
          <w:rFonts w:cs="Times New Roman"/>
        </w:rPr>
        <w:t>we</w:t>
      </w:r>
      <w:r w:rsidRPr="008D3EFF">
        <w:rPr>
          <w:rFonts w:cs="Times New Roman"/>
        </w:rPr>
        <w:t>re recorded (1) tree scion varieties, (2) tree rootstock varieties, (3) date of plant</w:t>
      </w:r>
      <w:r>
        <w:rPr>
          <w:rFonts w:cs="Times New Roman"/>
        </w:rPr>
        <w:t>ing</w:t>
      </w:r>
      <w:r w:rsidRPr="008D3EFF">
        <w:rPr>
          <w:rFonts w:cs="Times New Roman"/>
        </w:rPr>
        <w:t xml:space="preserve"> in orchard, (4) orchard size,</w:t>
      </w:r>
      <w:r>
        <w:rPr>
          <w:rFonts w:cs="Times New Roman"/>
        </w:rPr>
        <w:t xml:space="preserve"> (5) </w:t>
      </w:r>
      <w:r w:rsidR="001B767B">
        <w:rPr>
          <w:rFonts w:cs="Times New Roman"/>
        </w:rPr>
        <w:t>amounts of fertiliser</w:t>
      </w:r>
      <w:r>
        <w:rPr>
          <w:rFonts w:cs="Times New Roman"/>
        </w:rPr>
        <w:t xml:space="preserve"> applied over the previous two growing seasons, </w:t>
      </w:r>
      <w:r w:rsidRPr="008D3EFF">
        <w:rPr>
          <w:rFonts w:cs="Times New Roman"/>
        </w:rPr>
        <w:t>(6) estimate of yield per orchard, (7) whether the orchard is grazed a</w:t>
      </w:r>
      <w:r w:rsidR="001B767B">
        <w:rPr>
          <w:rFonts w:cs="Times New Roman"/>
        </w:rPr>
        <w:t>nd if so the type of live</w:t>
      </w:r>
      <w:r>
        <w:rPr>
          <w:rFonts w:cs="Times New Roman"/>
        </w:rPr>
        <w:t xml:space="preserve">stock. </w:t>
      </w:r>
      <w:r w:rsidR="00E52B3A" w:rsidRPr="007A1FCF">
        <w:t>All plant species present at the location from which soil cores were removed were recorded</w:t>
      </w:r>
      <w:r w:rsidR="00E52B3A">
        <w:t xml:space="preserve"> using a 1m x 1m square quadrat centred on the coring location.</w:t>
      </w:r>
      <w:r w:rsidR="00E52B3A" w:rsidRPr="007A1FCF">
        <w:t xml:space="preserve"> Species abundance</w:t>
      </w:r>
      <w:r w:rsidR="00E52B3A">
        <w:t xml:space="preserve">s were </w:t>
      </w:r>
      <w:r w:rsidR="00E52B3A" w:rsidRPr="007A1FCF">
        <w:t>measured by recording species presence/absence within each of the 64 (</w:t>
      </w:r>
      <w:r w:rsidR="00E52B3A">
        <w:t xml:space="preserve">12.5 </w:t>
      </w:r>
      <w:r w:rsidR="00E52B3A" w:rsidRPr="007A1FCF">
        <w:t>cm x</w:t>
      </w:r>
      <w:r w:rsidR="00E52B3A">
        <w:t xml:space="preserve"> 12.5</w:t>
      </w:r>
      <w:r w:rsidR="00E52B3A" w:rsidRPr="007A1FCF">
        <w:t xml:space="preserve"> cm) squares of the quadrat. Eight measurements of maximum vegetation height were recorded across the quadrat (excluding flowering spikes of grasses). An estimate of the bare ground per quadrat was also recorded. </w:t>
      </w:r>
    </w:p>
    <w:p w:rsidR="00E52B3A" w:rsidRDefault="00E52B3A" w:rsidP="002F645F">
      <w:pPr>
        <w:rPr>
          <w:rFonts w:cs="Times New Roman"/>
        </w:rPr>
      </w:pPr>
    </w:p>
    <w:p w:rsidR="002F645F" w:rsidRDefault="002F645F" w:rsidP="002F645F">
      <w:pPr>
        <w:pStyle w:val="Heading3"/>
      </w:pPr>
      <w:bookmarkStart w:id="409" w:name="_Toc469855062"/>
      <w:bookmarkStart w:id="410" w:name="_Toc469856062"/>
      <w:bookmarkStart w:id="411" w:name="_Toc469931971"/>
      <w:bookmarkStart w:id="412" w:name="_Toc469982292"/>
      <w:r>
        <w:t>Apple yield data collection.</w:t>
      </w:r>
      <w:bookmarkEnd w:id="409"/>
      <w:bookmarkEnd w:id="410"/>
      <w:bookmarkEnd w:id="411"/>
      <w:bookmarkEnd w:id="412"/>
      <w:r>
        <w:t xml:space="preserve"> </w:t>
      </w:r>
    </w:p>
    <w:p w:rsidR="009466CF" w:rsidRDefault="00E74FE4" w:rsidP="002F645F">
      <w:r>
        <w:t xml:space="preserve">Due to logistical constraints, apple yield was recorded from all focal trees from orchards in 20 of the 25 </w:t>
      </w:r>
      <w:r w:rsidR="009466CF">
        <w:t>orchard groups</w:t>
      </w:r>
      <w:r w:rsidR="00EF459D">
        <w:t xml:space="preserve"> </w:t>
      </w:r>
      <w:r w:rsidR="00EF459D">
        <w:rPr>
          <w:rFonts w:cs="Times New Roman"/>
        </w:rPr>
        <w:t xml:space="preserve">which </w:t>
      </w:r>
      <w:r w:rsidR="00EF459D" w:rsidRPr="008D3EFF">
        <w:rPr>
          <w:rFonts w:cs="Times New Roman"/>
        </w:rPr>
        <w:t xml:space="preserve">were distributed over an area of </w:t>
      </w:r>
      <w:r w:rsidR="00EF459D">
        <w:rPr>
          <w:rFonts w:cs="Times New Roman"/>
        </w:rPr>
        <w:t xml:space="preserve">approximately 20 </w:t>
      </w:r>
      <w:r w:rsidR="00EF459D" w:rsidRPr="008D3EFF">
        <w:rPr>
          <w:rFonts w:cs="Times New Roman"/>
        </w:rPr>
        <w:t>km</w:t>
      </w:r>
      <w:r w:rsidR="00EF459D" w:rsidRPr="008D3EFF">
        <w:rPr>
          <w:rFonts w:cs="Times New Roman"/>
          <w:vertAlign w:val="superscript"/>
        </w:rPr>
        <w:t>2</w:t>
      </w:r>
      <w:r w:rsidR="00EF459D">
        <w:rPr>
          <w:rFonts w:cs="Times New Roman"/>
        </w:rPr>
        <w:t xml:space="preserve"> (</w:t>
      </w:r>
      <w:r w:rsidR="00EF459D">
        <w:rPr>
          <w:rFonts w:cs="Times New Roman"/>
        </w:rPr>
        <w:fldChar w:fldCharType="begin"/>
      </w:r>
      <w:r w:rsidR="00EF459D">
        <w:rPr>
          <w:rFonts w:cs="Times New Roman"/>
        </w:rPr>
        <w:instrText xml:space="preserve"> REF _Ref468871224 \h </w:instrText>
      </w:r>
      <w:r w:rsidR="00EF459D">
        <w:rPr>
          <w:rFonts w:cs="Times New Roman"/>
        </w:rPr>
      </w:r>
      <w:r w:rsidR="00EF459D">
        <w:rPr>
          <w:rFonts w:cs="Times New Roman"/>
        </w:rPr>
        <w:fldChar w:fldCharType="separate"/>
      </w:r>
      <w:r w:rsidR="00E0714D" w:rsidRPr="00535965">
        <w:t xml:space="preserve">Figure </w:t>
      </w:r>
      <w:r w:rsidR="00E0714D">
        <w:rPr>
          <w:noProof/>
        </w:rPr>
        <w:t>4</w:t>
      </w:r>
      <w:r w:rsidR="00E0714D">
        <w:t>.</w:t>
      </w:r>
      <w:r w:rsidR="00E0714D">
        <w:rPr>
          <w:noProof/>
        </w:rPr>
        <w:t>1</w:t>
      </w:r>
      <w:r w:rsidR="00EF459D">
        <w:rPr>
          <w:rFonts w:cs="Times New Roman"/>
        </w:rPr>
        <w:fldChar w:fldCharType="end"/>
      </w:r>
      <w:r w:rsidR="00EF459D">
        <w:rPr>
          <w:rFonts w:cs="Times New Roman"/>
        </w:rPr>
        <w:t>)</w:t>
      </w:r>
      <w:r w:rsidR="009466CF">
        <w:t xml:space="preserve"> </w:t>
      </w:r>
      <w:r w:rsidR="002F645F">
        <w:t>(</w:t>
      </w:r>
      <w:r w:rsidR="009466CF">
        <w:t>giving</w:t>
      </w:r>
      <w:r w:rsidR="002F645F">
        <w:t xml:space="preserve"> a</w:t>
      </w:r>
      <w:r>
        <w:t xml:space="preserve"> total of 40 trees per orchard type for each of the three</w:t>
      </w:r>
      <w:r w:rsidR="002F645F">
        <w:t xml:space="preserve"> orchard types</w:t>
      </w:r>
      <w:r>
        <w:t xml:space="preserve">, therefore a total of </w:t>
      </w:r>
      <w:r w:rsidR="002F645F">
        <w:t>120 trees)</w:t>
      </w:r>
      <w:r w:rsidR="00EF459D">
        <w:rPr>
          <w:rFonts w:cs="Times New Roman"/>
        </w:rPr>
        <w:t xml:space="preserve">. </w:t>
      </w:r>
      <w:r w:rsidR="009466CF">
        <w:t xml:space="preserve">Following root sampling in June-August 2013, fruit yield of all 120 study trees was quantified for two consecutive harvests (autumn 2013 and 2014) to take into account the bi-annual cropping pattern of some apple varieties. Fruit yield was measured in October, shortly after maturation of the crop and whilst the vast majority of the crop was still retained on the tree. The number of apples on each tree were counted twice, and if numbers were within 10% of each other we used the mean of the two counts as an estimate of the number of apples. If the two counts differed by more than 10% counts were repeated until this accuracy threshold was met. This method is based on preliminary data that compared visual estimates of fruit number with that </w:t>
      </w:r>
      <w:r w:rsidR="009466CF">
        <w:lastRenderedPageBreak/>
        <w:t>obtained from harvesting the fruit, which found no significant differences between these two methods with all values being within 10% of each other. The cider apple industry also harvests fruit from the ground, and we thus also counted any apples lying underneath the canopy of each tree. Twenty-five apples from each tree were then picked and weighed (in groups of five apples) to calculate the average apple weight (g) which was combined with the estimate of the number of apples to estimate total yield (kg) per tree. Diameter at breast height (DBH) was also recorded for each tree.</w:t>
      </w:r>
    </w:p>
    <w:p w:rsidR="002F645F" w:rsidRDefault="002F645F" w:rsidP="002F645F">
      <w:pPr>
        <w:pStyle w:val="Heading3"/>
      </w:pPr>
      <w:bookmarkStart w:id="413" w:name="_Toc469855063"/>
      <w:bookmarkStart w:id="414" w:name="_Toc469856063"/>
      <w:bookmarkStart w:id="415" w:name="_Toc469931972"/>
      <w:bookmarkStart w:id="416" w:name="_Toc469982293"/>
      <w:r w:rsidRPr="00F248D2">
        <w:t>Apple tree root sampling</w:t>
      </w:r>
      <w:bookmarkEnd w:id="413"/>
      <w:bookmarkEnd w:id="414"/>
      <w:bookmarkEnd w:id="415"/>
      <w:bookmarkEnd w:id="416"/>
      <w:r w:rsidRPr="00F248D2">
        <w:t xml:space="preserve"> </w:t>
      </w:r>
    </w:p>
    <w:p w:rsidR="002F645F" w:rsidRPr="00127EDF" w:rsidRDefault="002F645F" w:rsidP="002F645F">
      <w:r>
        <w:rPr>
          <w:rFonts w:cs="Times New Roman"/>
        </w:rPr>
        <w:t xml:space="preserve">Root samples were collected from two randomly selected trees per orchard.  To collect roots, soil pits were dug to a depth of 30 cm at two separate locations 1 m from the base of each tree. Roots were carefully cleaned to remove soil without wetting and a </w:t>
      </w:r>
      <w:r w:rsidRPr="008D3EFF">
        <w:rPr>
          <w:rFonts w:cs="Times New Roman"/>
        </w:rPr>
        <w:t>1</w:t>
      </w:r>
      <w:r w:rsidR="00B0194E">
        <w:rPr>
          <w:rFonts w:cs="Times New Roman"/>
        </w:rPr>
        <w:t xml:space="preserve"> </w:t>
      </w:r>
      <w:r w:rsidRPr="008D3EFF">
        <w:rPr>
          <w:rFonts w:cs="Times New Roman"/>
        </w:rPr>
        <w:t>g</w:t>
      </w:r>
      <w:r>
        <w:rPr>
          <w:rFonts w:cs="Times New Roman"/>
        </w:rPr>
        <w:t xml:space="preserve"> subsample of fine root (diameter &lt;2</w:t>
      </w:r>
      <w:r w:rsidRPr="008D3EFF">
        <w:rPr>
          <w:rFonts w:cs="Times New Roman"/>
        </w:rPr>
        <w:t xml:space="preserve">mm) </w:t>
      </w:r>
      <w:r>
        <w:rPr>
          <w:rFonts w:cs="Times New Roman"/>
        </w:rPr>
        <w:t>was removed and</w:t>
      </w:r>
      <w:r w:rsidRPr="008D3EFF">
        <w:rPr>
          <w:rFonts w:cs="Times New Roman"/>
        </w:rPr>
        <w:t xml:space="preserve"> preserved by wrapping in tissue and placing in </w:t>
      </w:r>
      <w:r>
        <w:rPr>
          <w:rFonts w:cs="Times New Roman"/>
        </w:rPr>
        <w:t>an air tight sealed bag</w:t>
      </w:r>
      <w:r w:rsidRPr="008D3EFF">
        <w:rPr>
          <w:rFonts w:cs="Times New Roman"/>
        </w:rPr>
        <w:t xml:space="preserve"> with silica gel. </w:t>
      </w:r>
      <w:r>
        <w:rPr>
          <w:rFonts w:cs="Times New Roman"/>
        </w:rPr>
        <w:t xml:space="preserve"> Silica gel is effective in the preservation of fungal DNA for ecological studies of AMF (e.g. as used in </w:t>
      </w:r>
      <w:r>
        <w:rPr>
          <w:rFonts w:cs="Times New Roman"/>
        </w:rPr>
        <w:fldChar w:fldCharType="begin"/>
      </w:r>
      <w:r w:rsidR="00954B3D">
        <w:rPr>
          <w:rFonts w:cs="Times New Roman"/>
        </w:rPr>
        <w:instrText xml:space="preserve"> ADDIN ZOTERO_ITEM CSL_CITATION {"citationID":"41j1n4s32","properties":{"formattedCitation":"{\\rtf (\\uc0\\u214{}pik {\\i{}et al.}, 2013b)}","plainCitation":"(Öpik et al., 2013b)"},"citationItems":[{"id":274,"uris":["http://zotero.org/users/local/d1gJDEOw/items/EZ9AXX4K"],"uri":["http://zotero.org/users/local/d1gJDEOw/items/EZ9AXX4K"],"itemData":{"id":274,"type":"article-journal","title":"Global sampling of plant roots expands the described molecular diversity of arbuscular mycorrhizal fungi","container-title":"Mycorrhiza","page":"411-430","volume":"23","issue":"5","source":"PubMed","abstract":"We aimed to enhance understanding of the molecular diversity of arbuscular mycorrhizal fungi (AMF) by building a new global dataset targeting previously unstudied geographical areas. In total, we sampled 96 plant species from 25 sites that encompassed all continents except Antarctica. AMF in plant roots were detected by sequencing the nuclear SSU rRNA gene fragment using either cloning followed by Sanger sequencing or 454-sequencing. A total of 204 AMF phylogroups (virtual taxa, VT) were recorded, increasing the described number of Glomeromycota VT from 308 to 341 globally. Novel VT were detected from 21 sites; three novel but nevertheless widespread VT (Glomus spp. MO-G52, MO-G53, MO-G57) were recorded from six continents. The largest increases in regional VT number were recorded in previously little-studied Oceania and in the boreal and polar climatic zones - this study providing the first molecular data from the latter. Ordination revealed differences in AM fungal communities between different continents and climatic zones, suggesting that both biogeographic history and environmental conditions underlie the global variation of those communities. Our results show that a considerable proportion of Glomeromycota diversity has been recorded in many regions, though further large increases in richness can be expected in remaining unstudied areas.","DOI":"10.1007/s00572-013-0482-2","ISSN":"1432-1890","note":"PMID: 23422950","journalAbbreviation":"Mycorrhiza","language":"eng","author":[{"family":"Öpik","given":"Maarja"},{"family":"Zobel","given":"Martin"},{"family":"Cantero","given":"Juan J."},{"family":"Davison","given":"John"},{"family":"Facelli","given":"José M."},{"family":"Hiiesalu","given":"Inga"},{"family":"Jairus","given":"Teele"},{"family":"Kalwij","given":"Jesse M."},{"family":"Koorem","given":"Kadri"},{"family":"Leal","given":"Miguel E."},{"family":"Liira","given":"Jaan"},{"family":"Metsis","given":"Madis"},{"family":"Neshataeva","given":"Valentina"},{"family":"Paal","given":"Jaanus"},{"family":"Phosri","given":"Cherdchai"},{"family":"Põlme","given":"Sergei"},{"family":"Reier","given":"Ülle"},{"family":"Saks","given":"Ülle"},{"family":"Schimann","given":"Heidy"},{"family":"Thiéry","given":"Odile"},{"family":"Vasar","given":"Martti"},{"family":"Moora","given":"Mari"}],"issued":{"date-parts":[["2013",7]]}}}],"schema":"https://github.com/citation-style-language/schema/raw/master/csl-citation.json"} </w:instrText>
      </w:r>
      <w:r>
        <w:rPr>
          <w:rFonts w:cs="Times New Roman"/>
        </w:rPr>
        <w:fldChar w:fldCharType="separate"/>
      </w:r>
      <w:proofErr w:type="spellStart"/>
      <w:r w:rsidR="00954B3D" w:rsidRPr="00954B3D">
        <w:rPr>
          <w:rFonts w:cs="Times New Roman"/>
          <w:szCs w:val="24"/>
        </w:rPr>
        <w:t>Öpik</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w:t>
      </w:r>
      <w:r w:rsidR="00D33D8C">
        <w:rPr>
          <w:rFonts w:cs="Times New Roman"/>
          <w:szCs w:val="24"/>
        </w:rPr>
        <w:t>(</w:t>
      </w:r>
      <w:r w:rsidR="00954B3D" w:rsidRPr="00954B3D">
        <w:rPr>
          <w:rFonts w:cs="Times New Roman"/>
          <w:szCs w:val="24"/>
        </w:rPr>
        <w:t>2013b</w:t>
      </w:r>
      <w:r>
        <w:rPr>
          <w:rFonts w:cs="Times New Roman"/>
        </w:rPr>
        <w:fldChar w:fldCharType="end"/>
      </w:r>
      <w:r w:rsidR="00D33D8C">
        <w:rPr>
          <w:rFonts w:cs="Times New Roman"/>
        </w:rPr>
        <w:t>)</w:t>
      </w:r>
      <w:r>
        <w:rPr>
          <w:rFonts w:cs="Times New Roman"/>
        </w:rPr>
        <w:t xml:space="preserve">). Simultaneously, soil samples were also collected 0.5 m from the base of each of the root sampled trees to allow quantification of the soil AMF community (see sampling method </w:t>
      </w:r>
      <w:r w:rsidR="00E62128">
        <w:rPr>
          <w:rFonts w:cs="Times New Roman"/>
        </w:rPr>
        <w:t xml:space="preserve">details Chapter 3, section </w:t>
      </w:r>
      <w:r w:rsidR="00E62128">
        <w:rPr>
          <w:rFonts w:cs="Times New Roman"/>
        </w:rPr>
        <w:fldChar w:fldCharType="begin"/>
      </w:r>
      <w:r w:rsidR="00E62128">
        <w:rPr>
          <w:rFonts w:cs="Times New Roman"/>
        </w:rPr>
        <w:instrText xml:space="preserve"> REF _Ref469867818 \r \h </w:instrText>
      </w:r>
      <w:r w:rsidR="00E62128">
        <w:rPr>
          <w:rFonts w:cs="Times New Roman"/>
        </w:rPr>
      </w:r>
      <w:r w:rsidR="00E62128">
        <w:rPr>
          <w:rFonts w:cs="Times New Roman"/>
        </w:rPr>
        <w:fldChar w:fldCharType="separate"/>
      </w:r>
      <w:r w:rsidR="00E0714D">
        <w:rPr>
          <w:rFonts w:cs="Times New Roman"/>
        </w:rPr>
        <w:t>3.3.3</w:t>
      </w:r>
      <w:r w:rsidR="00E62128">
        <w:rPr>
          <w:rFonts w:cs="Times New Roman"/>
        </w:rPr>
        <w:fldChar w:fldCharType="end"/>
      </w:r>
      <w:r>
        <w:rPr>
          <w:rFonts w:cs="Times New Roman"/>
        </w:rPr>
        <w:t>).</w:t>
      </w:r>
    </w:p>
    <w:p w:rsidR="002F645F" w:rsidRDefault="002F645F" w:rsidP="002F645F">
      <w:pPr>
        <w:pStyle w:val="Heading3"/>
      </w:pPr>
      <w:bookmarkStart w:id="417" w:name="_Toc469855064"/>
      <w:bookmarkStart w:id="418" w:name="_Toc469856064"/>
      <w:bookmarkStart w:id="419" w:name="_Toc469931973"/>
      <w:bookmarkStart w:id="420" w:name="_Toc469982294"/>
      <w:r>
        <w:t>DNA extraction and TRFLP analysis</w:t>
      </w:r>
      <w:bookmarkEnd w:id="417"/>
      <w:bookmarkEnd w:id="418"/>
      <w:bookmarkEnd w:id="419"/>
      <w:bookmarkEnd w:id="420"/>
    </w:p>
    <w:p w:rsidR="002F645F" w:rsidRPr="001C560F" w:rsidRDefault="002F645F" w:rsidP="002F645F">
      <w:r>
        <w:t>Root systems were</w:t>
      </w:r>
      <w:r w:rsidRPr="007A1FCF">
        <w:t xml:space="preserve"> cut into 1</w:t>
      </w:r>
      <w:r>
        <w:t xml:space="preserve"> cm sections and </w:t>
      </w:r>
      <w:r w:rsidRPr="007A1FCF">
        <w:t>a random subsample</w:t>
      </w:r>
      <w:r>
        <w:t xml:space="preserve"> of roughly 10 pieces</w:t>
      </w:r>
      <w:r w:rsidRPr="007A1FCF">
        <w:t xml:space="preserve"> </w:t>
      </w:r>
      <w:r>
        <w:t>were</w:t>
      </w:r>
      <w:r w:rsidRPr="007A1FCF">
        <w:t xml:space="preserve"> selected and placed in 2ml </w:t>
      </w:r>
      <w:proofErr w:type="spellStart"/>
      <w:r w:rsidRPr="007A1FCF">
        <w:t>eppendorf</w:t>
      </w:r>
      <w:proofErr w:type="spellEnd"/>
      <w:r w:rsidRPr="007A1FCF">
        <w:t xml:space="preserve"> </w:t>
      </w:r>
      <w:r>
        <w:t xml:space="preserve">tubes </w:t>
      </w:r>
      <w:r w:rsidRPr="007A1FCF">
        <w:t>with approximately 20 x 1 mm sterile stainless steel beads</w:t>
      </w:r>
      <w:r>
        <w:t>.</w:t>
      </w:r>
      <w:r w:rsidRPr="007A1FCF">
        <w:t xml:space="preserve"> </w:t>
      </w:r>
      <w:r>
        <w:t xml:space="preserve">Roots were </w:t>
      </w:r>
      <w:r w:rsidRPr="007A1FCF">
        <w:t xml:space="preserve">homogenised to a fine powder using a </w:t>
      </w:r>
      <w:proofErr w:type="spellStart"/>
      <w:r w:rsidRPr="007A1FCF">
        <w:t>Qi</w:t>
      </w:r>
      <w:r>
        <w:t>agen</w:t>
      </w:r>
      <w:proofErr w:type="spellEnd"/>
      <w:r>
        <w:t xml:space="preserve"> Tissue </w:t>
      </w:r>
      <w:proofErr w:type="spellStart"/>
      <w:r>
        <w:t>Lyser</w:t>
      </w:r>
      <w:proofErr w:type="spellEnd"/>
      <w:r>
        <w:t xml:space="preserve"> (</w:t>
      </w:r>
      <w:proofErr w:type="spellStart"/>
      <w:r>
        <w:t>Retsch</w:t>
      </w:r>
      <w:proofErr w:type="spellEnd"/>
      <w:r w:rsidRPr="002900F0">
        <w:rPr>
          <w:vertAlign w:val="superscript"/>
        </w:rPr>
        <w:t>®</w:t>
      </w:r>
      <w:r>
        <w:rPr>
          <w:vertAlign w:val="superscript"/>
        </w:rPr>
        <w:t>,</w:t>
      </w:r>
      <w:r>
        <w:t xml:space="preserve"> Germany</w:t>
      </w:r>
      <w:r w:rsidRPr="007A1FCF">
        <w:t xml:space="preserve">) for four minutes at a frequency of 30 beats per second.  Genomic DNA was then extracted from a 0.1g ± 0.05g subsample using </w:t>
      </w:r>
      <w:proofErr w:type="spellStart"/>
      <w:r w:rsidRPr="007A1FCF">
        <w:t>Nu</w:t>
      </w:r>
      <w:r>
        <w:t>cleoSpin</w:t>
      </w:r>
      <w:proofErr w:type="spellEnd"/>
      <w:r>
        <w:t xml:space="preserve"> 96 Plant II Kits (</w:t>
      </w:r>
      <w:proofErr w:type="spellStart"/>
      <w:r>
        <w:t>Machere</w:t>
      </w:r>
      <w:r w:rsidRPr="007A1FCF">
        <w:t>y</w:t>
      </w:r>
      <w:proofErr w:type="spellEnd"/>
      <w:r w:rsidRPr="007A1FCF">
        <w:t xml:space="preserve"> Nagel, Germany) following manufacturer instructions.</w:t>
      </w:r>
      <w:r>
        <w:t xml:space="preserve"> TRFLP analysis was performed using the same methods as for analysis of the leek bait plant roots described in Chapter 3. Full details of methods are pro</w:t>
      </w:r>
      <w:r w:rsidR="00E62128">
        <w:t xml:space="preserve">vided in Chapter 3 section </w:t>
      </w:r>
      <w:r w:rsidR="00E62128">
        <w:fldChar w:fldCharType="begin"/>
      </w:r>
      <w:r w:rsidR="00E62128">
        <w:instrText xml:space="preserve"> REF _Ref469867833 \r \h </w:instrText>
      </w:r>
      <w:r w:rsidR="00E62128">
        <w:fldChar w:fldCharType="separate"/>
      </w:r>
      <w:r w:rsidR="00E0714D">
        <w:t>3.3.5</w:t>
      </w:r>
      <w:r w:rsidR="00E62128">
        <w:fldChar w:fldCharType="end"/>
      </w:r>
      <w:r>
        <w:t>.</w:t>
      </w:r>
    </w:p>
    <w:p w:rsidR="002F645F" w:rsidRDefault="002F645F" w:rsidP="002F645F">
      <w:pPr>
        <w:pStyle w:val="Heading3"/>
      </w:pPr>
      <w:bookmarkStart w:id="421" w:name="_Toc469855065"/>
      <w:bookmarkStart w:id="422" w:name="_Toc469856065"/>
      <w:bookmarkStart w:id="423" w:name="_Toc469931974"/>
      <w:bookmarkStart w:id="424" w:name="_Toc469982295"/>
      <w:r>
        <w:t>Data analysis</w:t>
      </w:r>
      <w:bookmarkEnd w:id="421"/>
      <w:bookmarkEnd w:id="422"/>
      <w:bookmarkEnd w:id="423"/>
      <w:bookmarkEnd w:id="424"/>
    </w:p>
    <w:p w:rsidR="002F645F" w:rsidRDefault="002F645F" w:rsidP="002F645F">
      <w:pPr>
        <w:pStyle w:val="Heading4"/>
        <w:numPr>
          <w:ilvl w:val="3"/>
          <w:numId w:val="1"/>
        </w:numPr>
      </w:pPr>
      <w:r>
        <w:t xml:space="preserve">TRFLP data analysis: Richness and Simpson’s diversity </w:t>
      </w:r>
    </w:p>
    <w:p w:rsidR="002F645F" w:rsidRPr="000D2CF1" w:rsidRDefault="002F645F" w:rsidP="002F645F">
      <w:r>
        <w:t xml:space="preserve">TRF richness was calculated as the total number of unique TRF lengths detected from the two root samples analysed per tree. As a measure of richness and evenness, Simpson’s Diversity index was calculated per tree using the same method as detailed in Chapter 3 </w:t>
      </w:r>
      <w:r w:rsidR="00E62128">
        <w:t xml:space="preserve">(section </w:t>
      </w:r>
      <w:r w:rsidR="00E62128">
        <w:fldChar w:fldCharType="begin"/>
      </w:r>
      <w:r w:rsidR="00E62128">
        <w:instrText xml:space="preserve"> REF _Ref469867858 \r \h </w:instrText>
      </w:r>
      <w:r w:rsidR="00E62128">
        <w:fldChar w:fldCharType="separate"/>
      </w:r>
      <w:r w:rsidR="00E0714D">
        <w:t>3.3.6</w:t>
      </w:r>
      <w:r w:rsidR="00E62128">
        <w:fldChar w:fldCharType="end"/>
      </w:r>
      <w:r>
        <w:t xml:space="preserve">). The relative abundance of individual TRFs per tree were calculated as the average from both samples analysed per tree. </w:t>
      </w:r>
      <w:r>
        <w:rPr>
          <w:rFonts w:cs="Times New Roman"/>
        </w:rPr>
        <w:t xml:space="preserve">To test for a difference in TRF number and Simpson’s diversity index between the three orchard types a one-way ANOVA test performed </w:t>
      </w:r>
      <w:r w:rsidRPr="009A2F9C">
        <w:rPr>
          <w:rFonts w:cs="Times New Roman"/>
        </w:rPr>
        <w:t xml:space="preserve">with </w:t>
      </w:r>
      <w:r>
        <w:rPr>
          <w:rFonts w:cs="Times New Roman"/>
        </w:rPr>
        <w:t>orchard types as a predictor, TRF richness/Simpson’s diversity index</w:t>
      </w:r>
      <w:r w:rsidRPr="009A2F9C">
        <w:rPr>
          <w:rFonts w:cs="Times New Roman"/>
        </w:rPr>
        <w:t xml:space="preserve"> </w:t>
      </w:r>
      <w:r>
        <w:rPr>
          <w:rFonts w:cs="Times New Roman"/>
        </w:rPr>
        <w:t xml:space="preserve">as the response variable and site included as a random factor. All ANOVA analysis was performed in R studio version 3.3.1 (R Core Team 2016). </w:t>
      </w:r>
    </w:p>
    <w:p w:rsidR="002F645F" w:rsidRDefault="002F645F" w:rsidP="002F645F">
      <w:pPr>
        <w:pStyle w:val="Heading4"/>
        <w:numPr>
          <w:ilvl w:val="3"/>
          <w:numId w:val="1"/>
        </w:numPr>
      </w:pPr>
      <w:r>
        <w:lastRenderedPageBreak/>
        <w:t>TRF relative abundance and presence/absence principal component analysis</w:t>
      </w:r>
    </w:p>
    <w:p w:rsidR="002F645F" w:rsidRPr="0017430C" w:rsidRDefault="002F645F" w:rsidP="002F645F">
      <w:r>
        <w:t xml:space="preserve">Principal Component Analysis was performed on the TRF relative abundance </w:t>
      </w:r>
      <w:r w:rsidR="009466CF">
        <w:t xml:space="preserve">(calculated as the mean across both samples per tree) </w:t>
      </w:r>
      <w:r>
        <w:t xml:space="preserve">and binary TRF presence/absence data using a sum of squares model in </w:t>
      </w:r>
      <w:proofErr w:type="spellStart"/>
      <w:r>
        <w:t>Genstat</w:t>
      </w:r>
      <w:proofErr w:type="spellEnd"/>
      <w:r>
        <w:t xml:space="preserve"> V18.1.0.12005 (</w:t>
      </w:r>
      <w:proofErr w:type="spellStart"/>
      <w:r>
        <w:t>VSNi</w:t>
      </w:r>
      <w:proofErr w:type="spellEnd"/>
      <w:r>
        <w:t xml:space="preserve"> International Ltd) to test for compositional differences in AMF communities between orchard types.  To examine differences in principal component scores between orchard types, we used one-way ANOVA models with orchard</w:t>
      </w:r>
      <w:r w:rsidR="009466CF">
        <w:t xml:space="preserve"> type as a fixed effect and orchard</w:t>
      </w:r>
      <w:r>
        <w:t xml:space="preserve"> group number as a random effect. Percentage values of data variation explained by each principal component were visually inspected and ANOVA tests were performed on all scores which accounted for over </w:t>
      </w:r>
      <w:r w:rsidR="009466CF">
        <w:t>2%</w:t>
      </w:r>
      <w:r w:rsidR="00D250B5">
        <w:t xml:space="preserve"> of the variation in the data; whilst this 2% threshold is low, it is used to ensure a more complete analysis of differences between orchard types than would be achievable using a higher threshold.</w:t>
      </w:r>
    </w:p>
    <w:p w:rsidR="002F645F" w:rsidRPr="00677E7C" w:rsidRDefault="002F645F" w:rsidP="002F645F">
      <w:pPr>
        <w:pStyle w:val="Heading4"/>
        <w:numPr>
          <w:ilvl w:val="3"/>
          <w:numId w:val="1"/>
        </w:numPr>
      </w:pPr>
      <w:r>
        <w:t>OPLS-DA approach identifying individual TRFs which differ in relative abundance between orchard types</w:t>
      </w:r>
    </w:p>
    <w:p w:rsidR="002F645F" w:rsidRDefault="002F645F" w:rsidP="002F645F">
      <w:pPr>
        <w:tabs>
          <w:tab w:val="left" w:pos="2970"/>
        </w:tabs>
        <w:rPr>
          <w:rFonts w:cs="Times New Roman"/>
        </w:rPr>
      </w:pPr>
      <w:r>
        <w:rPr>
          <w:rFonts w:cs="Times New Roman"/>
        </w:rPr>
        <w:t>O</w:t>
      </w:r>
      <w:r w:rsidRPr="00C05FF4">
        <w:rPr>
          <w:rFonts w:cs="Times New Roman"/>
        </w:rPr>
        <w:t>rthogonal partial least square discrimination analysis (OPLS-DA)</w:t>
      </w:r>
      <w:r>
        <w:rPr>
          <w:rFonts w:cs="Times New Roman"/>
        </w:rPr>
        <w:t xml:space="preserve"> was</w:t>
      </w:r>
      <w:r w:rsidRPr="00C05FF4">
        <w:rPr>
          <w:rFonts w:cs="Times New Roman"/>
        </w:rPr>
        <w:t xml:space="preserve"> used to </w:t>
      </w:r>
      <w:r>
        <w:rPr>
          <w:rFonts w:cs="Times New Roman"/>
        </w:rPr>
        <w:t xml:space="preserve">initially examine the differences in the relative abundance of each of the 37 TRFs between the three orchard types and to identify TRFs which showed significant differences in abundance between habitat types (SIMCA 14.0 </w:t>
      </w:r>
      <w:proofErr w:type="spellStart"/>
      <w:r>
        <w:rPr>
          <w:rFonts w:cs="Times New Roman"/>
        </w:rPr>
        <w:t>Umetrics</w:t>
      </w:r>
      <w:proofErr w:type="spellEnd"/>
      <w:r w:rsidRPr="00C05FF4">
        <w:rPr>
          <w:rFonts w:cs="Times New Roman"/>
        </w:rPr>
        <w:t>, Sweden)</w:t>
      </w:r>
      <w:r>
        <w:rPr>
          <w:rFonts w:cs="Times New Roman"/>
        </w:rPr>
        <w:t>. OPLS-DA showed no significant differences in TRF relative abundance between the three orchard types, therefore no subsequent ANOVA tests were required. Full details of OPLS-DA and its suitability for examining differences in relative abundance of individual TRFs between orchard types are detail</w:t>
      </w:r>
      <w:r w:rsidR="00E62128">
        <w:rPr>
          <w:rFonts w:cs="Times New Roman"/>
        </w:rPr>
        <w:t xml:space="preserve">ed in Chapter 3, section </w:t>
      </w:r>
      <w:r w:rsidR="00E62128">
        <w:rPr>
          <w:rFonts w:cs="Times New Roman"/>
        </w:rPr>
        <w:fldChar w:fldCharType="begin"/>
      </w:r>
      <w:r w:rsidR="00E62128">
        <w:rPr>
          <w:rFonts w:cs="Times New Roman"/>
        </w:rPr>
        <w:instrText xml:space="preserve"> REF _Ref469867874 \r \h </w:instrText>
      </w:r>
      <w:r w:rsidR="00E62128">
        <w:rPr>
          <w:rFonts w:cs="Times New Roman"/>
        </w:rPr>
      </w:r>
      <w:r w:rsidR="00E62128">
        <w:rPr>
          <w:rFonts w:cs="Times New Roman"/>
        </w:rPr>
        <w:fldChar w:fldCharType="separate"/>
      </w:r>
      <w:r w:rsidR="00E0714D">
        <w:rPr>
          <w:rFonts w:cs="Times New Roman"/>
        </w:rPr>
        <w:t>3.3.6</w:t>
      </w:r>
      <w:r w:rsidR="00E62128">
        <w:rPr>
          <w:rFonts w:cs="Times New Roman"/>
        </w:rPr>
        <w:fldChar w:fldCharType="end"/>
      </w:r>
      <w:r>
        <w:rPr>
          <w:rFonts w:cs="Times New Roman"/>
        </w:rPr>
        <w:t>.</w:t>
      </w:r>
    </w:p>
    <w:p w:rsidR="002F645F" w:rsidRDefault="002F645F" w:rsidP="002F645F">
      <w:pPr>
        <w:pStyle w:val="Heading4"/>
        <w:numPr>
          <w:ilvl w:val="3"/>
          <w:numId w:val="1"/>
        </w:numPr>
      </w:pPr>
      <w:r>
        <w:t>Data analysis of orchard management factor effects upon TRF richness and relative abundance per tree</w:t>
      </w:r>
    </w:p>
    <w:p w:rsidR="002F645F" w:rsidRDefault="002F645F" w:rsidP="002F645F">
      <w:r>
        <w:t>A single linear mixed effects model was used to analyse the relationship between TRF richness and the following orchard management factors</w:t>
      </w:r>
      <w:bookmarkStart w:id="425" w:name="OLE_LINK5"/>
      <w:r>
        <w:t>: N input kg/ha/yr</w:t>
      </w:r>
      <w:r w:rsidRPr="00D4345B">
        <w:rPr>
          <w:vertAlign w:val="superscript"/>
        </w:rPr>
        <w:t>-1</w:t>
      </w:r>
      <w:r>
        <w:t>, P input kg/ha/yr</w:t>
      </w:r>
      <w:r w:rsidRPr="00D4345B">
        <w:rPr>
          <w:vertAlign w:val="superscript"/>
        </w:rPr>
        <w:t>-1</w:t>
      </w:r>
      <w:r>
        <w:t>, orchard age (years), vegetation height within orchard (cm), bare ground average (%), botanic species richness (quadrat mean per orchard), grazing (livest</w:t>
      </w:r>
      <w:r w:rsidR="00072630">
        <w:t>ock present in past two</w:t>
      </w:r>
      <w:r>
        <w:t xml:space="preserve"> years versus no livestock present), orchard type (conventional bush, conventional standard or organic standard) and tree variety (mixed versus single)</w:t>
      </w:r>
      <w:bookmarkEnd w:id="425"/>
      <w:r>
        <w:t>. Site was included as a random factor. A</w:t>
      </w:r>
      <w:r>
        <w:rPr>
          <w:rFonts w:cs="Times New Roman"/>
        </w:rPr>
        <w:t>nalysis was performed in R studio version 3.3.1 (R Core Team 2016) using the ‘lme4’ R package.</w:t>
      </w:r>
    </w:p>
    <w:p w:rsidR="002F645F" w:rsidRDefault="002F645F" w:rsidP="002F645F">
      <w:pPr>
        <w:rPr>
          <w:rFonts w:cs="Times New Roman"/>
        </w:rPr>
      </w:pPr>
      <w:r>
        <w:rPr>
          <w:rFonts w:cs="Times New Roman"/>
        </w:rPr>
        <w:t>The effect of orchard management factors upon AMF community composition was analysed using De-trended correspondence analysis (DCA) with down weighting of rare taxa. This analysis method tests the amount of variation in the primary data matrix (TRFLP relative abundance for each of the 37 TRFs per sample) that was explained by the secondary data matrix (measures of orchard management as above listed).</w:t>
      </w:r>
      <w:r w:rsidRPr="00FD6E39">
        <w:rPr>
          <w:rFonts w:cs="Times New Roman"/>
        </w:rPr>
        <w:t xml:space="preserve"> </w:t>
      </w:r>
      <w:r>
        <w:rPr>
          <w:rFonts w:cs="Times New Roman"/>
        </w:rPr>
        <w:t xml:space="preserve">All DCA analysis was performed in PC-ORD (v 6.9, </w:t>
      </w:r>
      <w:proofErr w:type="spellStart"/>
      <w:r>
        <w:rPr>
          <w:rFonts w:cs="Times New Roman"/>
        </w:rPr>
        <w:t>MjM</w:t>
      </w:r>
      <w:proofErr w:type="spellEnd"/>
      <w:r>
        <w:rPr>
          <w:rFonts w:cs="Times New Roman"/>
        </w:rPr>
        <w:t xml:space="preserve"> software, USA).</w:t>
      </w:r>
    </w:p>
    <w:p w:rsidR="002F645F" w:rsidRDefault="002F645F" w:rsidP="002F645F">
      <w:pPr>
        <w:pStyle w:val="Heading4"/>
        <w:numPr>
          <w:ilvl w:val="3"/>
          <w:numId w:val="1"/>
        </w:numPr>
      </w:pPr>
      <w:r>
        <w:lastRenderedPageBreak/>
        <w:t>Data analysis of the relationship between tree yield, AMF community composition and richness</w:t>
      </w:r>
    </w:p>
    <w:p w:rsidR="002F645F" w:rsidRDefault="002F645F" w:rsidP="002F645F">
      <w:r>
        <w:t>A single linear mixed effects model was used to examine the effect of TRF richness on apple tree yield for the 120 trees from which yield data over 2 years was c</w:t>
      </w:r>
      <w:r w:rsidR="00077B66">
        <w:t>ollected. The model included the following management factors as predictors (N input kg/ha/yr</w:t>
      </w:r>
      <w:r w:rsidR="00077B66" w:rsidRPr="00D4345B">
        <w:rPr>
          <w:vertAlign w:val="superscript"/>
        </w:rPr>
        <w:t>-1</w:t>
      </w:r>
      <w:r w:rsidR="00077B66">
        <w:t>, P input kg/ha/yr</w:t>
      </w:r>
      <w:r w:rsidR="00077B66" w:rsidRPr="00D4345B">
        <w:rPr>
          <w:vertAlign w:val="superscript"/>
        </w:rPr>
        <w:t>-1</w:t>
      </w:r>
      <w:r w:rsidR="00077B66">
        <w:t>, orchard age (years), vegetation height within orchard (cm), bare ground average (%), botanic species richness (quadrat mean per orchard), grazing (livestock present in past two years versus no livestock present), orchard type (conventional bush, conventional standard or organic standard) and tree variety (mixed versus single),</w:t>
      </w:r>
      <w:r>
        <w:t xml:space="preserve"> TRF richness</w:t>
      </w:r>
      <w:r w:rsidR="00077B66">
        <w:t xml:space="preserve"> (total mean TRFs produced from both restriction enzymes) and tree DBH (cm). Site</w:t>
      </w:r>
      <w:r>
        <w:t xml:space="preserve"> was included as a random factor.</w:t>
      </w:r>
      <w:r w:rsidRPr="00FD6E39">
        <w:rPr>
          <w:rFonts w:cs="Times New Roman"/>
        </w:rPr>
        <w:t xml:space="preserve"> </w:t>
      </w:r>
      <w:r>
        <w:t>A</w:t>
      </w:r>
      <w:r>
        <w:rPr>
          <w:rFonts w:cs="Times New Roman"/>
        </w:rPr>
        <w:t>nalysis was performed in R studio version 3.3.1 (R Core Team 2016) using the ‘lme4’ R package.</w:t>
      </w:r>
    </w:p>
    <w:p w:rsidR="002F645F" w:rsidRDefault="002F645F" w:rsidP="002F645F">
      <w:pPr>
        <w:rPr>
          <w:rFonts w:cs="Times New Roman"/>
        </w:rPr>
      </w:pPr>
      <w:r>
        <w:t>DCA analysis was used to examine the relationship between AMF composition and tree yield. The primary data matrix contained relative abundances of TRFs per tree whilst the secondary data matrix contained tree yield (kg yr</w:t>
      </w:r>
      <w:r w:rsidRPr="007A408F">
        <w:rPr>
          <w:vertAlign w:val="superscript"/>
        </w:rPr>
        <w:t>-1</w:t>
      </w:r>
      <w:r>
        <w:t xml:space="preserve"> average) and DBH measurements per tree. DCA analysis was performed in</w:t>
      </w:r>
      <w:r w:rsidRPr="00FD6E39">
        <w:rPr>
          <w:rFonts w:cs="Times New Roman"/>
        </w:rPr>
        <w:t xml:space="preserve"> </w:t>
      </w:r>
      <w:r>
        <w:rPr>
          <w:rFonts w:cs="Times New Roman"/>
        </w:rPr>
        <w:t xml:space="preserve">PC-ORD (v 6.9, </w:t>
      </w:r>
      <w:proofErr w:type="spellStart"/>
      <w:r>
        <w:rPr>
          <w:rFonts w:cs="Times New Roman"/>
        </w:rPr>
        <w:t>MjM</w:t>
      </w:r>
      <w:proofErr w:type="spellEnd"/>
      <w:r>
        <w:rPr>
          <w:rFonts w:cs="Times New Roman"/>
        </w:rPr>
        <w:t xml:space="preserve"> software, USA).</w:t>
      </w:r>
    </w:p>
    <w:p w:rsidR="002F645F" w:rsidRDefault="002F645F" w:rsidP="000F2456">
      <w:pPr>
        <w:pStyle w:val="Heading2"/>
      </w:pPr>
      <w:bookmarkStart w:id="426" w:name="_Toc469855066"/>
      <w:bookmarkStart w:id="427" w:name="_Toc469856066"/>
      <w:bookmarkStart w:id="428" w:name="_Toc469931975"/>
      <w:bookmarkStart w:id="429" w:name="_Toc469982296"/>
      <w:r w:rsidRPr="00A46512">
        <w:t>Results</w:t>
      </w:r>
      <w:bookmarkEnd w:id="426"/>
      <w:bookmarkEnd w:id="427"/>
      <w:bookmarkEnd w:id="428"/>
      <w:bookmarkEnd w:id="429"/>
    </w:p>
    <w:p w:rsidR="002F645F" w:rsidRPr="007A5025" w:rsidRDefault="002F645F" w:rsidP="000F2456">
      <w:pPr>
        <w:pStyle w:val="Heading3"/>
      </w:pPr>
      <w:bookmarkStart w:id="430" w:name="_Toc469855067"/>
      <w:bookmarkStart w:id="431" w:name="_Toc469856067"/>
      <w:bookmarkStart w:id="432" w:name="_Toc469931976"/>
      <w:bookmarkStart w:id="433" w:name="_Toc469982297"/>
      <w:r>
        <w:t>Comparison of AMF colonising apple tree roots in three o</w:t>
      </w:r>
      <w:r w:rsidR="000F2456">
        <w:t>rchard management types.</w:t>
      </w:r>
      <w:bookmarkEnd w:id="430"/>
      <w:bookmarkEnd w:id="431"/>
      <w:bookmarkEnd w:id="432"/>
      <w:bookmarkEnd w:id="433"/>
    </w:p>
    <w:p w:rsidR="002F645F" w:rsidRPr="007A5025" w:rsidRDefault="002F645F" w:rsidP="002F645F">
      <w:pPr>
        <w:pStyle w:val="Heading4"/>
        <w:numPr>
          <w:ilvl w:val="3"/>
          <w:numId w:val="1"/>
        </w:numPr>
      </w:pPr>
      <w:r>
        <w:t>Richness and Simpson’s diversity</w:t>
      </w:r>
    </w:p>
    <w:p w:rsidR="002F645F" w:rsidRDefault="002F645F" w:rsidP="002F645F">
      <w:pPr>
        <w:rPr>
          <w:rFonts w:cs="Times New Roman"/>
        </w:rPr>
      </w:pPr>
      <w:r w:rsidRPr="00933058">
        <w:rPr>
          <w:rFonts w:cs="Times New Roman"/>
        </w:rPr>
        <w:t xml:space="preserve">A total of 37 TRFs were identified within the apple root samples, 21 from restriction with </w:t>
      </w:r>
      <w:proofErr w:type="spellStart"/>
      <w:r w:rsidRPr="00933058">
        <w:rPr>
          <w:rFonts w:cs="Times New Roman"/>
          <w:i/>
        </w:rPr>
        <w:t>Hinf</w:t>
      </w:r>
      <w:proofErr w:type="spellEnd"/>
      <w:r w:rsidRPr="00933058">
        <w:rPr>
          <w:rFonts w:cs="Times New Roman"/>
        </w:rPr>
        <w:t>-I and 16 from restriction with</w:t>
      </w:r>
      <w:r w:rsidRPr="00933058">
        <w:rPr>
          <w:rFonts w:cs="Times New Roman"/>
          <w:i/>
        </w:rPr>
        <w:t xml:space="preserve"> </w:t>
      </w:r>
      <w:r w:rsidR="00DE1AD4">
        <w:rPr>
          <w:rFonts w:cs="Times New Roman"/>
          <w:i/>
        </w:rPr>
        <w:t>HpyCH4-III</w:t>
      </w:r>
      <w:r w:rsidRPr="00933058">
        <w:rPr>
          <w:rFonts w:cs="Times New Roman"/>
        </w:rPr>
        <w:t xml:space="preserve">. </w:t>
      </w:r>
      <w:r>
        <w:rPr>
          <w:rFonts w:cs="Times New Roman"/>
        </w:rPr>
        <w:t xml:space="preserve">Conventional bush orchards showed the highest TRF richness of all orchard types (average of 16.7 TRFs) which was significantly greater than that of organic standard orchards (average of 13.3 TRFs) </w:t>
      </w:r>
      <w:r w:rsidRPr="00531963">
        <w:rPr>
          <w:rFonts w:cs="Times New Roman"/>
        </w:rPr>
        <w:t>(</w:t>
      </w:r>
      <w:r w:rsidRPr="00531963">
        <w:rPr>
          <w:rFonts w:cs="Times New Roman"/>
        </w:rPr>
        <w:fldChar w:fldCharType="begin"/>
      </w:r>
      <w:r w:rsidRPr="00531963">
        <w:rPr>
          <w:rFonts w:cs="Times New Roman"/>
        </w:rPr>
        <w:instrText xml:space="preserve"> REF _Ref468127357 \h </w:instrText>
      </w:r>
      <w:r>
        <w:rPr>
          <w:rFonts w:cs="Times New Roman"/>
        </w:rPr>
        <w:instrText xml:space="preserve"> \* MERGEFORMAT </w:instrText>
      </w:r>
      <w:r w:rsidRPr="00531963">
        <w:rPr>
          <w:rFonts w:cs="Times New Roman"/>
        </w:rPr>
      </w:r>
      <w:r w:rsidRPr="00531963">
        <w:rPr>
          <w:rFonts w:cs="Times New Roman"/>
        </w:rPr>
        <w:fldChar w:fldCharType="separate"/>
      </w:r>
      <w:r w:rsidR="00E0714D" w:rsidRPr="00734281">
        <w:t xml:space="preserve">Table </w:t>
      </w:r>
      <w:r w:rsidR="00E0714D">
        <w:rPr>
          <w:noProof/>
        </w:rPr>
        <w:t>4.1</w:t>
      </w:r>
      <w:r w:rsidRPr="00531963">
        <w:rPr>
          <w:rFonts w:cs="Times New Roman"/>
        </w:rPr>
        <w:fldChar w:fldCharType="end"/>
      </w:r>
      <w:r w:rsidRPr="00531963">
        <w:rPr>
          <w:rFonts w:cs="Times New Roman"/>
        </w:rPr>
        <w:t>).</w:t>
      </w:r>
      <w:r>
        <w:rPr>
          <w:rFonts w:cs="Times New Roman"/>
        </w:rPr>
        <w:t xml:space="preserve">  Conventional standard orchards showed an intermediate level of TRF richness (average of 15.1 TRFs). </w:t>
      </w:r>
      <w:r w:rsidRPr="00933058">
        <w:rPr>
          <w:rFonts w:cs="Times New Roman"/>
        </w:rPr>
        <w:t xml:space="preserve">No significant </w:t>
      </w:r>
      <w:r>
        <w:rPr>
          <w:rFonts w:cs="Times New Roman"/>
        </w:rPr>
        <w:t>differences in</w:t>
      </w:r>
      <w:r w:rsidRPr="00933058">
        <w:rPr>
          <w:rFonts w:cs="Times New Roman"/>
        </w:rPr>
        <w:t xml:space="preserve"> Simpson’s diversity index </w:t>
      </w:r>
      <w:r>
        <w:rPr>
          <w:rFonts w:cs="Times New Roman"/>
        </w:rPr>
        <w:t xml:space="preserve">were shown between orchard types </w:t>
      </w:r>
      <w:r w:rsidRPr="00933058">
        <w:rPr>
          <w:rFonts w:cs="Times New Roman"/>
        </w:rPr>
        <w:t>(</w:t>
      </w:r>
      <w:r w:rsidRPr="00933058">
        <w:rPr>
          <w:rFonts w:cs="Times New Roman"/>
        </w:rPr>
        <w:fldChar w:fldCharType="begin"/>
      </w:r>
      <w:r w:rsidRPr="00933058">
        <w:rPr>
          <w:rFonts w:cs="Times New Roman"/>
        </w:rPr>
        <w:instrText xml:space="preserve"> REF _Ref468127334 \h </w:instrText>
      </w:r>
      <w:r>
        <w:rPr>
          <w:rFonts w:cs="Times New Roman"/>
        </w:rPr>
        <w:instrText xml:space="preserve"> \* MERGEFORMAT </w:instrText>
      </w:r>
      <w:r w:rsidRPr="00933058">
        <w:rPr>
          <w:rFonts w:cs="Times New Roman"/>
        </w:rPr>
      </w:r>
      <w:r w:rsidRPr="00933058">
        <w:rPr>
          <w:rFonts w:cs="Times New Roman"/>
        </w:rPr>
        <w:fldChar w:fldCharType="separate"/>
      </w:r>
      <w:r w:rsidR="00E0714D">
        <w:t xml:space="preserve">Figure </w:t>
      </w:r>
      <w:r w:rsidR="00E0714D">
        <w:rPr>
          <w:noProof/>
        </w:rPr>
        <w:t>4.2</w:t>
      </w:r>
      <w:r w:rsidRPr="00933058">
        <w:rPr>
          <w:rFonts w:cs="Times New Roman"/>
        </w:rPr>
        <w:fldChar w:fldCharType="end"/>
      </w:r>
      <w:r w:rsidRPr="00933058">
        <w:rPr>
          <w:rFonts w:cs="Times New Roman"/>
        </w:rPr>
        <w:t xml:space="preserve">, </w:t>
      </w:r>
      <w:r w:rsidRPr="00933058">
        <w:rPr>
          <w:rFonts w:cs="Times New Roman"/>
        </w:rPr>
        <w:fldChar w:fldCharType="begin"/>
      </w:r>
      <w:r w:rsidRPr="00933058">
        <w:rPr>
          <w:rFonts w:cs="Times New Roman"/>
        </w:rPr>
        <w:instrText xml:space="preserve"> REF _Ref468127357 \h </w:instrText>
      </w:r>
      <w:r>
        <w:rPr>
          <w:rFonts w:cs="Times New Roman"/>
        </w:rPr>
        <w:instrText xml:space="preserve"> \* MERGEFORMAT </w:instrText>
      </w:r>
      <w:r w:rsidRPr="00933058">
        <w:rPr>
          <w:rFonts w:cs="Times New Roman"/>
        </w:rPr>
      </w:r>
      <w:r w:rsidRPr="00933058">
        <w:rPr>
          <w:rFonts w:cs="Times New Roman"/>
        </w:rPr>
        <w:fldChar w:fldCharType="separate"/>
      </w:r>
      <w:r w:rsidR="00E0714D" w:rsidRPr="00734281">
        <w:t xml:space="preserve">Table </w:t>
      </w:r>
      <w:r w:rsidR="00E0714D">
        <w:rPr>
          <w:noProof/>
        </w:rPr>
        <w:t>4.1</w:t>
      </w:r>
      <w:r w:rsidRPr="00933058">
        <w:rPr>
          <w:rFonts w:cs="Times New Roman"/>
        </w:rPr>
        <w:fldChar w:fldCharType="end"/>
      </w:r>
      <w:r>
        <w:rPr>
          <w:rFonts w:cs="Times New Roman"/>
        </w:rPr>
        <w:t xml:space="preserve">). </w:t>
      </w:r>
    </w:p>
    <w:tbl>
      <w:tblPr>
        <w:tblStyle w:val="TableGrid"/>
        <w:tblpPr w:leftFromText="180" w:rightFromText="180" w:vertAnchor="text" w:horzAnchor="margin" w:tblpXSpec="center" w:tblpY="14"/>
        <w:tblW w:w="0" w:type="auto"/>
        <w:tblLook w:val="04A0" w:firstRow="1" w:lastRow="0" w:firstColumn="1" w:lastColumn="0" w:noHBand="0" w:noVBand="1"/>
      </w:tblPr>
      <w:tblGrid>
        <w:gridCol w:w="2250"/>
        <w:gridCol w:w="3780"/>
        <w:gridCol w:w="720"/>
        <w:gridCol w:w="810"/>
        <w:gridCol w:w="919"/>
      </w:tblGrid>
      <w:tr w:rsidR="002F645F" w:rsidTr="00D33359">
        <w:tc>
          <w:tcPr>
            <w:tcW w:w="8479" w:type="dxa"/>
            <w:gridSpan w:val="5"/>
            <w:tcBorders>
              <w:top w:val="nil"/>
              <w:left w:val="nil"/>
              <w:bottom w:val="single" w:sz="4" w:space="0" w:color="auto"/>
              <w:right w:val="nil"/>
            </w:tcBorders>
          </w:tcPr>
          <w:p w:rsidR="002F645F" w:rsidRPr="00734281" w:rsidRDefault="002F645F" w:rsidP="000F2456">
            <w:pPr>
              <w:pStyle w:val="Caption"/>
            </w:pPr>
            <w:bookmarkStart w:id="434" w:name="_Ref468127357"/>
            <w:bookmarkStart w:id="435" w:name="_Toc469868582"/>
            <w:bookmarkStart w:id="436" w:name="_Ref468867496"/>
            <w:r w:rsidRPr="00734281">
              <w:t xml:space="preserve">Table </w:t>
            </w:r>
            <w:r w:rsidR="00C44EF5">
              <w:fldChar w:fldCharType="begin"/>
            </w:r>
            <w:r w:rsidR="00C44EF5">
              <w:instrText xml:space="preserve"> STYLEREF 1 \s </w:instrText>
            </w:r>
            <w:r w:rsidR="00C44EF5">
              <w:fldChar w:fldCharType="separate"/>
            </w:r>
            <w:r w:rsidR="00E0714D">
              <w:rPr>
                <w:noProof/>
              </w:rPr>
              <w:t>4</w:t>
            </w:r>
            <w:r w:rsidR="00C44EF5">
              <w:rPr>
                <w:noProof/>
              </w:rPr>
              <w:fldChar w:fldCharType="end"/>
            </w:r>
            <w:r>
              <w:t>.</w:t>
            </w:r>
            <w:r w:rsidR="00C44EF5">
              <w:fldChar w:fldCharType="begin"/>
            </w:r>
            <w:r w:rsidR="00C44EF5">
              <w:instrText xml:space="preserve"> SEQ Table \* ARABIC \s 1 </w:instrText>
            </w:r>
            <w:r w:rsidR="00C44EF5">
              <w:fldChar w:fldCharType="separate"/>
            </w:r>
            <w:r w:rsidR="00E0714D">
              <w:rPr>
                <w:noProof/>
              </w:rPr>
              <w:t>1</w:t>
            </w:r>
            <w:r w:rsidR="00C44EF5">
              <w:rPr>
                <w:noProof/>
              </w:rPr>
              <w:fldChar w:fldCharType="end"/>
            </w:r>
            <w:bookmarkEnd w:id="434"/>
            <w:r w:rsidRPr="00734281">
              <w:t xml:space="preserve"> One-way ANOVA </w:t>
            </w:r>
            <w:r w:rsidRPr="000F2456">
              <w:t>results</w:t>
            </w:r>
            <w:r w:rsidRPr="00734281">
              <w:t xml:space="preserve"> for effect of habitat on species richness (TRF number) and Simpson’s reciprocal diversity index (1/D)</w:t>
            </w:r>
            <w:r>
              <w:t xml:space="preserve"> of AMF colonising apple roots. Data is presented f</w:t>
            </w:r>
            <w:r w:rsidRPr="00734281">
              <w:t>r</w:t>
            </w:r>
            <w:r>
              <w:t>om</w:t>
            </w:r>
            <w:r w:rsidRPr="00734281">
              <w:t xml:space="preserve"> restriction with the enzymes </w:t>
            </w:r>
            <w:proofErr w:type="spellStart"/>
            <w:r w:rsidRPr="00734281">
              <w:rPr>
                <w:i/>
              </w:rPr>
              <w:t>Hinf</w:t>
            </w:r>
            <w:proofErr w:type="spellEnd"/>
            <w:r w:rsidRPr="00734281">
              <w:rPr>
                <w:i/>
              </w:rPr>
              <w:t>-</w:t>
            </w:r>
            <w:r w:rsidRPr="00734281">
              <w:t xml:space="preserve">I and </w:t>
            </w:r>
            <w:r w:rsidR="00DE1AD4">
              <w:rPr>
                <w:i/>
              </w:rPr>
              <w:t>HpyCH4-III</w:t>
            </w:r>
            <w:r w:rsidRPr="00734281">
              <w:t xml:space="preserve"> separately and when grouped.</w:t>
            </w:r>
            <w:bookmarkEnd w:id="435"/>
            <w:r w:rsidRPr="00734281">
              <w:t xml:space="preserve"> </w:t>
            </w:r>
            <w:bookmarkEnd w:id="436"/>
          </w:p>
        </w:tc>
      </w:tr>
      <w:tr w:rsidR="002F645F" w:rsidTr="00D33359">
        <w:tc>
          <w:tcPr>
            <w:tcW w:w="2250" w:type="dxa"/>
            <w:tcBorders>
              <w:top w:val="single" w:sz="4" w:space="0" w:color="auto"/>
              <w:left w:val="nil"/>
              <w:bottom w:val="single" w:sz="4" w:space="0" w:color="auto"/>
              <w:right w:val="nil"/>
            </w:tcBorders>
          </w:tcPr>
          <w:p w:rsidR="002F645F" w:rsidRPr="00734281" w:rsidRDefault="002F645F" w:rsidP="00D33359">
            <w:pPr>
              <w:rPr>
                <w:rFonts w:cs="Times New Roman"/>
                <w:b/>
                <w:sz w:val="20"/>
                <w:szCs w:val="20"/>
              </w:rPr>
            </w:pPr>
            <w:r w:rsidRPr="00734281">
              <w:rPr>
                <w:rFonts w:cs="Times New Roman"/>
                <w:b/>
                <w:sz w:val="20"/>
                <w:szCs w:val="20"/>
              </w:rPr>
              <w:t>Diversity Measure</w:t>
            </w:r>
          </w:p>
        </w:tc>
        <w:tc>
          <w:tcPr>
            <w:tcW w:w="3780" w:type="dxa"/>
            <w:tcBorders>
              <w:top w:val="single" w:sz="4" w:space="0" w:color="auto"/>
              <w:left w:val="nil"/>
              <w:bottom w:val="single" w:sz="4" w:space="0" w:color="auto"/>
              <w:right w:val="nil"/>
            </w:tcBorders>
          </w:tcPr>
          <w:p w:rsidR="002F645F" w:rsidRPr="00734281" w:rsidRDefault="002F645F" w:rsidP="00D33359">
            <w:pPr>
              <w:rPr>
                <w:rFonts w:cs="Times New Roman"/>
                <w:b/>
                <w:sz w:val="20"/>
                <w:szCs w:val="20"/>
              </w:rPr>
            </w:pPr>
            <w:r w:rsidRPr="00734281">
              <w:rPr>
                <w:rFonts w:cs="Times New Roman"/>
                <w:b/>
                <w:sz w:val="20"/>
                <w:szCs w:val="20"/>
              </w:rPr>
              <w:t>Restriction enzymes</w:t>
            </w:r>
          </w:p>
        </w:tc>
        <w:tc>
          <w:tcPr>
            <w:tcW w:w="720" w:type="dxa"/>
            <w:tcBorders>
              <w:top w:val="single" w:sz="4" w:space="0" w:color="auto"/>
              <w:left w:val="nil"/>
              <w:bottom w:val="single" w:sz="4" w:space="0" w:color="auto"/>
              <w:right w:val="nil"/>
            </w:tcBorders>
          </w:tcPr>
          <w:p w:rsidR="002F645F" w:rsidRPr="00734281" w:rsidRDefault="002F645F" w:rsidP="00D33359">
            <w:pPr>
              <w:rPr>
                <w:rFonts w:cs="Times New Roman"/>
                <w:b/>
                <w:sz w:val="20"/>
                <w:szCs w:val="20"/>
              </w:rPr>
            </w:pPr>
            <w:proofErr w:type="spellStart"/>
            <w:r w:rsidRPr="00734281">
              <w:rPr>
                <w:rFonts w:cs="Times New Roman"/>
                <w:b/>
                <w:sz w:val="20"/>
                <w:szCs w:val="20"/>
              </w:rPr>
              <w:t>df</w:t>
            </w:r>
            <w:proofErr w:type="spellEnd"/>
          </w:p>
        </w:tc>
        <w:tc>
          <w:tcPr>
            <w:tcW w:w="810" w:type="dxa"/>
            <w:tcBorders>
              <w:top w:val="single" w:sz="4" w:space="0" w:color="auto"/>
              <w:left w:val="nil"/>
              <w:bottom w:val="single" w:sz="4" w:space="0" w:color="auto"/>
              <w:right w:val="nil"/>
            </w:tcBorders>
          </w:tcPr>
          <w:p w:rsidR="002F645F" w:rsidRPr="00734281" w:rsidRDefault="002F645F" w:rsidP="00D33359">
            <w:pPr>
              <w:rPr>
                <w:rFonts w:cs="Times New Roman"/>
                <w:b/>
                <w:sz w:val="20"/>
                <w:szCs w:val="20"/>
              </w:rPr>
            </w:pPr>
            <w:r w:rsidRPr="00734281">
              <w:rPr>
                <w:rFonts w:cs="Times New Roman"/>
                <w:b/>
                <w:sz w:val="20"/>
                <w:szCs w:val="20"/>
              </w:rPr>
              <w:t>F</w:t>
            </w:r>
          </w:p>
        </w:tc>
        <w:tc>
          <w:tcPr>
            <w:tcW w:w="919" w:type="dxa"/>
            <w:tcBorders>
              <w:top w:val="single" w:sz="4" w:space="0" w:color="auto"/>
              <w:left w:val="nil"/>
              <w:bottom w:val="single" w:sz="4" w:space="0" w:color="auto"/>
              <w:right w:val="nil"/>
            </w:tcBorders>
          </w:tcPr>
          <w:p w:rsidR="002F645F" w:rsidRPr="00734281" w:rsidRDefault="002F645F" w:rsidP="00D33359">
            <w:pPr>
              <w:rPr>
                <w:rFonts w:cs="Times New Roman"/>
                <w:b/>
                <w:sz w:val="20"/>
                <w:szCs w:val="20"/>
              </w:rPr>
            </w:pPr>
            <w:r w:rsidRPr="00734281">
              <w:rPr>
                <w:rFonts w:cs="Times New Roman"/>
                <w:b/>
                <w:sz w:val="20"/>
                <w:szCs w:val="20"/>
              </w:rPr>
              <w:t>P</w:t>
            </w:r>
          </w:p>
        </w:tc>
      </w:tr>
      <w:tr w:rsidR="002F645F" w:rsidTr="00D33359">
        <w:trPr>
          <w:trHeight w:val="350"/>
        </w:trPr>
        <w:tc>
          <w:tcPr>
            <w:tcW w:w="2250" w:type="dxa"/>
            <w:tcBorders>
              <w:top w:val="single" w:sz="4" w:space="0" w:color="auto"/>
              <w:left w:val="nil"/>
              <w:bottom w:val="nil"/>
              <w:right w:val="nil"/>
            </w:tcBorders>
          </w:tcPr>
          <w:p w:rsidR="002F645F" w:rsidRPr="00734281" w:rsidRDefault="002F645F" w:rsidP="00D33359">
            <w:pPr>
              <w:rPr>
                <w:rFonts w:cs="Times New Roman"/>
                <w:sz w:val="20"/>
                <w:szCs w:val="20"/>
              </w:rPr>
            </w:pPr>
            <w:r>
              <w:rPr>
                <w:rFonts w:cs="Times New Roman"/>
                <w:sz w:val="20"/>
                <w:szCs w:val="20"/>
              </w:rPr>
              <w:t>R</w:t>
            </w:r>
            <w:r w:rsidRPr="00734281">
              <w:rPr>
                <w:rFonts w:cs="Times New Roman"/>
                <w:sz w:val="20"/>
                <w:szCs w:val="20"/>
              </w:rPr>
              <w:t>ichness</w:t>
            </w:r>
          </w:p>
        </w:tc>
        <w:tc>
          <w:tcPr>
            <w:tcW w:w="3780" w:type="dxa"/>
            <w:tcBorders>
              <w:top w:val="single" w:sz="4" w:space="0" w:color="auto"/>
              <w:left w:val="nil"/>
              <w:bottom w:val="nil"/>
              <w:right w:val="nil"/>
            </w:tcBorders>
          </w:tcPr>
          <w:p w:rsidR="002F645F" w:rsidRPr="00734281" w:rsidRDefault="002F645F" w:rsidP="00D33359">
            <w:pPr>
              <w:rPr>
                <w:rFonts w:cs="Times New Roman"/>
                <w:b/>
                <w:i/>
                <w:sz w:val="20"/>
                <w:szCs w:val="20"/>
              </w:rPr>
            </w:pPr>
            <w:proofErr w:type="spellStart"/>
            <w:r w:rsidRPr="00F00459">
              <w:rPr>
                <w:rFonts w:cs="Times New Roman"/>
                <w:b/>
                <w:i/>
                <w:sz w:val="20"/>
                <w:szCs w:val="20"/>
              </w:rPr>
              <w:t>Hinf</w:t>
            </w:r>
            <w:proofErr w:type="spellEnd"/>
            <w:r w:rsidRPr="00F00459">
              <w:rPr>
                <w:rFonts w:cs="Times New Roman"/>
                <w:b/>
                <w:i/>
                <w:sz w:val="20"/>
                <w:szCs w:val="20"/>
              </w:rPr>
              <w:t>-I</w:t>
            </w:r>
            <w:r w:rsidRPr="00734281">
              <w:rPr>
                <w:rFonts w:cs="Times New Roman"/>
                <w:b/>
                <w:sz w:val="20"/>
                <w:szCs w:val="20"/>
              </w:rPr>
              <w:t xml:space="preserve"> and </w:t>
            </w:r>
            <w:r w:rsidR="00DE1AD4">
              <w:rPr>
                <w:rFonts w:cs="Times New Roman"/>
                <w:b/>
                <w:i/>
                <w:sz w:val="20"/>
                <w:szCs w:val="20"/>
              </w:rPr>
              <w:t>HpyCH4-III</w:t>
            </w:r>
            <w:r w:rsidRPr="00734281">
              <w:rPr>
                <w:rFonts w:cs="Times New Roman"/>
                <w:b/>
                <w:sz w:val="20"/>
                <w:szCs w:val="20"/>
              </w:rPr>
              <w:t xml:space="preserve"> (grouped)</w:t>
            </w:r>
          </w:p>
        </w:tc>
        <w:tc>
          <w:tcPr>
            <w:tcW w:w="720" w:type="dxa"/>
            <w:tcBorders>
              <w:top w:val="single" w:sz="4" w:space="0" w:color="auto"/>
              <w:left w:val="nil"/>
              <w:bottom w:val="nil"/>
              <w:right w:val="nil"/>
            </w:tcBorders>
          </w:tcPr>
          <w:p w:rsidR="002F645F" w:rsidRPr="00734281" w:rsidRDefault="002F645F" w:rsidP="00D33359">
            <w:pPr>
              <w:rPr>
                <w:rFonts w:cs="Times New Roman"/>
                <w:b/>
                <w:sz w:val="20"/>
                <w:szCs w:val="20"/>
              </w:rPr>
            </w:pPr>
            <w:r w:rsidRPr="00734281">
              <w:rPr>
                <w:rFonts w:cs="Times New Roman"/>
                <w:b/>
                <w:sz w:val="20"/>
                <w:szCs w:val="20"/>
              </w:rPr>
              <w:t>2</w:t>
            </w:r>
          </w:p>
        </w:tc>
        <w:tc>
          <w:tcPr>
            <w:tcW w:w="810" w:type="dxa"/>
            <w:tcBorders>
              <w:top w:val="single" w:sz="4" w:space="0" w:color="auto"/>
              <w:left w:val="nil"/>
              <w:bottom w:val="nil"/>
              <w:right w:val="nil"/>
            </w:tcBorders>
          </w:tcPr>
          <w:p w:rsidR="002F645F" w:rsidRPr="00734281" w:rsidRDefault="002F645F" w:rsidP="00D33359">
            <w:pPr>
              <w:rPr>
                <w:rFonts w:cs="Times New Roman"/>
                <w:b/>
                <w:sz w:val="20"/>
                <w:szCs w:val="20"/>
              </w:rPr>
            </w:pPr>
            <w:r w:rsidRPr="00734281">
              <w:rPr>
                <w:rFonts w:cs="Times New Roman"/>
                <w:b/>
                <w:sz w:val="20"/>
                <w:szCs w:val="20"/>
              </w:rPr>
              <w:t>5.95</w:t>
            </w:r>
          </w:p>
        </w:tc>
        <w:tc>
          <w:tcPr>
            <w:tcW w:w="919" w:type="dxa"/>
            <w:tcBorders>
              <w:top w:val="single" w:sz="4" w:space="0" w:color="auto"/>
              <w:left w:val="nil"/>
              <w:bottom w:val="nil"/>
              <w:right w:val="nil"/>
            </w:tcBorders>
          </w:tcPr>
          <w:p w:rsidR="002F645F" w:rsidRPr="00734281" w:rsidRDefault="002F645F" w:rsidP="00D33359">
            <w:pPr>
              <w:rPr>
                <w:rFonts w:cs="Times New Roman"/>
                <w:b/>
                <w:sz w:val="20"/>
                <w:szCs w:val="20"/>
              </w:rPr>
            </w:pPr>
            <w:r w:rsidRPr="00734281">
              <w:rPr>
                <w:rFonts w:cs="Times New Roman"/>
                <w:b/>
                <w:sz w:val="20"/>
                <w:szCs w:val="20"/>
              </w:rPr>
              <w:t>0.003</w:t>
            </w:r>
          </w:p>
        </w:tc>
      </w:tr>
      <w:tr w:rsidR="002F645F" w:rsidTr="00D33359">
        <w:trPr>
          <w:trHeight w:val="350"/>
        </w:trPr>
        <w:tc>
          <w:tcPr>
            <w:tcW w:w="2250" w:type="dxa"/>
            <w:tcBorders>
              <w:top w:val="nil"/>
              <w:left w:val="nil"/>
              <w:bottom w:val="nil"/>
              <w:right w:val="nil"/>
            </w:tcBorders>
          </w:tcPr>
          <w:p w:rsidR="002F645F" w:rsidRPr="00734281" w:rsidRDefault="002F645F" w:rsidP="00D33359">
            <w:pPr>
              <w:rPr>
                <w:rFonts w:cs="Times New Roman"/>
                <w:i/>
                <w:sz w:val="20"/>
                <w:szCs w:val="20"/>
              </w:rPr>
            </w:pPr>
          </w:p>
        </w:tc>
        <w:tc>
          <w:tcPr>
            <w:tcW w:w="3780" w:type="dxa"/>
            <w:tcBorders>
              <w:top w:val="nil"/>
              <w:left w:val="nil"/>
              <w:bottom w:val="nil"/>
              <w:right w:val="nil"/>
            </w:tcBorders>
          </w:tcPr>
          <w:p w:rsidR="002F645F" w:rsidRPr="00734281" w:rsidRDefault="002F645F" w:rsidP="00D33359">
            <w:pPr>
              <w:rPr>
                <w:rFonts w:cs="Times New Roman"/>
                <w:b/>
                <w:i/>
                <w:sz w:val="20"/>
                <w:szCs w:val="20"/>
              </w:rPr>
            </w:pPr>
            <w:proofErr w:type="spellStart"/>
            <w:r w:rsidRPr="00734281">
              <w:rPr>
                <w:rFonts w:cs="Times New Roman"/>
                <w:b/>
                <w:i/>
                <w:sz w:val="20"/>
                <w:szCs w:val="20"/>
              </w:rPr>
              <w:t>Hinf</w:t>
            </w:r>
            <w:proofErr w:type="spellEnd"/>
            <w:r w:rsidRPr="00734281">
              <w:rPr>
                <w:rFonts w:cs="Times New Roman"/>
                <w:b/>
                <w:sz w:val="20"/>
                <w:szCs w:val="20"/>
              </w:rPr>
              <w:t>-I</w:t>
            </w:r>
          </w:p>
        </w:tc>
        <w:tc>
          <w:tcPr>
            <w:tcW w:w="720" w:type="dxa"/>
            <w:tcBorders>
              <w:top w:val="nil"/>
              <w:left w:val="nil"/>
              <w:bottom w:val="nil"/>
              <w:right w:val="nil"/>
            </w:tcBorders>
          </w:tcPr>
          <w:p w:rsidR="002F645F" w:rsidRPr="00734281" w:rsidRDefault="002F645F" w:rsidP="00D33359">
            <w:pPr>
              <w:rPr>
                <w:rFonts w:cs="Times New Roman"/>
                <w:b/>
                <w:sz w:val="20"/>
                <w:szCs w:val="20"/>
              </w:rPr>
            </w:pPr>
            <w:r w:rsidRPr="00734281">
              <w:rPr>
                <w:rFonts w:cs="Times New Roman"/>
                <w:b/>
                <w:sz w:val="20"/>
                <w:szCs w:val="20"/>
              </w:rPr>
              <w:t>2</w:t>
            </w:r>
          </w:p>
        </w:tc>
        <w:tc>
          <w:tcPr>
            <w:tcW w:w="810" w:type="dxa"/>
            <w:tcBorders>
              <w:top w:val="nil"/>
              <w:left w:val="nil"/>
              <w:bottom w:val="nil"/>
              <w:right w:val="nil"/>
            </w:tcBorders>
          </w:tcPr>
          <w:p w:rsidR="002F645F" w:rsidRPr="00734281" w:rsidRDefault="002F645F" w:rsidP="00D33359">
            <w:pPr>
              <w:rPr>
                <w:rFonts w:cs="Times New Roman"/>
                <w:b/>
                <w:sz w:val="20"/>
                <w:szCs w:val="20"/>
              </w:rPr>
            </w:pPr>
            <w:r w:rsidRPr="00734281">
              <w:rPr>
                <w:rFonts w:cs="Times New Roman"/>
                <w:b/>
                <w:sz w:val="20"/>
                <w:szCs w:val="20"/>
              </w:rPr>
              <w:t>6.46</w:t>
            </w:r>
          </w:p>
        </w:tc>
        <w:tc>
          <w:tcPr>
            <w:tcW w:w="919" w:type="dxa"/>
            <w:tcBorders>
              <w:top w:val="nil"/>
              <w:left w:val="nil"/>
              <w:bottom w:val="nil"/>
              <w:right w:val="nil"/>
            </w:tcBorders>
          </w:tcPr>
          <w:p w:rsidR="002F645F" w:rsidRPr="00734281" w:rsidRDefault="002F645F" w:rsidP="00D33359">
            <w:pPr>
              <w:rPr>
                <w:rFonts w:cs="Times New Roman"/>
                <w:b/>
                <w:sz w:val="20"/>
                <w:szCs w:val="20"/>
              </w:rPr>
            </w:pPr>
            <w:r w:rsidRPr="00734281">
              <w:rPr>
                <w:rFonts w:cs="Times New Roman"/>
                <w:b/>
                <w:sz w:val="20"/>
                <w:szCs w:val="20"/>
              </w:rPr>
              <w:t>0.002</w:t>
            </w:r>
          </w:p>
        </w:tc>
      </w:tr>
      <w:tr w:rsidR="002F645F" w:rsidTr="00D33359">
        <w:trPr>
          <w:trHeight w:val="350"/>
        </w:trPr>
        <w:tc>
          <w:tcPr>
            <w:tcW w:w="2250" w:type="dxa"/>
            <w:tcBorders>
              <w:top w:val="nil"/>
              <w:left w:val="nil"/>
              <w:bottom w:val="single" w:sz="4" w:space="0" w:color="auto"/>
              <w:right w:val="nil"/>
            </w:tcBorders>
          </w:tcPr>
          <w:p w:rsidR="002F645F" w:rsidRPr="00734281" w:rsidRDefault="002F645F" w:rsidP="00D33359">
            <w:pPr>
              <w:rPr>
                <w:rFonts w:cs="Times New Roman"/>
                <w:b/>
                <w:i/>
                <w:sz w:val="20"/>
                <w:szCs w:val="20"/>
              </w:rPr>
            </w:pPr>
          </w:p>
        </w:tc>
        <w:tc>
          <w:tcPr>
            <w:tcW w:w="3780" w:type="dxa"/>
            <w:tcBorders>
              <w:top w:val="nil"/>
              <w:left w:val="nil"/>
              <w:bottom w:val="single" w:sz="4" w:space="0" w:color="auto"/>
              <w:right w:val="nil"/>
            </w:tcBorders>
          </w:tcPr>
          <w:p w:rsidR="002F645F" w:rsidRPr="00734281" w:rsidRDefault="00DE1AD4" w:rsidP="00D33359">
            <w:pPr>
              <w:rPr>
                <w:rFonts w:cs="Times New Roman"/>
                <w:b/>
                <w:i/>
                <w:sz w:val="20"/>
                <w:szCs w:val="20"/>
              </w:rPr>
            </w:pPr>
            <w:r>
              <w:rPr>
                <w:rFonts w:cs="Times New Roman"/>
                <w:b/>
                <w:i/>
                <w:sz w:val="20"/>
                <w:szCs w:val="20"/>
              </w:rPr>
              <w:t>HpyCH4-III</w:t>
            </w:r>
          </w:p>
        </w:tc>
        <w:tc>
          <w:tcPr>
            <w:tcW w:w="720" w:type="dxa"/>
            <w:tcBorders>
              <w:top w:val="nil"/>
              <w:left w:val="nil"/>
              <w:bottom w:val="single" w:sz="4" w:space="0" w:color="auto"/>
              <w:right w:val="nil"/>
            </w:tcBorders>
          </w:tcPr>
          <w:p w:rsidR="002F645F" w:rsidRPr="00734281" w:rsidRDefault="002F645F" w:rsidP="00D33359">
            <w:pPr>
              <w:rPr>
                <w:rFonts w:cs="Times New Roman"/>
                <w:b/>
                <w:sz w:val="20"/>
                <w:szCs w:val="20"/>
              </w:rPr>
            </w:pPr>
            <w:r w:rsidRPr="00734281">
              <w:rPr>
                <w:rFonts w:cs="Times New Roman"/>
                <w:b/>
                <w:sz w:val="20"/>
                <w:szCs w:val="20"/>
              </w:rPr>
              <w:t>2</w:t>
            </w:r>
          </w:p>
        </w:tc>
        <w:tc>
          <w:tcPr>
            <w:tcW w:w="810" w:type="dxa"/>
            <w:tcBorders>
              <w:top w:val="nil"/>
              <w:left w:val="nil"/>
              <w:bottom w:val="single" w:sz="4" w:space="0" w:color="auto"/>
              <w:right w:val="nil"/>
            </w:tcBorders>
          </w:tcPr>
          <w:p w:rsidR="002F645F" w:rsidRPr="00734281" w:rsidRDefault="002F645F" w:rsidP="00D33359">
            <w:pPr>
              <w:rPr>
                <w:rFonts w:cs="Times New Roman"/>
                <w:b/>
                <w:sz w:val="20"/>
                <w:szCs w:val="20"/>
              </w:rPr>
            </w:pPr>
            <w:r w:rsidRPr="00734281">
              <w:rPr>
                <w:rFonts w:cs="Times New Roman"/>
                <w:b/>
                <w:sz w:val="20"/>
                <w:szCs w:val="20"/>
              </w:rPr>
              <w:t>3.09</w:t>
            </w:r>
          </w:p>
        </w:tc>
        <w:tc>
          <w:tcPr>
            <w:tcW w:w="919" w:type="dxa"/>
            <w:tcBorders>
              <w:top w:val="nil"/>
              <w:left w:val="nil"/>
              <w:bottom w:val="single" w:sz="4" w:space="0" w:color="auto"/>
              <w:right w:val="nil"/>
            </w:tcBorders>
          </w:tcPr>
          <w:p w:rsidR="002F645F" w:rsidRPr="00734281" w:rsidRDefault="002F645F" w:rsidP="00D33359">
            <w:pPr>
              <w:rPr>
                <w:rFonts w:cs="Times New Roman"/>
                <w:b/>
                <w:sz w:val="20"/>
                <w:szCs w:val="20"/>
              </w:rPr>
            </w:pPr>
            <w:r w:rsidRPr="00734281">
              <w:rPr>
                <w:rFonts w:cs="Times New Roman"/>
                <w:b/>
                <w:sz w:val="20"/>
                <w:szCs w:val="20"/>
              </w:rPr>
              <w:t>0.049</w:t>
            </w:r>
          </w:p>
        </w:tc>
      </w:tr>
      <w:tr w:rsidR="002F645F" w:rsidTr="00D33359">
        <w:trPr>
          <w:trHeight w:val="350"/>
        </w:trPr>
        <w:tc>
          <w:tcPr>
            <w:tcW w:w="2250" w:type="dxa"/>
            <w:tcBorders>
              <w:top w:val="single" w:sz="4" w:space="0" w:color="auto"/>
              <w:left w:val="nil"/>
              <w:bottom w:val="nil"/>
              <w:right w:val="nil"/>
            </w:tcBorders>
          </w:tcPr>
          <w:p w:rsidR="002F645F" w:rsidRPr="00734281" w:rsidRDefault="002F645F" w:rsidP="00D33359">
            <w:pPr>
              <w:jc w:val="left"/>
              <w:rPr>
                <w:rFonts w:cs="Times New Roman"/>
                <w:i/>
                <w:sz w:val="20"/>
                <w:szCs w:val="20"/>
              </w:rPr>
            </w:pPr>
            <w:r w:rsidRPr="00734281">
              <w:rPr>
                <w:rFonts w:cs="Times New Roman"/>
                <w:sz w:val="20"/>
                <w:szCs w:val="20"/>
              </w:rPr>
              <w:t>Simpson’s reciprocal diversity index</w:t>
            </w:r>
          </w:p>
        </w:tc>
        <w:tc>
          <w:tcPr>
            <w:tcW w:w="3780" w:type="dxa"/>
            <w:tcBorders>
              <w:top w:val="single" w:sz="4" w:space="0" w:color="auto"/>
              <w:left w:val="nil"/>
              <w:bottom w:val="nil"/>
              <w:right w:val="nil"/>
            </w:tcBorders>
          </w:tcPr>
          <w:p w:rsidR="002F645F" w:rsidRPr="00734281" w:rsidRDefault="002F645F" w:rsidP="00D33359">
            <w:pPr>
              <w:rPr>
                <w:rFonts w:cs="Times New Roman"/>
                <w:i/>
                <w:sz w:val="20"/>
                <w:szCs w:val="20"/>
              </w:rPr>
            </w:pPr>
            <w:proofErr w:type="spellStart"/>
            <w:r w:rsidRPr="00F00459">
              <w:rPr>
                <w:rFonts w:cs="Times New Roman"/>
                <w:i/>
                <w:sz w:val="20"/>
                <w:szCs w:val="20"/>
              </w:rPr>
              <w:t>Hinf</w:t>
            </w:r>
            <w:proofErr w:type="spellEnd"/>
            <w:r w:rsidRPr="00F00459">
              <w:rPr>
                <w:rFonts w:cs="Times New Roman"/>
                <w:i/>
                <w:sz w:val="20"/>
                <w:szCs w:val="20"/>
              </w:rPr>
              <w:t>-</w:t>
            </w:r>
            <w:r w:rsidR="005B2851" w:rsidRPr="00F00459">
              <w:rPr>
                <w:rFonts w:cs="Times New Roman"/>
                <w:i/>
                <w:sz w:val="20"/>
                <w:szCs w:val="20"/>
              </w:rPr>
              <w:t>I</w:t>
            </w:r>
            <w:r w:rsidRPr="00734281">
              <w:rPr>
                <w:rFonts w:cs="Times New Roman"/>
                <w:sz w:val="20"/>
                <w:szCs w:val="20"/>
              </w:rPr>
              <w:t xml:space="preserve"> and </w:t>
            </w:r>
            <w:r w:rsidR="00DE1AD4">
              <w:rPr>
                <w:rFonts w:cs="Times New Roman"/>
                <w:i/>
                <w:sz w:val="20"/>
                <w:szCs w:val="20"/>
              </w:rPr>
              <w:t>HpyCH4-III</w:t>
            </w:r>
            <w:r w:rsidRPr="00734281">
              <w:rPr>
                <w:rFonts w:cs="Times New Roman"/>
                <w:sz w:val="20"/>
                <w:szCs w:val="20"/>
              </w:rPr>
              <w:t xml:space="preserve"> (grouped)*</w:t>
            </w:r>
          </w:p>
        </w:tc>
        <w:tc>
          <w:tcPr>
            <w:tcW w:w="720" w:type="dxa"/>
            <w:tcBorders>
              <w:top w:val="single" w:sz="4" w:space="0" w:color="auto"/>
              <w:left w:val="nil"/>
              <w:bottom w:val="nil"/>
              <w:right w:val="nil"/>
            </w:tcBorders>
          </w:tcPr>
          <w:p w:rsidR="002F645F" w:rsidRPr="00734281" w:rsidRDefault="002F645F" w:rsidP="00D33359">
            <w:pPr>
              <w:rPr>
                <w:rFonts w:cs="Times New Roman"/>
                <w:sz w:val="20"/>
                <w:szCs w:val="20"/>
              </w:rPr>
            </w:pPr>
            <w:r w:rsidRPr="00734281">
              <w:rPr>
                <w:rFonts w:cs="Times New Roman"/>
                <w:sz w:val="20"/>
                <w:szCs w:val="20"/>
              </w:rPr>
              <w:t>2</w:t>
            </w:r>
          </w:p>
        </w:tc>
        <w:tc>
          <w:tcPr>
            <w:tcW w:w="810" w:type="dxa"/>
            <w:tcBorders>
              <w:top w:val="single" w:sz="4" w:space="0" w:color="auto"/>
              <w:left w:val="nil"/>
              <w:bottom w:val="nil"/>
              <w:right w:val="nil"/>
            </w:tcBorders>
          </w:tcPr>
          <w:p w:rsidR="002F645F" w:rsidRPr="00734281" w:rsidRDefault="002F645F" w:rsidP="00D33359">
            <w:pPr>
              <w:rPr>
                <w:rFonts w:cs="Times New Roman"/>
                <w:sz w:val="20"/>
                <w:szCs w:val="20"/>
              </w:rPr>
            </w:pPr>
            <w:r w:rsidRPr="00734281">
              <w:rPr>
                <w:rFonts w:cs="Times New Roman"/>
                <w:sz w:val="20"/>
                <w:szCs w:val="20"/>
              </w:rPr>
              <w:t>0.38</w:t>
            </w:r>
          </w:p>
        </w:tc>
        <w:tc>
          <w:tcPr>
            <w:tcW w:w="919" w:type="dxa"/>
            <w:tcBorders>
              <w:top w:val="single" w:sz="4" w:space="0" w:color="auto"/>
              <w:left w:val="nil"/>
              <w:bottom w:val="nil"/>
              <w:right w:val="nil"/>
            </w:tcBorders>
          </w:tcPr>
          <w:p w:rsidR="002F645F" w:rsidRPr="00734281" w:rsidRDefault="002F645F" w:rsidP="00D33359">
            <w:pPr>
              <w:rPr>
                <w:rFonts w:cs="Times New Roman"/>
                <w:sz w:val="20"/>
                <w:szCs w:val="20"/>
              </w:rPr>
            </w:pPr>
            <w:r w:rsidRPr="00734281">
              <w:rPr>
                <w:rFonts w:cs="Times New Roman"/>
                <w:sz w:val="20"/>
                <w:szCs w:val="20"/>
              </w:rPr>
              <w:t>0.685</w:t>
            </w:r>
          </w:p>
        </w:tc>
      </w:tr>
      <w:tr w:rsidR="002F645F" w:rsidTr="00D33359">
        <w:trPr>
          <w:trHeight w:val="350"/>
        </w:trPr>
        <w:tc>
          <w:tcPr>
            <w:tcW w:w="2250" w:type="dxa"/>
            <w:tcBorders>
              <w:top w:val="nil"/>
              <w:left w:val="nil"/>
              <w:bottom w:val="nil"/>
              <w:right w:val="nil"/>
            </w:tcBorders>
          </w:tcPr>
          <w:p w:rsidR="002F645F" w:rsidRPr="00734281" w:rsidRDefault="002F645F" w:rsidP="00D33359">
            <w:pPr>
              <w:rPr>
                <w:rFonts w:cs="Times New Roman"/>
                <w:i/>
                <w:sz w:val="20"/>
                <w:szCs w:val="20"/>
              </w:rPr>
            </w:pPr>
          </w:p>
        </w:tc>
        <w:tc>
          <w:tcPr>
            <w:tcW w:w="3780" w:type="dxa"/>
            <w:tcBorders>
              <w:top w:val="nil"/>
              <w:left w:val="nil"/>
              <w:bottom w:val="nil"/>
              <w:right w:val="nil"/>
            </w:tcBorders>
          </w:tcPr>
          <w:p w:rsidR="002F645F" w:rsidRPr="00734281" w:rsidRDefault="002F645F" w:rsidP="00D33359">
            <w:pPr>
              <w:rPr>
                <w:rFonts w:cs="Times New Roman"/>
                <w:i/>
                <w:sz w:val="20"/>
                <w:szCs w:val="20"/>
              </w:rPr>
            </w:pPr>
            <w:proofErr w:type="spellStart"/>
            <w:r w:rsidRPr="00734281">
              <w:rPr>
                <w:rFonts w:cs="Times New Roman"/>
                <w:i/>
                <w:sz w:val="20"/>
                <w:szCs w:val="20"/>
              </w:rPr>
              <w:t>Hinf</w:t>
            </w:r>
            <w:proofErr w:type="spellEnd"/>
            <w:r w:rsidRPr="00734281">
              <w:rPr>
                <w:rFonts w:cs="Times New Roman"/>
                <w:sz w:val="20"/>
                <w:szCs w:val="20"/>
              </w:rPr>
              <w:t>-I*</w:t>
            </w:r>
          </w:p>
        </w:tc>
        <w:tc>
          <w:tcPr>
            <w:tcW w:w="720" w:type="dxa"/>
            <w:tcBorders>
              <w:top w:val="nil"/>
              <w:left w:val="nil"/>
              <w:bottom w:val="nil"/>
              <w:right w:val="nil"/>
            </w:tcBorders>
          </w:tcPr>
          <w:p w:rsidR="002F645F" w:rsidRPr="00734281" w:rsidRDefault="002F645F" w:rsidP="00D33359">
            <w:pPr>
              <w:rPr>
                <w:rFonts w:cs="Times New Roman"/>
                <w:sz w:val="20"/>
                <w:szCs w:val="20"/>
              </w:rPr>
            </w:pPr>
            <w:r w:rsidRPr="00734281">
              <w:rPr>
                <w:rFonts w:cs="Times New Roman"/>
                <w:sz w:val="20"/>
                <w:szCs w:val="20"/>
              </w:rPr>
              <w:t>2</w:t>
            </w:r>
          </w:p>
        </w:tc>
        <w:tc>
          <w:tcPr>
            <w:tcW w:w="810" w:type="dxa"/>
            <w:tcBorders>
              <w:top w:val="nil"/>
              <w:left w:val="nil"/>
              <w:bottom w:val="nil"/>
              <w:right w:val="nil"/>
            </w:tcBorders>
          </w:tcPr>
          <w:p w:rsidR="002F645F" w:rsidRPr="00734281" w:rsidRDefault="002F645F" w:rsidP="00D33359">
            <w:pPr>
              <w:rPr>
                <w:rFonts w:cs="Times New Roman"/>
                <w:sz w:val="20"/>
                <w:szCs w:val="20"/>
              </w:rPr>
            </w:pPr>
            <w:r w:rsidRPr="00734281">
              <w:rPr>
                <w:rFonts w:cs="Times New Roman"/>
                <w:sz w:val="20"/>
                <w:szCs w:val="20"/>
              </w:rPr>
              <w:t>0.66</w:t>
            </w:r>
          </w:p>
        </w:tc>
        <w:tc>
          <w:tcPr>
            <w:tcW w:w="919" w:type="dxa"/>
            <w:tcBorders>
              <w:top w:val="nil"/>
              <w:left w:val="nil"/>
              <w:bottom w:val="nil"/>
              <w:right w:val="nil"/>
            </w:tcBorders>
          </w:tcPr>
          <w:p w:rsidR="002F645F" w:rsidRPr="00734281" w:rsidRDefault="002F645F" w:rsidP="00D33359">
            <w:pPr>
              <w:rPr>
                <w:rFonts w:cs="Times New Roman"/>
                <w:sz w:val="20"/>
                <w:szCs w:val="20"/>
              </w:rPr>
            </w:pPr>
            <w:r w:rsidRPr="00734281">
              <w:rPr>
                <w:rFonts w:cs="Times New Roman"/>
                <w:sz w:val="20"/>
                <w:szCs w:val="20"/>
              </w:rPr>
              <w:t>0.520</w:t>
            </w:r>
          </w:p>
        </w:tc>
      </w:tr>
      <w:tr w:rsidR="002F645F" w:rsidTr="00D33359">
        <w:trPr>
          <w:trHeight w:val="350"/>
        </w:trPr>
        <w:tc>
          <w:tcPr>
            <w:tcW w:w="2250" w:type="dxa"/>
            <w:tcBorders>
              <w:top w:val="nil"/>
              <w:left w:val="nil"/>
              <w:bottom w:val="single" w:sz="4" w:space="0" w:color="auto"/>
              <w:right w:val="nil"/>
            </w:tcBorders>
          </w:tcPr>
          <w:p w:rsidR="002F645F" w:rsidRPr="00734281" w:rsidRDefault="002F645F" w:rsidP="00D33359">
            <w:pPr>
              <w:rPr>
                <w:rFonts w:cs="Times New Roman"/>
                <w:i/>
                <w:sz w:val="20"/>
                <w:szCs w:val="20"/>
              </w:rPr>
            </w:pPr>
          </w:p>
        </w:tc>
        <w:tc>
          <w:tcPr>
            <w:tcW w:w="3780" w:type="dxa"/>
            <w:tcBorders>
              <w:top w:val="nil"/>
              <w:left w:val="nil"/>
              <w:bottom w:val="single" w:sz="4" w:space="0" w:color="auto"/>
              <w:right w:val="nil"/>
            </w:tcBorders>
          </w:tcPr>
          <w:p w:rsidR="002F645F" w:rsidRPr="00734281" w:rsidRDefault="00DE1AD4" w:rsidP="00D33359">
            <w:pPr>
              <w:rPr>
                <w:rFonts w:cs="Times New Roman"/>
                <w:i/>
                <w:sz w:val="20"/>
                <w:szCs w:val="20"/>
              </w:rPr>
            </w:pPr>
            <w:r>
              <w:rPr>
                <w:rFonts w:cs="Times New Roman"/>
                <w:i/>
                <w:sz w:val="20"/>
                <w:szCs w:val="20"/>
              </w:rPr>
              <w:t>HpyCH4-III</w:t>
            </w:r>
          </w:p>
        </w:tc>
        <w:tc>
          <w:tcPr>
            <w:tcW w:w="720" w:type="dxa"/>
            <w:tcBorders>
              <w:top w:val="nil"/>
              <w:left w:val="nil"/>
              <w:bottom w:val="single" w:sz="4" w:space="0" w:color="auto"/>
              <w:right w:val="nil"/>
            </w:tcBorders>
          </w:tcPr>
          <w:p w:rsidR="002F645F" w:rsidRPr="00734281" w:rsidRDefault="002F645F" w:rsidP="00D33359">
            <w:pPr>
              <w:rPr>
                <w:rFonts w:cs="Times New Roman"/>
                <w:sz w:val="20"/>
                <w:szCs w:val="20"/>
              </w:rPr>
            </w:pPr>
            <w:r w:rsidRPr="00734281">
              <w:rPr>
                <w:rFonts w:cs="Times New Roman"/>
                <w:sz w:val="20"/>
                <w:szCs w:val="20"/>
              </w:rPr>
              <w:t>2</w:t>
            </w:r>
          </w:p>
        </w:tc>
        <w:tc>
          <w:tcPr>
            <w:tcW w:w="810" w:type="dxa"/>
            <w:tcBorders>
              <w:top w:val="nil"/>
              <w:left w:val="nil"/>
              <w:bottom w:val="single" w:sz="4" w:space="0" w:color="auto"/>
              <w:right w:val="nil"/>
            </w:tcBorders>
          </w:tcPr>
          <w:p w:rsidR="002F645F" w:rsidRPr="00734281" w:rsidRDefault="002F645F" w:rsidP="00D33359">
            <w:pPr>
              <w:rPr>
                <w:rFonts w:cs="Times New Roman"/>
                <w:sz w:val="20"/>
                <w:szCs w:val="20"/>
              </w:rPr>
            </w:pPr>
            <w:r w:rsidRPr="00734281">
              <w:rPr>
                <w:rFonts w:cs="Times New Roman"/>
                <w:sz w:val="20"/>
                <w:szCs w:val="20"/>
              </w:rPr>
              <w:t>0.43</w:t>
            </w:r>
          </w:p>
        </w:tc>
        <w:tc>
          <w:tcPr>
            <w:tcW w:w="919" w:type="dxa"/>
            <w:tcBorders>
              <w:top w:val="nil"/>
              <w:left w:val="nil"/>
              <w:bottom w:val="single" w:sz="4" w:space="0" w:color="auto"/>
              <w:right w:val="nil"/>
            </w:tcBorders>
          </w:tcPr>
          <w:p w:rsidR="002F645F" w:rsidRPr="00734281" w:rsidRDefault="002F645F" w:rsidP="00D33359">
            <w:pPr>
              <w:rPr>
                <w:rFonts w:cs="Times New Roman"/>
                <w:sz w:val="20"/>
                <w:szCs w:val="20"/>
              </w:rPr>
            </w:pPr>
            <w:r w:rsidRPr="00734281">
              <w:rPr>
                <w:rFonts w:cs="Times New Roman"/>
                <w:sz w:val="20"/>
                <w:szCs w:val="20"/>
              </w:rPr>
              <w:t>0.651</w:t>
            </w:r>
          </w:p>
        </w:tc>
      </w:tr>
      <w:tr w:rsidR="002F645F" w:rsidTr="00D33359">
        <w:trPr>
          <w:trHeight w:val="350"/>
        </w:trPr>
        <w:tc>
          <w:tcPr>
            <w:tcW w:w="8479" w:type="dxa"/>
            <w:gridSpan w:val="5"/>
            <w:tcBorders>
              <w:top w:val="single" w:sz="4" w:space="0" w:color="auto"/>
              <w:left w:val="nil"/>
              <w:bottom w:val="nil"/>
              <w:right w:val="nil"/>
            </w:tcBorders>
          </w:tcPr>
          <w:p w:rsidR="002F645F" w:rsidRPr="00734281" w:rsidRDefault="002F645F" w:rsidP="00D33359">
            <w:pPr>
              <w:rPr>
                <w:rFonts w:cs="Times New Roman"/>
                <w:sz w:val="20"/>
                <w:szCs w:val="20"/>
              </w:rPr>
            </w:pPr>
            <w:r w:rsidRPr="00734281">
              <w:rPr>
                <w:rFonts w:cs="Times New Roman"/>
                <w:sz w:val="20"/>
                <w:szCs w:val="20"/>
              </w:rPr>
              <w:lastRenderedPageBreak/>
              <w:t>*SRDI values which were log transformed prior to ANOVA analysis to meet test assumptions</w:t>
            </w:r>
          </w:p>
        </w:tc>
      </w:tr>
    </w:tbl>
    <w:p w:rsidR="002F645F" w:rsidRDefault="002F645F" w:rsidP="002F645F">
      <w:pPr>
        <w:pStyle w:val="Heading4"/>
        <w:numPr>
          <w:ilvl w:val="3"/>
          <w:numId w:val="1"/>
        </w:numPr>
      </w:pPr>
      <w:r w:rsidRPr="000D22B4">
        <w:t>AMF</w:t>
      </w:r>
      <w:r>
        <w:t xml:space="preserve"> community composition</w:t>
      </w:r>
    </w:p>
    <w:p w:rsidR="002F645F" w:rsidRPr="00271C1E" w:rsidRDefault="002F645F" w:rsidP="002F645F">
      <w:pPr>
        <w:rPr>
          <w:rFonts w:cs="Times New Roman"/>
          <w:color w:val="FF0000"/>
        </w:rPr>
        <w:sectPr w:rsidR="002F645F" w:rsidRPr="00271C1E" w:rsidSect="002F645F">
          <w:type w:val="oddPage"/>
          <w:pgSz w:w="11906" w:h="16838" w:code="9"/>
          <w:pgMar w:top="1134" w:right="1134" w:bottom="1134" w:left="2268" w:header="709" w:footer="709" w:gutter="0"/>
          <w:cols w:space="708"/>
          <w:docGrid w:linePitch="360"/>
        </w:sectPr>
      </w:pPr>
      <w:r>
        <w:t>Minor differences in TRF relative abundance were observed; PC2 (20.16% data variation) showed significant separation of conventional bush and conventional standard orchards (</w:t>
      </w:r>
      <w:r>
        <w:fldChar w:fldCharType="begin"/>
      </w:r>
      <w:r>
        <w:instrText xml:space="preserve"> REF _Ref468349853 \h </w:instrText>
      </w:r>
      <w:r>
        <w:fldChar w:fldCharType="separate"/>
      </w:r>
      <w:r w:rsidR="00E0714D">
        <w:t xml:space="preserve">Table </w:t>
      </w:r>
      <w:r w:rsidR="00E0714D">
        <w:rPr>
          <w:noProof/>
        </w:rPr>
        <w:t>4</w:t>
      </w:r>
      <w:r w:rsidR="00E0714D">
        <w:t>.</w:t>
      </w:r>
      <w:r w:rsidR="00E0714D">
        <w:rPr>
          <w:noProof/>
        </w:rPr>
        <w:t>2</w:t>
      </w:r>
      <w:r>
        <w:fldChar w:fldCharType="end"/>
      </w:r>
      <w:r>
        <w:t>, Figure 4.2). PC 7 and PC9 scores also showed significant differences between orchard types (</w:t>
      </w:r>
      <w:r>
        <w:fldChar w:fldCharType="begin"/>
      </w:r>
      <w:r>
        <w:instrText xml:space="preserve"> REF _Ref468349853 \h </w:instrText>
      </w:r>
      <w:r>
        <w:fldChar w:fldCharType="separate"/>
      </w:r>
      <w:r w:rsidR="00E0714D">
        <w:t xml:space="preserve">Table </w:t>
      </w:r>
      <w:r w:rsidR="00E0714D">
        <w:rPr>
          <w:noProof/>
        </w:rPr>
        <w:t>4</w:t>
      </w:r>
      <w:r w:rsidR="00E0714D">
        <w:t>.</w:t>
      </w:r>
      <w:r w:rsidR="00E0714D">
        <w:rPr>
          <w:noProof/>
        </w:rPr>
        <w:t>2</w:t>
      </w:r>
      <w:r>
        <w:fldChar w:fldCharType="end"/>
      </w:r>
      <w:r>
        <w:t>) however combined these principal components only explain 4.8% of the data variation. Significant differences in principal component scores from TRF presence/absence data were shown between conventional bush orchards and organic standard orchards for PC2 (14.95% of data variation) (</w:t>
      </w:r>
      <w:r>
        <w:fldChar w:fldCharType="begin"/>
      </w:r>
      <w:r>
        <w:instrText xml:space="preserve"> REF _Ref468349853 \h </w:instrText>
      </w:r>
      <w:r>
        <w:fldChar w:fldCharType="separate"/>
      </w:r>
      <w:r w:rsidR="00E0714D">
        <w:t xml:space="preserve">Table </w:t>
      </w:r>
      <w:r w:rsidR="00E0714D">
        <w:rPr>
          <w:noProof/>
        </w:rPr>
        <w:t>4</w:t>
      </w:r>
      <w:r w:rsidR="00E0714D">
        <w:t>.</w:t>
      </w:r>
      <w:r w:rsidR="00E0714D">
        <w:rPr>
          <w:noProof/>
        </w:rPr>
        <w:t>2</w:t>
      </w:r>
      <w:r>
        <w:fldChar w:fldCharType="end"/>
      </w:r>
      <w:r>
        <w:t xml:space="preserve">, Figure 4.2). </w:t>
      </w:r>
      <w:r w:rsidR="00A54D4A">
        <w:rPr>
          <w:rFonts w:cs="Times New Roman"/>
        </w:rPr>
        <w:t>OPLS-DA</w:t>
      </w:r>
      <w:r>
        <w:rPr>
          <w:rFonts w:cs="Times New Roman"/>
        </w:rPr>
        <w:t xml:space="preserve"> analysis showed no significant differences in the relative abundance of individual TRFs be</w:t>
      </w:r>
      <w:r w:rsidR="00271C1E">
        <w:rPr>
          <w:rFonts w:cs="Times New Roman"/>
        </w:rPr>
        <w:t xml:space="preserve">tween the three orchard types. The detection of significant differences in communities by PCA in contrast to </w:t>
      </w:r>
      <w:r w:rsidR="00A54D4A">
        <w:rPr>
          <w:rFonts w:cs="Times New Roman"/>
        </w:rPr>
        <w:t>OPLS-DA</w:t>
      </w:r>
      <w:r w:rsidR="00271C1E">
        <w:rPr>
          <w:rFonts w:cs="Times New Roman"/>
        </w:rPr>
        <w:t xml:space="preserve"> shows that although no individual taxa differed significantly in abundance between habitats, when abundances of all taxa were considered together, minor differences in AMF composition between orchard types became apparent. </w:t>
      </w:r>
    </w:p>
    <w:p w:rsidR="002F645F" w:rsidRDefault="002F645F" w:rsidP="002F645F">
      <w:pPr>
        <w:rPr>
          <w:rFonts w:cs="Times New Roman"/>
        </w:rPr>
      </w:pPr>
      <w:r>
        <w:rPr>
          <w:rFonts w:cs="Times New Roman"/>
          <w:noProof/>
          <w:lang w:eastAsia="en-GB"/>
        </w:rPr>
        <w:lastRenderedPageBreak/>
        <w:drawing>
          <wp:inline distT="0" distB="0" distL="0" distR="0" wp14:anchorId="4EA56DA7" wp14:editId="3B6C8DAA">
            <wp:extent cx="8014057" cy="432000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pple_TRFLP_All_Sp_Rich_and_SI_correct.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8014057" cy="4320000"/>
                    </a:xfrm>
                    <a:prstGeom prst="rect">
                      <a:avLst/>
                    </a:prstGeom>
                  </pic:spPr>
                </pic:pic>
              </a:graphicData>
            </a:graphic>
          </wp:inline>
        </w:drawing>
      </w:r>
    </w:p>
    <w:p w:rsidR="002F645F" w:rsidRPr="009A0D44" w:rsidRDefault="002F645F" w:rsidP="000F2456">
      <w:pPr>
        <w:pStyle w:val="Caption"/>
        <w:rPr>
          <w:rFonts w:cs="Times New Roman"/>
          <w:noProof/>
          <w:szCs w:val="22"/>
          <w:lang w:eastAsia="en-GB"/>
        </w:rPr>
      </w:pPr>
      <w:bookmarkStart w:id="437" w:name="_Ref468127334"/>
      <w:bookmarkStart w:id="438" w:name="_Toc469982789"/>
      <w:r>
        <w:t xml:space="preserve">Figure </w:t>
      </w:r>
      <w:r w:rsidR="00C44EF5">
        <w:fldChar w:fldCharType="begin"/>
      </w:r>
      <w:r w:rsidR="00C44EF5">
        <w:instrText xml:space="preserve"> STYLEREF 1 \s </w:instrText>
      </w:r>
      <w:r w:rsidR="00C44EF5">
        <w:fldChar w:fldCharType="separate"/>
      </w:r>
      <w:r w:rsidR="00E0714D">
        <w:rPr>
          <w:noProof/>
        </w:rPr>
        <w:t>4</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2</w:t>
      </w:r>
      <w:r w:rsidR="00C44EF5">
        <w:rPr>
          <w:noProof/>
        </w:rPr>
        <w:fldChar w:fldCharType="end"/>
      </w:r>
      <w:bookmarkEnd w:id="437"/>
      <w:r>
        <w:t xml:space="preserve"> Mean TRF richness and Simpson’s diversity for AMF colonising apple trees in three orchard management types. TRF richness </w:t>
      </w:r>
      <w:r w:rsidRPr="007F5C03">
        <w:t xml:space="preserve">calculated from restriction with (a) both enzymes combined (b) </w:t>
      </w:r>
      <w:proofErr w:type="spellStart"/>
      <w:r w:rsidRPr="007F5C03">
        <w:rPr>
          <w:i/>
        </w:rPr>
        <w:t>Hinf</w:t>
      </w:r>
      <w:proofErr w:type="spellEnd"/>
      <w:r w:rsidRPr="007F5C03">
        <w:t xml:space="preserve">-I, (c) </w:t>
      </w:r>
      <w:r w:rsidR="00DE1AD4">
        <w:rPr>
          <w:i/>
        </w:rPr>
        <w:t>HpyCH4-III</w:t>
      </w:r>
      <w:r w:rsidRPr="007F5C03">
        <w:t xml:space="preserve">. Mean </w:t>
      </w:r>
      <w:r w:rsidRPr="000F2456">
        <w:t>Simpson’s</w:t>
      </w:r>
      <w:r w:rsidRPr="007F5C03">
        <w:t xml:space="preserve"> diversity indices calculated from restriction with (d) both enzymes (e) </w:t>
      </w:r>
      <w:proofErr w:type="spellStart"/>
      <w:r w:rsidRPr="007F5C03">
        <w:rPr>
          <w:i/>
        </w:rPr>
        <w:t>Hinf</w:t>
      </w:r>
      <w:proofErr w:type="spellEnd"/>
      <w:r w:rsidRPr="007F5C03">
        <w:t xml:space="preserve">-I, (f) </w:t>
      </w:r>
      <w:r w:rsidR="00DE1AD4">
        <w:rPr>
          <w:i/>
        </w:rPr>
        <w:t>HpyCH4-III</w:t>
      </w:r>
      <w:r w:rsidRPr="007F5C03">
        <w:t xml:space="preserve">. Error bars show SE of mean (n=25). Orchard type codes are as follows; (CB; conventional bush orchard, CS; conventional standard orchard, OS; organic standard orchard). Orchard types with the same letter do not differ significantly from one another (Tukey, HSD </w:t>
      </w:r>
      <w:r w:rsidRPr="007F5C03">
        <w:rPr>
          <w:i/>
        </w:rPr>
        <w:t>P</w:t>
      </w:r>
      <w:r w:rsidRPr="007F5C03">
        <w:t>&lt;0.05).</w:t>
      </w:r>
      <w:bookmarkEnd w:id="438"/>
    </w:p>
    <w:tbl>
      <w:tblPr>
        <w:tblStyle w:val="TableGrid"/>
        <w:tblpPr w:leftFromText="180" w:rightFromText="180" w:vertAnchor="page" w:horzAnchor="margin" w:tblpXSpec="center" w:tblpY="3151"/>
        <w:tblW w:w="121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2127"/>
        <w:gridCol w:w="709"/>
        <w:gridCol w:w="850"/>
        <w:gridCol w:w="1135"/>
        <w:gridCol w:w="1134"/>
        <w:gridCol w:w="1134"/>
        <w:gridCol w:w="1134"/>
        <w:gridCol w:w="1134"/>
        <w:gridCol w:w="1134"/>
      </w:tblGrid>
      <w:tr w:rsidR="002F645F" w:rsidRPr="00CA4E8C" w:rsidTr="00D33359">
        <w:tc>
          <w:tcPr>
            <w:tcW w:w="12192" w:type="dxa"/>
            <w:gridSpan w:val="10"/>
            <w:tcBorders>
              <w:bottom w:val="single" w:sz="4" w:space="0" w:color="auto"/>
            </w:tcBorders>
          </w:tcPr>
          <w:p w:rsidR="002F645F" w:rsidRPr="009A0D44" w:rsidRDefault="002F645F" w:rsidP="001066E5">
            <w:pPr>
              <w:pStyle w:val="Caption"/>
            </w:pPr>
            <w:bookmarkStart w:id="439" w:name="_Ref468349853"/>
            <w:bookmarkStart w:id="440" w:name="_Toc469868583"/>
            <w:r>
              <w:lastRenderedPageBreak/>
              <w:t xml:space="preserve">Table </w:t>
            </w:r>
            <w:r w:rsidR="00C44EF5">
              <w:fldChar w:fldCharType="begin"/>
            </w:r>
            <w:r w:rsidR="00C44EF5">
              <w:instrText xml:space="preserve"> STYLEREF 1 \s </w:instrText>
            </w:r>
            <w:r w:rsidR="00C44EF5">
              <w:fldChar w:fldCharType="separate"/>
            </w:r>
            <w:r w:rsidR="00E0714D">
              <w:rPr>
                <w:noProof/>
              </w:rPr>
              <w:t>4</w:t>
            </w:r>
            <w:r w:rsidR="00C44EF5">
              <w:rPr>
                <w:noProof/>
              </w:rPr>
              <w:fldChar w:fldCharType="end"/>
            </w:r>
            <w:r>
              <w:t>.</w:t>
            </w:r>
            <w:r w:rsidR="00C44EF5">
              <w:fldChar w:fldCharType="begin"/>
            </w:r>
            <w:r w:rsidR="00C44EF5">
              <w:instrText xml:space="preserve"> SEQ Table \* ARABIC \s 1 </w:instrText>
            </w:r>
            <w:r w:rsidR="00C44EF5">
              <w:fldChar w:fldCharType="separate"/>
            </w:r>
            <w:r w:rsidR="00E0714D">
              <w:rPr>
                <w:noProof/>
              </w:rPr>
              <w:t>2</w:t>
            </w:r>
            <w:r w:rsidR="00C44EF5">
              <w:rPr>
                <w:noProof/>
              </w:rPr>
              <w:fldChar w:fldCharType="end"/>
            </w:r>
            <w:bookmarkEnd w:id="439"/>
            <w:r>
              <w:t xml:space="preserve"> TRFLP principal</w:t>
            </w:r>
            <w:r w:rsidRPr="00F55C45">
              <w:t xml:space="preserve"> component scores which showed significant differences between </w:t>
            </w:r>
            <w:r>
              <w:t xml:space="preserve">orchard management </w:t>
            </w:r>
            <w:r w:rsidRPr="00F55C45">
              <w:t>types. Statistic</w:t>
            </w:r>
            <w:r>
              <w:t>al differences between principal</w:t>
            </w:r>
            <w:r w:rsidRPr="00F55C45">
              <w:t xml:space="preserve"> component scores of habitats were </w:t>
            </w:r>
            <w:r w:rsidRPr="000F2456">
              <w:t>calculated</w:t>
            </w:r>
            <w:r w:rsidRPr="00F55C45">
              <w:t xml:space="preserve"> using a 1-way ANOVA test with PC score as the response, </w:t>
            </w:r>
            <w:r>
              <w:t xml:space="preserve">orchard type </w:t>
            </w:r>
            <w:r w:rsidRPr="00F55C45">
              <w:t xml:space="preserve">as the predictor and site as a random factor. </w:t>
            </w:r>
            <w:r>
              <w:t>Orchard types</w:t>
            </w:r>
            <w:r w:rsidRPr="00F55C45">
              <w:t xml:space="preserve"> with the same letter do not differ significantly from one another (Tukey HSD, p&lt;0</w:t>
            </w:r>
            <w:r>
              <w:t>.05). Only results for principal</w:t>
            </w:r>
            <w:r w:rsidRPr="00F55C45">
              <w:t xml:space="preserve"> component scores which are significantly </w:t>
            </w:r>
            <w:r>
              <w:t xml:space="preserve">different </w:t>
            </w:r>
            <w:r w:rsidR="001066E5">
              <w:t xml:space="preserve">or showed borderline significance values (*) </w:t>
            </w:r>
            <w:r>
              <w:t>between orchard types</w:t>
            </w:r>
            <w:r w:rsidRPr="00F55C45">
              <w:t xml:space="preserve"> are presented</w:t>
            </w:r>
            <w:bookmarkEnd w:id="440"/>
            <w:r w:rsidR="001066E5">
              <w:t>.</w:t>
            </w:r>
          </w:p>
        </w:tc>
      </w:tr>
      <w:tr w:rsidR="002F645F" w:rsidRPr="00CA4E8C" w:rsidTr="00D33359">
        <w:tc>
          <w:tcPr>
            <w:tcW w:w="12192" w:type="dxa"/>
            <w:gridSpan w:val="10"/>
            <w:tcBorders>
              <w:top w:val="single" w:sz="4" w:space="0" w:color="auto"/>
              <w:bottom w:val="single" w:sz="4" w:space="0" w:color="auto"/>
            </w:tcBorders>
          </w:tcPr>
          <w:p w:rsidR="002F645F" w:rsidRPr="00CA4E8C" w:rsidRDefault="002F645F" w:rsidP="00D33359">
            <w:pPr>
              <w:jc w:val="center"/>
              <w:rPr>
                <w:rFonts w:cs="Times New Roman"/>
                <w:sz w:val="20"/>
                <w:szCs w:val="20"/>
              </w:rPr>
            </w:pPr>
            <w:r>
              <w:rPr>
                <w:rFonts w:cs="Times New Roman"/>
                <w:sz w:val="20"/>
                <w:szCs w:val="20"/>
              </w:rPr>
              <w:t>Principle component score mean and (±SE) per habitat</w:t>
            </w:r>
          </w:p>
        </w:tc>
      </w:tr>
      <w:tr w:rsidR="002F645F" w:rsidRPr="00CA4E8C" w:rsidTr="00717F78">
        <w:tc>
          <w:tcPr>
            <w:tcW w:w="1701" w:type="dxa"/>
            <w:tcBorders>
              <w:top w:val="single" w:sz="4" w:space="0" w:color="auto"/>
            </w:tcBorders>
          </w:tcPr>
          <w:p w:rsidR="002F645F" w:rsidRDefault="002F645F" w:rsidP="00D33359">
            <w:pPr>
              <w:jc w:val="center"/>
              <w:rPr>
                <w:rFonts w:cs="Times New Roman"/>
                <w:sz w:val="20"/>
                <w:szCs w:val="20"/>
              </w:rPr>
            </w:pPr>
            <w:r>
              <w:rPr>
                <w:rFonts w:cs="Times New Roman"/>
                <w:sz w:val="20"/>
                <w:szCs w:val="20"/>
              </w:rPr>
              <w:t>Data</w:t>
            </w:r>
          </w:p>
          <w:p w:rsidR="002F645F" w:rsidRPr="00CA4E8C" w:rsidRDefault="002F645F" w:rsidP="00D33359">
            <w:pPr>
              <w:jc w:val="center"/>
              <w:rPr>
                <w:rFonts w:cs="Times New Roman"/>
                <w:sz w:val="20"/>
                <w:szCs w:val="20"/>
              </w:rPr>
            </w:pPr>
          </w:p>
        </w:tc>
        <w:tc>
          <w:tcPr>
            <w:tcW w:w="2127" w:type="dxa"/>
            <w:tcBorders>
              <w:top w:val="single" w:sz="4" w:space="0" w:color="auto"/>
            </w:tcBorders>
          </w:tcPr>
          <w:p w:rsidR="002F645F" w:rsidRPr="00CA4E8C" w:rsidRDefault="002F645F" w:rsidP="00D33359">
            <w:pPr>
              <w:jc w:val="center"/>
              <w:rPr>
                <w:rFonts w:cs="Times New Roman"/>
                <w:sz w:val="20"/>
                <w:szCs w:val="20"/>
              </w:rPr>
            </w:pPr>
            <w:r>
              <w:rPr>
                <w:rFonts w:cs="Times New Roman"/>
                <w:sz w:val="20"/>
                <w:szCs w:val="20"/>
              </w:rPr>
              <w:t>PC and ( % data variation explained)</w:t>
            </w:r>
          </w:p>
        </w:tc>
        <w:tc>
          <w:tcPr>
            <w:tcW w:w="709" w:type="dxa"/>
            <w:tcBorders>
              <w:top w:val="single" w:sz="4" w:space="0" w:color="auto"/>
            </w:tcBorders>
          </w:tcPr>
          <w:p w:rsidR="002F645F" w:rsidRPr="00CA4E8C" w:rsidRDefault="002F645F" w:rsidP="00D33359">
            <w:pPr>
              <w:jc w:val="center"/>
              <w:rPr>
                <w:rFonts w:cs="Times New Roman"/>
                <w:sz w:val="20"/>
                <w:szCs w:val="20"/>
              </w:rPr>
            </w:pPr>
            <w:r w:rsidRPr="00CA4E8C">
              <w:rPr>
                <w:rFonts w:cs="Times New Roman"/>
                <w:sz w:val="20"/>
                <w:szCs w:val="20"/>
              </w:rPr>
              <w:t>F</w:t>
            </w:r>
            <w:r w:rsidRPr="00CA4E8C">
              <w:rPr>
                <w:rFonts w:cs="Times New Roman"/>
                <w:sz w:val="20"/>
                <w:szCs w:val="20"/>
                <w:vertAlign w:val="subscript"/>
              </w:rPr>
              <w:t>1,4</w:t>
            </w:r>
          </w:p>
        </w:tc>
        <w:tc>
          <w:tcPr>
            <w:tcW w:w="850" w:type="dxa"/>
            <w:tcBorders>
              <w:top w:val="single" w:sz="4" w:space="0" w:color="auto"/>
            </w:tcBorders>
          </w:tcPr>
          <w:p w:rsidR="002F645F" w:rsidRPr="00CA4E8C" w:rsidRDefault="002F645F" w:rsidP="00D33359">
            <w:pPr>
              <w:jc w:val="center"/>
              <w:rPr>
                <w:rFonts w:cs="Times New Roman"/>
                <w:sz w:val="20"/>
                <w:szCs w:val="20"/>
              </w:rPr>
            </w:pPr>
            <w:r w:rsidRPr="00CA4E8C">
              <w:rPr>
                <w:rFonts w:cs="Times New Roman"/>
                <w:sz w:val="20"/>
                <w:szCs w:val="20"/>
              </w:rPr>
              <w:t>P</w:t>
            </w:r>
          </w:p>
        </w:tc>
        <w:tc>
          <w:tcPr>
            <w:tcW w:w="2269" w:type="dxa"/>
            <w:gridSpan w:val="2"/>
            <w:tcBorders>
              <w:top w:val="single" w:sz="4" w:space="0" w:color="auto"/>
            </w:tcBorders>
          </w:tcPr>
          <w:p w:rsidR="002F645F" w:rsidRPr="00CA4E8C" w:rsidRDefault="002F645F" w:rsidP="00D33359">
            <w:pPr>
              <w:jc w:val="center"/>
              <w:rPr>
                <w:rFonts w:cs="Times New Roman"/>
                <w:sz w:val="20"/>
                <w:szCs w:val="20"/>
              </w:rPr>
            </w:pPr>
            <w:r>
              <w:rPr>
                <w:rFonts w:cs="Times New Roman"/>
                <w:sz w:val="20"/>
                <w:szCs w:val="20"/>
              </w:rPr>
              <w:t>Conventional B</w:t>
            </w:r>
            <w:r w:rsidRPr="00CA4E8C">
              <w:rPr>
                <w:rFonts w:cs="Times New Roman"/>
                <w:sz w:val="20"/>
                <w:szCs w:val="20"/>
              </w:rPr>
              <w:t>ush</w:t>
            </w:r>
            <w:r>
              <w:rPr>
                <w:rFonts w:cs="Times New Roman"/>
                <w:sz w:val="20"/>
                <w:szCs w:val="20"/>
              </w:rPr>
              <w:t xml:space="preserve"> Orchard</w:t>
            </w:r>
          </w:p>
        </w:tc>
        <w:tc>
          <w:tcPr>
            <w:tcW w:w="2268" w:type="dxa"/>
            <w:gridSpan w:val="2"/>
          </w:tcPr>
          <w:p w:rsidR="002F645F" w:rsidRPr="00CA4E8C" w:rsidRDefault="002F645F" w:rsidP="00D33359">
            <w:pPr>
              <w:jc w:val="center"/>
              <w:rPr>
                <w:rFonts w:cs="Times New Roman"/>
                <w:sz w:val="20"/>
                <w:szCs w:val="20"/>
              </w:rPr>
            </w:pPr>
            <w:r w:rsidRPr="00CA4E8C">
              <w:rPr>
                <w:rFonts w:cs="Times New Roman"/>
                <w:sz w:val="20"/>
                <w:szCs w:val="20"/>
              </w:rPr>
              <w:t>Conventional Standard</w:t>
            </w:r>
            <w:r>
              <w:rPr>
                <w:rFonts w:cs="Times New Roman"/>
                <w:sz w:val="20"/>
                <w:szCs w:val="20"/>
              </w:rPr>
              <w:t xml:space="preserve"> Orchard</w:t>
            </w:r>
          </w:p>
        </w:tc>
        <w:tc>
          <w:tcPr>
            <w:tcW w:w="2268" w:type="dxa"/>
            <w:gridSpan w:val="2"/>
          </w:tcPr>
          <w:p w:rsidR="002F645F" w:rsidRPr="00CA4E8C" w:rsidRDefault="002F645F" w:rsidP="00D33359">
            <w:pPr>
              <w:jc w:val="center"/>
              <w:rPr>
                <w:rFonts w:cs="Times New Roman"/>
                <w:sz w:val="20"/>
                <w:szCs w:val="20"/>
              </w:rPr>
            </w:pPr>
            <w:r w:rsidRPr="00CA4E8C">
              <w:rPr>
                <w:rFonts w:cs="Times New Roman"/>
                <w:sz w:val="20"/>
                <w:szCs w:val="20"/>
              </w:rPr>
              <w:t>Organic Standard</w:t>
            </w:r>
            <w:r>
              <w:rPr>
                <w:rFonts w:cs="Times New Roman"/>
                <w:sz w:val="20"/>
                <w:szCs w:val="20"/>
              </w:rPr>
              <w:t xml:space="preserve"> Orchard</w:t>
            </w:r>
          </w:p>
        </w:tc>
      </w:tr>
      <w:tr w:rsidR="002F645F" w:rsidRPr="00CA4E8C" w:rsidTr="00717F78">
        <w:trPr>
          <w:trHeight w:val="152"/>
        </w:trPr>
        <w:tc>
          <w:tcPr>
            <w:tcW w:w="1701" w:type="dxa"/>
            <w:vMerge w:val="restart"/>
          </w:tcPr>
          <w:p w:rsidR="002F645F" w:rsidRPr="00D04E5A" w:rsidRDefault="002F645F" w:rsidP="00D33359">
            <w:pPr>
              <w:jc w:val="center"/>
              <w:rPr>
                <w:rFonts w:cs="Times New Roman"/>
                <w:sz w:val="20"/>
                <w:szCs w:val="20"/>
              </w:rPr>
            </w:pPr>
            <w:r w:rsidRPr="00D04E5A">
              <w:rPr>
                <w:rFonts w:cs="Times New Roman"/>
                <w:sz w:val="20"/>
                <w:szCs w:val="20"/>
              </w:rPr>
              <w:t>TRF relative abundance</w:t>
            </w:r>
          </w:p>
        </w:tc>
        <w:tc>
          <w:tcPr>
            <w:tcW w:w="2127" w:type="dxa"/>
          </w:tcPr>
          <w:p w:rsidR="002F645F" w:rsidRPr="00D04E5A" w:rsidRDefault="002F645F" w:rsidP="00D33359">
            <w:pPr>
              <w:jc w:val="center"/>
              <w:rPr>
                <w:rFonts w:cs="Times New Roman"/>
                <w:sz w:val="20"/>
                <w:szCs w:val="20"/>
              </w:rPr>
            </w:pPr>
            <w:r w:rsidRPr="00D04E5A">
              <w:rPr>
                <w:rFonts w:cs="Times New Roman"/>
                <w:sz w:val="20"/>
                <w:szCs w:val="20"/>
              </w:rPr>
              <w:t>2 (20.16%)</w:t>
            </w:r>
          </w:p>
        </w:tc>
        <w:tc>
          <w:tcPr>
            <w:tcW w:w="709" w:type="dxa"/>
          </w:tcPr>
          <w:p w:rsidR="002F645F" w:rsidRPr="00D04E5A" w:rsidRDefault="002F645F" w:rsidP="00D33359">
            <w:pPr>
              <w:rPr>
                <w:rFonts w:cs="Times New Roman"/>
                <w:sz w:val="20"/>
                <w:szCs w:val="20"/>
              </w:rPr>
            </w:pPr>
            <w:r w:rsidRPr="00D04E5A">
              <w:rPr>
                <w:rFonts w:cs="Times New Roman"/>
                <w:sz w:val="20"/>
                <w:szCs w:val="20"/>
              </w:rPr>
              <w:t>3.02</w:t>
            </w:r>
          </w:p>
        </w:tc>
        <w:tc>
          <w:tcPr>
            <w:tcW w:w="850" w:type="dxa"/>
          </w:tcPr>
          <w:p w:rsidR="002F645F" w:rsidRPr="00D04E5A" w:rsidRDefault="002F645F" w:rsidP="001066E5">
            <w:pPr>
              <w:jc w:val="left"/>
              <w:rPr>
                <w:rFonts w:cs="Times New Roman"/>
                <w:sz w:val="20"/>
                <w:szCs w:val="20"/>
              </w:rPr>
            </w:pPr>
            <w:r w:rsidRPr="00D04E5A">
              <w:rPr>
                <w:rFonts w:cs="Times New Roman"/>
                <w:sz w:val="20"/>
                <w:szCs w:val="20"/>
              </w:rPr>
              <w:t>0.052</w:t>
            </w:r>
            <w:r w:rsidR="00717F78">
              <w:rPr>
                <w:rFonts w:cs="Times New Roman"/>
                <w:sz w:val="20"/>
                <w:szCs w:val="20"/>
              </w:rPr>
              <w:t>*</w:t>
            </w:r>
          </w:p>
        </w:tc>
        <w:tc>
          <w:tcPr>
            <w:tcW w:w="1135" w:type="dxa"/>
          </w:tcPr>
          <w:p w:rsidR="002F645F" w:rsidRPr="00D04E5A" w:rsidRDefault="002F645F" w:rsidP="00D33359">
            <w:pPr>
              <w:jc w:val="left"/>
              <w:rPr>
                <w:rFonts w:cs="Times New Roman"/>
                <w:sz w:val="20"/>
                <w:szCs w:val="20"/>
              </w:rPr>
            </w:pPr>
            <w:r w:rsidRPr="00D04E5A">
              <w:rPr>
                <w:rFonts w:cs="Times New Roman"/>
                <w:sz w:val="20"/>
                <w:szCs w:val="20"/>
              </w:rPr>
              <w:t>-6.986</w:t>
            </w:r>
            <w:r w:rsidRPr="00D04E5A">
              <w:rPr>
                <w:rFonts w:cs="Times New Roman"/>
                <w:sz w:val="20"/>
                <w:szCs w:val="20"/>
                <w:vertAlign w:val="superscript"/>
              </w:rPr>
              <w:t>A</w:t>
            </w:r>
          </w:p>
        </w:tc>
        <w:tc>
          <w:tcPr>
            <w:tcW w:w="1134" w:type="dxa"/>
          </w:tcPr>
          <w:p w:rsidR="002F645F" w:rsidRPr="00D04E5A" w:rsidRDefault="002F645F" w:rsidP="00D33359">
            <w:pPr>
              <w:rPr>
                <w:rFonts w:cs="Times New Roman"/>
                <w:sz w:val="20"/>
                <w:szCs w:val="20"/>
              </w:rPr>
            </w:pPr>
            <w:r w:rsidRPr="00D04E5A">
              <w:rPr>
                <w:rFonts w:cs="Times New Roman"/>
                <w:sz w:val="20"/>
                <w:szCs w:val="20"/>
              </w:rPr>
              <w:t>(4.212)</w:t>
            </w:r>
          </w:p>
        </w:tc>
        <w:tc>
          <w:tcPr>
            <w:tcW w:w="1134" w:type="dxa"/>
          </w:tcPr>
          <w:p w:rsidR="002F645F" w:rsidRPr="00D04E5A" w:rsidRDefault="002F645F" w:rsidP="00D33359">
            <w:pPr>
              <w:rPr>
                <w:rFonts w:cs="Times New Roman"/>
                <w:sz w:val="20"/>
                <w:szCs w:val="20"/>
              </w:rPr>
            </w:pPr>
            <w:r w:rsidRPr="00D04E5A">
              <w:rPr>
                <w:rFonts w:cs="Times New Roman"/>
                <w:sz w:val="20"/>
                <w:szCs w:val="20"/>
              </w:rPr>
              <w:t>6.515</w:t>
            </w:r>
            <w:r w:rsidRPr="00D04E5A">
              <w:rPr>
                <w:rFonts w:cs="Times New Roman"/>
                <w:sz w:val="20"/>
                <w:szCs w:val="20"/>
                <w:vertAlign w:val="superscript"/>
              </w:rPr>
              <w:t>B</w:t>
            </w:r>
          </w:p>
        </w:tc>
        <w:tc>
          <w:tcPr>
            <w:tcW w:w="1134" w:type="dxa"/>
          </w:tcPr>
          <w:p w:rsidR="002F645F" w:rsidRPr="00D04E5A" w:rsidRDefault="002F645F" w:rsidP="00D33359">
            <w:pPr>
              <w:rPr>
                <w:rFonts w:cs="Times New Roman"/>
                <w:sz w:val="20"/>
                <w:szCs w:val="20"/>
              </w:rPr>
            </w:pPr>
            <w:r w:rsidRPr="00D04E5A">
              <w:rPr>
                <w:rFonts w:cs="Times New Roman"/>
                <w:sz w:val="20"/>
                <w:szCs w:val="20"/>
              </w:rPr>
              <w:t>(3.522)</w:t>
            </w:r>
          </w:p>
        </w:tc>
        <w:tc>
          <w:tcPr>
            <w:tcW w:w="1134" w:type="dxa"/>
          </w:tcPr>
          <w:p w:rsidR="002F645F" w:rsidRPr="00D04E5A" w:rsidRDefault="002F645F" w:rsidP="00D33359">
            <w:pPr>
              <w:rPr>
                <w:rFonts w:cs="Times New Roman"/>
                <w:sz w:val="20"/>
                <w:szCs w:val="20"/>
              </w:rPr>
            </w:pPr>
            <w:r w:rsidRPr="00D04E5A">
              <w:rPr>
                <w:rFonts w:cs="Times New Roman"/>
                <w:sz w:val="20"/>
                <w:szCs w:val="20"/>
              </w:rPr>
              <w:t>0.470</w:t>
            </w:r>
            <w:r w:rsidRPr="00D04E5A">
              <w:rPr>
                <w:rFonts w:cs="Times New Roman"/>
                <w:sz w:val="20"/>
                <w:szCs w:val="20"/>
                <w:vertAlign w:val="superscript"/>
              </w:rPr>
              <w:t>AB</w:t>
            </w:r>
          </w:p>
        </w:tc>
        <w:tc>
          <w:tcPr>
            <w:tcW w:w="1134" w:type="dxa"/>
          </w:tcPr>
          <w:p w:rsidR="002F645F" w:rsidRPr="00D04E5A" w:rsidRDefault="002F645F" w:rsidP="00D33359">
            <w:pPr>
              <w:rPr>
                <w:rFonts w:cs="Times New Roman"/>
                <w:sz w:val="20"/>
                <w:szCs w:val="20"/>
              </w:rPr>
            </w:pPr>
            <w:r w:rsidRPr="00D04E5A">
              <w:rPr>
                <w:rFonts w:cs="Times New Roman"/>
                <w:sz w:val="20"/>
                <w:szCs w:val="20"/>
              </w:rPr>
              <w:t>(3.977)</w:t>
            </w:r>
          </w:p>
        </w:tc>
      </w:tr>
      <w:tr w:rsidR="002F645F" w:rsidRPr="00CA4E8C" w:rsidTr="00717F78">
        <w:tc>
          <w:tcPr>
            <w:tcW w:w="1701" w:type="dxa"/>
            <w:vMerge/>
          </w:tcPr>
          <w:p w:rsidR="002F645F" w:rsidRPr="00D04E5A" w:rsidRDefault="002F645F" w:rsidP="00D33359">
            <w:pPr>
              <w:jc w:val="center"/>
              <w:rPr>
                <w:rFonts w:cs="Times New Roman"/>
                <w:sz w:val="20"/>
                <w:szCs w:val="20"/>
              </w:rPr>
            </w:pPr>
          </w:p>
        </w:tc>
        <w:tc>
          <w:tcPr>
            <w:tcW w:w="2127" w:type="dxa"/>
          </w:tcPr>
          <w:p w:rsidR="002F645F" w:rsidRPr="00D04E5A" w:rsidRDefault="002F645F" w:rsidP="00D33359">
            <w:pPr>
              <w:jc w:val="center"/>
              <w:rPr>
                <w:rFonts w:cs="Times New Roman"/>
                <w:sz w:val="20"/>
                <w:szCs w:val="20"/>
              </w:rPr>
            </w:pPr>
            <w:r w:rsidRPr="00D04E5A">
              <w:rPr>
                <w:rFonts w:cs="Times New Roman"/>
                <w:sz w:val="20"/>
                <w:szCs w:val="20"/>
              </w:rPr>
              <w:t>7 (2.66%)</w:t>
            </w:r>
          </w:p>
        </w:tc>
        <w:tc>
          <w:tcPr>
            <w:tcW w:w="709" w:type="dxa"/>
          </w:tcPr>
          <w:p w:rsidR="002F645F" w:rsidRPr="00D04E5A" w:rsidRDefault="002F645F" w:rsidP="00D33359">
            <w:pPr>
              <w:rPr>
                <w:rFonts w:cs="Times New Roman"/>
                <w:sz w:val="20"/>
                <w:szCs w:val="20"/>
              </w:rPr>
            </w:pPr>
            <w:r w:rsidRPr="00D04E5A">
              <w:rPr>
                <w:rFonts w:cs="Times New Roman"/>
                <w:sz w:val="20"/>
                <w:szCs w:val="20"/>
              </w:rPr>
              <w:t>2.97</w:t>
            </w:r>
          </w:p>
        </w:tc>
        <w:tc>
          <w:tcPr>
            <w:tcW w:w="850" w:type="dxa"/>
          </w:tcPr>
          <w:p w:rsidR="002F645F" w:rsidRPr="00D04E5A" w:rsidRDefault="002F645F" w:rsidP="001066E5">
            <w:pPr>
              <w:jc w:val="left"/>
              <w:rPr>
                <w:rFonts w:cs="Times New Roman"/>
                <w:sz w:val="20"/>
                <w:szCs w:val="20"/>
              </w:rPr>
            </w:pPr>
            <w:r w:rsidRPr="00D04E5A">
              <w:rPr>
                <w:rFonts w:cs="Times New Roman"/>
                <w:sz w:val="20"/>
                <w:szCs w:val="20"/>
              </w:rPr>
              <w:t>0.055</w:t>
            </w:r>
            <w:r w:rsidR="00717F78">
              <w:rPr>
                <w:rFonts w:cs="Times New Roman"/>
                <w:sz w:val="20"/>
                <w:szCs w:val="20"/>
              </w:rPr>
              <w:t>*</w:t>
            </w:r>
          </w:p>
        </w:tc>
        <w:tc>
          <w:tcPr>
            <w:tcW w:w="1135" w:type="dxa"/>
          </w:tcPr>
          <w:p w:rsidR="002F645F" w:rsidRPr="00D04E5A" w:rsidRDefault="002F645F" w:rsidP="00D33359">
            <w:pPr>
              <w:jc w:val="left"/>
              <w:rPr>
                <w:rFonts w:cs="Times New Roman"/>
                <w:sz w:val="20"/>
                <w:szCs w:val="20"/>
              </w:rPr>
            </w:pPr>
            <w:r w:rsidRPr="00D04E5A">
              <w:rPr>
                <w:rFonts w:cs="Times New Roman"/>
                <w:sz w:val="20"/>
                <w:szCs w:val="20"/>
              </w:rPr>
              <w:t>0.418</w:t>
            </w:r>
            <w:r w:rsidRPr="00D04E5A">
              <w:rPr>
                <w:rFonts w:cs="Times New Roman"/>
                <w:sz w:val="20"/>
                <w:szCs w:val="20"/>
                <w:vertAlign w:val="superscript"/>
              </w:rPr>
              <w:t>AB</w:t>
            </w:r>
          </w:p>
        </w:tc>
        <w:tc>
          <w:tcPr>
            <w:tcW w:w="1134" w:type="dxa"/>
          </w:tcPr>
          <w:p w:rsidR="002F645F" w:rsidRPr="00D04E5A" w:rsidRDefault="002F645F" w:rsidP="00D33359">
            <w:pPr>
              <w:rPr>
                <w:rFonts w:cs="Times New Roman"/>
                <w:sz w:val="20"/>
                <w:szCs w:val="20"/>
              </w:rPr>
            </w:pPr>
            <w:r w:rsidRPr="00D04E5A">
              <w:rPr>
                <w:rFonts w:cs="Times New Roman"/>
                <w:sz w:val="20"/>
                <w:szCs w:val="20"/>
              </w:rPr>
              <w:t>(1.095)</w:t>
            </w:r>
          </w:p>
        </w:tc>
        <w:tc>
          <w:tcPr>
            <w:tcW w:w="1134" w:type="dxa"/>
          </w:tcPr>
          <w:p w:rsidR="002F645F" w:rsidRPr="00D04E5A" w:rsidRDefault="002F645F" w:rsidP="00D33359">
            <w:pPr>
              <w:rPr>
                <w:rFonts w:cs="Times New Roman"/>
                <w:sz w:val="20"/>
                <w:szCs w:val="20"/>
              </w:rPr>
            </w:pPr>
            <w:r w:rsidRPr="00D04E5A">
              <w:rPr>
                <w:rFonts w:cs="Times New Roman"/>
                <w:sz w:val="20"/>
                <w:szCs w:val="20"/>
              </w:rPr>
              <w:t>1.926</w:t>
            </w:r>
            <w:r w:rsidRPr="00D04E5A">
              <w:rPr>
                <w:rFonts w:cs="Times New Roman"/>
                <w:sz w:val="20"/>
                <w:szCs w:val="20"/>
                <w:vertAlign w:val="superscript"/>
              </w:rPr>
              <w:t>B</w:t>
            </w:r>
          </w:p>
        </w:tc>
        <w:tc>
          <w:tcPr>
            <w:tcW w:w="1134" w:type="dxa"/>
          </w:tcPr>
          <w:p w:rsidR="002F645F" w:rsidRPr="00D04E5A" w:rsidRDefault="002F645F" w:rsidP="00D33359">
            <w:pPr>
              <w:rPr>
                <w:rFonts w:cs="Times New Roman"/>
                <w:sz w:val="20"/>
                <w:szCs w:val="20"/>
              </w:rPr>
            </w:pPr>
            <w:r w:rsidRPr="00D04E5A">
              <w:rPr>
                <w:rFonts w:cs="Times New Roman"/>
                <w:sz w:val="20"/>
                <w:szCs w:val="20"/>
              </w:rPr>
              <w:t>(1.136)</w:t>
            </w:r>
          </w:p>
        </w:tc>
        <w:tc>
          <w:tcPr>
            <w:tcW w:w="1134" w:type="dxa"/>
          </w:tcPr>
          <w:p w:rsidR="002F645F" w:rsidRPr="00D04E5A" w:rsidRDefault="002F645F" w:rsidP="00D33359">
            <w:pPr>
              <w:rPr>
                <w:rFonts w:cs="Times New Roman"/>
                <w:sz w:val="20"/>
                <w:szCs w:val="20"/>
              </w:rPr>
            </w:pPr>
            <w:r w:rsidRPr="00D04E5A">
              <w:rPr>
                <w:rFonts w:cs="Times New Roman"/>
                <w:sz w:val="20"/>
                <w:szCs w:val="20"/>
              </w:rPr>
              <w:t>-2.344</w:t>
            </w:r>
            <w:r w:rsidRPr="00D04E5A">
              <w:rPr>
                <w:rFonts w:cs="Times New Roman"/>
                <w:sz w:val="20"/>
                <w:szCs w:val="20"/>
                <w:vertAlign w:val="superscript"/>
              </w:rPr>
              <w:t>A</w:t>
            </w:r>
          </w:p>
        </w:tc>
        <w:tc>
          <w:tcPr>
            <w:tcW w:w="1134" w:type="dxa"/>
          </w:tcPr>
          <w:p w:rsidR="002F645F" w:rsidRPr="00D04E5A" w:rsidRDefault="002F645F" w:rsidP="00D33359">
            <w:pPr>
              <w:rPr>
                <w:rFonts w:cs="Times New Roman"/>
                <w:sz w:val="20"/>
                <w:szCs w:val="20"/>
              </w:rPr>
            </w:pPr>
            <w:r w:rsidRPr="00D04E5A">
              <w:rPr>
                <w:rFonts w:cs="Times New Roman"/>
                <w:sz w:val="20"/>
                <w:szCs w:val="20"/>
              </w:rPr>
              <w:t>(1.504)</w:t>
            </w:r>
          </w:p>
        </w:tc>
      </w:tr>
      <w:tr w:rsidR="002F645F" w:rsidRPr="00CA4E8C" w:rsidTr="00717F78">
        <w:trPr>
          <w:trHeight w:val="350"/>
        </w:trPr>
        <w:tc>
          <w:tcPr>
            <w:tcW w:w="1701" w:type="dxa"/>
            <w:vMerge/>
            <w:tcBorders>
              <w:bottom w:val="single" w:sz="4" w:space="0" w:color="auto"/>
            </w:tcBorders>
          </w:tcPr>
          <w:p w:rsidR="002F645F" w:rsidRPr="00D04E5A" w:rsidRDefault="002F645F" w:rsidP="00D33359">
            <w:pPr>
              <w:jc w:val="center"/>
              <w:rPr>
                <w:rFonts w:cs="Times New Roman"/>
                <w:sz w:val="20"/>
                <w:szCs w:val="20"/>
              </w:rPr>
            </w:pPr>
          </w:p>
        </w:tc>
        <w:tc>
          <w:tcPr>
            <w:tcW w:w="2127" w:type="dxa"/>
            <w:tcBorders>
              <w:bottom w:val="single" w:sz="4" w:space="0" w:color="auto"/>
            </w:tcBorders>
          </w:tcPr>
          <w:p w:rsidR="002F645F" w:rsidRPr="00D04E5A" w:rsidRDefault="002F645F" w:rsidP="00D33359">
            <w:pPr>
              <w:jc w:val="center"/>
              <w:rPr>
                <w:rFonts w:cs="Times New Roman"/>
                <w:sz w:val="20"/>
                <w:szCs w:val="20"/>
              </w:rPr>
            </w:pPr>
            <w:r w:rsidRPr="00D04E5A">
              <w:rPr>
                <w:rFonts w:cs="Times New Roman"/>
                <w:sz w:val="20"/>
                <w:szCs w:val="20"/>
              </w:rPr>
              <w:t>9 (2.14%)</w:t>
            </w:r>
          </w:p>
        </w:tc>
        <w:tc>
          <w:tcPr>
            <w:tcW w:w="709" w:type="dxa"/>
            <w:tcBorders>
              <w:bottom w:val="single" w:sz="4" w:space="0" w:color="auto"/>
            </w:tcBorders>
          </w:tcPr>
          <w:p w:rsidR="002F645F" w:rsidRPr="00D04E5A" w:rsidRDefault="002F645F" w:rsidP="00D33359">
            <w:pPr>
              <w:rPr>
                <w:rFonts w:cs="Times New Roman"/>
                <w:sz w:val="20"/>
                <w:szCs w:val="20"/>
              </w:rPr>
            </w:pPr>
            <w:r w:rsidRPr="00D04E5A">
              <w:rPr>
                <w:rFonts w:cs="Times New Roman"/>
                <w:sz w:val="20"/>
                <w:szCs w:val="20"/>
              </w:rPr>
              <w:t>4.11</w:t>
            </w:r>
          </w:p>
        </w:tc>
        <w:tc>
          <w:tcPr>
            <w:tcW w:w="850" w:type="dxa"/>
            <w:tcBorders>
              <w:bottom w:val="single" w:sz="4" w:space="0" w:color="auto"/>
            </w:tcBorders>
          </w:tcPr>
          <w:p w:rsidR="002F645F" w:rsidRPr="00D04E5A" w:rsidRDefault="002F645F" w:rsidP="001066E5">
            <w:pPr>
              <w:jc w:val="left"/>
              <w:rPr>
                <w:rFonts w:cs="Times New Roman"/>
                <w:sz w:val="20"/>
                <w:szCs w:val="20"/>
              </w:rPr>
            </w:pPr>
            <w:r w:rsidRPr="00D04E5A">
              <w:rPr>
                <w:rFonts w:cs="Times New Roman"/>
                <w:sz w:val="20"/>
                <w:szCs w:val="20"/>
              </w:rPr>
              <w:t>0.019</w:t>
            </w:r>
          </w:p>
        </w:tc>
        <w:tc>
          <w:tcPr>
            <w:tcW w:w="1135" w:type="dxa"/>
            <w:tcBorders>
              <w:bottom w:val="single" w:sz="4" w:space="0" w:color="auto"/>
            </w:tcBorders>
          </w:tcPr>
          <w:p w:rsidR="002F645F" w:rsidRPr="00D04E5A" w:rsidRDefault="002F645F" w:rsidP="00D33359">
            <w:pPr>
              <w:jc w:val="left"/>
              <w:rPr>
                <w:rFonts w:cs="Times New Roman"/>
                <w:sz w:val="20"/>
                <w:szCs w:val="20"/>
              </w:rPr>
            </w:pPr>
            <w:r w:rsidRPr="00D04E5A">
              <w:rPr>
                <w:rFonts w:cs="Times New Roman"/>
                <w:sz w:val="20"/>
                <w:szCs w:val="20"/>
              </w:rPr>
              <w:t>1.636</w:t>
            </w:r>
            <w:r w:rsidRPr="00D04E5A">
              <w:rPr>
                <w:rFonts w:cs="Times New Roman"/>
                <w:sz w:val="20"/>
                <w:szCs w:val="20"/>
                <w:vertAlign w:val="superscript"/>
              </w:rPr>
              <w:t>B</w:t>
            </w:r>
          </w:p>
        </w:tc>
        <w:tc>
          <w:tcPr>
            <w:tcW w:w="1134" w:type="dxa"/>
            <w:tcBorders>
              <w:bottom w:val="single" w:sz="4" w:space="0" w:color="auto"/>
            </w:tcBorders>
          </w:tcPr>
          <w:p w:rsidR="002F645F" w:rsidRPr="00D04E5A" w:rsidRDefault="002F645F" w:rsidP="00D33359">
            <w:pPr>
              <w:rPr>
                <w:rFonts w:cs="Times New Roman"/>
                <w:sz w:val="20"/>
                <w:szCs w:val="20"/>
              </w:rPr>
            </w:pPr>
            <w:r w:rsidRPr="00D04E5A">
              <w:rPr>
                <w:rFonts w:cs="Times New Roman"/>
                <w:sz w:val="20"/>
                <w:szCs w:val="20"/>
              </w:rPr>
              <w:t>(0.880)</w:t>
            </w:r>
          </w:p>
        </w:tc>
        <w:tc>
          <w:tcPr>
            <w:tcW w:w="1134" w:type="dxa"/>
            <w:tcBorders>
              <w:bottom w:val="single" w:sz="4" w:space="0" w:color="auto"/>
            </w:tcBorders>
          </w:tcPr>
          <w:p w:rsidR="002F645F" w:rsidRPr="00D04E5A" w:rsidRDefault="002F645F" w:rsidP="00D33359">
            <w:pPr>
              <w:rPr>
                <w:rFonts w:cs="Times New Roman"/>
                <w:sz w:val="20"/>
                <w:szCs w:val="20"/>
              </w:rPr>
            </w:pPr>
            <w:r w:rsidRPr="00D04E5A">
              <w:rPr>
                <w:rFonts w:cs="Times New Roman"/>
                <w:sz w:val="20"/>
                <w:szCs w:val="20"/>
              </w:rPr>
              <w:t>0.883</w:t>
            </w:r>
            <w:r w:rsidRPr="00D04E5A">
              <w:rPr>
                <w:rFonts w:cs="Times New Roman"/>
                <w:sz w:val="20"/>
                <w:szCs w:val="20"/>
                <w:vertAlign w:val="superscript"/>
              </w:rPr>
              <w:t>AB</w:t>
            </w:r>
          </w:p>
        </w:tc>
        <w:tc>
          <w:tcPr>
            <w:tcW w:w="1134" w:type="dxa"/>
            <w:tcBorders>
              <w:bottom w:val="single" w:sz="4" w:space="0" w:color="auto"/>
            </w:tcBorders>
          </w:tcPr>
          <w:p w:rsidR="002F645F" w:rsidRPr="00D04E5A" w:rsidRDefault="002F645F" w:rsidP="00D33359">
            <w:pPr>
              <w:rPr>
                <w:rFonts w:cs="Times New Roman"/>
                <w:sz w:val="20"/>
                <w:szCs w:val="20"/>
              </w:rPr>
            </w:pPr>
            <w:r w:rsidRPr="00D04E5A">
              <w:rPr>
                <w:rFonts w:cs="Times New Roman"/>
                <w:sz w:val="20"/>
                <w:szCs w:val="20"/>
              </w:rPr>
              <w:t>(1.148)</w:t>
            </w:r>
          </w:p>
        </w:tc>
        <w:tc>
          <w:tcPr>
            <w:tcW w:w="1134" w:type="dxa"/>
            <w:tcBorders>
              <w:bottom w:val="single" w:sz="4" w:space="0" w:color="auto"/>
            </w:tcBorders>
          </w:tcPr>
          <w:p w:rsidR="002F645F" w:rsidRPr="00D04E5A" w:rsidRDefault="002F645F" w:rsidP="00D33359">
            <w:pPr>
              <w:rPr>
                <w:rFonts w:cs="Times New Roman"/>
                <w:sz w:val="20"/>
                <w:szCs w:val="20"/>
              </w:rPr>
            </w:pPr>
            <w:r w:rsidRPr="00D04E5A">
              <w:rPr>
                <w:rFonts w:cs="Times New Roman"/>
                <w:sz w:val="20"/>
                <w:szCs w:val="20"/>
              </w:rPr>
              <w:t>-2.519</w:t>
            </w:r>
            <w:r w:rsidRPr="00D04E5A">
              <w:rPr>
                <w:rFonts w:cs="Times New Roman"/>
                <w:sz w:val="20"/>
                <w:szCs w:val="20"/>
                <w:vertAlign w:val="superscript"/>
              </w:rPr>
              <w:t>A</w:t>
            </w:r>
          </w:p>
        </w:tc>
        <w:tc>
          <w:tcPr>
            <w:tcW w:w="1134" w:type="dxa"/>
            <w:tcBorders>
              <w:bottom w:val="single" w:sz="4" w:space="0" w:color="auto"/>
            </w:tcBorders>
          </w:tcPr>
          <w:p w:rsidR="002F645F" w:rsidRPr="00D04E5A" w:rsidRDefault="002F645F" w:rsidP="00D33359">
            <w:pPr>
              <w:rPr>
                <w:rFonts w:cs="Times New Roman"/>
                <w:sz w:val="20"/>
                <w:szCs w:val="20"/>
              </w:rPr>
            </w:pPr>
            <w:r w:rsidRPr="00D04E5A">
              <w:rPr>
                <w:rFonts w:cs="Times New Roman"/>
                <w:sz w:val="20"/>
                <w:szCs w:val="20"/>
              </w:rPr>
              <w:t>(1.298)</w:t>
            </w:r>
          </w:p>
        </w:tc>
      </w:tr>
      <w:tr w:rsidR="002F645F" w:rsidRPr="00CA4E8C" w:rsidTr="00717F78">
        <w:tc>
          <w:tcPr>
            <w:tcW w:w="1701" w:type="dxa"/>
            <w:vMerge w:val="restart"/>
            <w:tcBorders>
              <w:top w:val="single" w:sz="4" w:space="0" w:color="auto"/>
            </w:tcBorders>
          </w:tcPr>
          <w:p w:rsidR="002F645F" w:rsidRPr="00D04E5A" w:rsidRDefault="002F645F" w:rsidP="00D33359">
            <w:pPr>
              <w:jc w:val="center"/>
              <w:rPr>
                <w:rFonts w:cs="Times New Roman"/>
                <w:sz w:val="20"/>
                <w:szCs w:val="20"/>
              </w:rPr>
            </w:pPr>
            <w:r w:rsidRPr="00D04E5A">
              <w:rPr>
                <w:rFonts w:cs="Times New Roman"/>
                <w:sz w:val="20"/>
                <w:szCs w:val="20"/>
              </w:rPr>
              <w:t>TRF presence</w:t>
            </w:r>
          </w:p>
          <w:p w:rsidR="002F645F" w:rsidRPr="00D04E5A" w:rsidRDefault="002F645F" w:rsidP="00D33359">
            <w:pPr>
              <w:jc w:val="center"/>
              <w:rPr>
                <w:rFonts w:cs="Times New Roman"/>
                <w:sz w:val="20"/>
                <w:szCs w:val="20"/>
              </w:rPr>
            </w:pPr>
            <w:r w:rsidRPr="00D04E5A">
              <w:rPr>
                <w:rFonts w:cs="Times New Roman"/>
                <w:sz w:val="20"/>
                <w:szCs w:val="20"/>
              </w:rPr>
              <w:t>/absence</w:t>
            </w:r>
          </w:p>
        </w:tc>
        <w:tc>
          <w:tcPr>
            <w:tcW w:w="2127" w:type="dxa"/>
            <w:tcBorders>
              <w:top w:val="single" w:sz="4" w:space="0" w:color="auto"/>
            </w:tcBorders>
          </w:tcPr>
          <w:p w:rsidR="002F645F" w:rsidRPr="00D04E5A" w:rsidRDefault="002F645F" w:rsidP="00D33359">
            <w:pPr>
              <w:jc w:val="center"/>
              <w:rPr>
                <w:rFonts w:cs="Times New Roman"/>
                <w:sz w:val="20"/>
                <w:szCs w:val="20"/>
              </w:rPr>
            </w:pPr>
            <w:r w:rsidRPr="00D04E5A">
              <w:rPr>
                <w:rFonts w:cs="Times New Roman"/>
                <w:sz w:val="20"/>
                <w:szCs w:val="20"/>
              </w:rPr>
              <w:t>2 (14.93%)</w:t>
            </w:r>
          </w:p>
        </w:tc>
        <w:tc>
          <w:tcPr>
            <w:tcW w:w="709" w:type="dxa"/>
            <w:tcBorders>
              <w:top w:val="single" w:sz="4" w:space="0" w:color="auto"/>
            </w:tcBorders>
          </w:tcPr>
          <w:p w:rsidR="002F645F" w:rsidRPr="00D04E5A" w:rsidRDefault="002F645F" w:rsidP="00D33359">
            <w:pPr>
              <w:rPr>
                <w:rFonts w:cs="Times New Roman"/>
                <w:sz w:val="20"/>
                <w:szCs w:val="20"/>
              </w:rPr>
            </w:pPr>
            <w:r w:rsidRPr="00D04E5A">
              <w:rPr>
                <w:rFonts w:cs="Times New Roman"/>
                <w:sz w:val="20"/>
                <w:szCs w:val="20"/>
              </w:rPr>
              <w:t>5.63</w:t>
            </w:r>
          </w:p>
        </w:tc>
        <w:tc>
          <w:tcPr>
            <w:tcW w:w="850" w:type="dxa"/>
            <w:tcBorders>
              <w:top w:val="single" w:sz="4" w:space="0" w:color="auto"/>
            </w:tcBorders>
          </w:tcPr>
          <w:p w:rsidR="002F645F" w:rsidRPr="00D04E5A" w:rsidRDefault="002F645F" w:rsidP="001066E5">
            <w:pPr>
              <w:jc w:val="left"/>
              <w:rPr>
                <w:rFonts w:cs="Times New Roman"/>
                <w:sz w:val="20"/>
                <w:szCs w:val="20"/>
              </w:rPr>
            </w:pPr>
            <w:r w:rsidRPr="00D04E5A">
              <w:rPr>
                <w:rFonts w:cs="Times New Roman"/>
                <w:sz w:val="20"/>
                <w:szCs w:val="20"/>
              </w:rPr>
              <w:t>0.005</w:t>
            </w:r>
          </w:p>
        </w:tc>
        <w:tc>
          <w:tcPr>
            <w:tcW w:w="1135" w:type="dxa"/>
            <w:tcBorders>
              <w:top w:val="single" w:sz="4" w:space="0" w:color="auto"/>
            </w:tcBorders>
          </w:tcPr>
          <w:p w:rsidR="002F645F" w:rsidRPr="00D04E5A" w:rsidRDefault="002F645F" w:rsidP="00D33359">
            <w:pPr>
              <w:jc w:val="left"/>
              <w:rPr>
                <w:rFonts w:cs="Times New Roman"/>
                <w:sz w:val="20"/>
                <w:szCs w:val="20"/>
              </w:rPr>
            </w:pPr>
            <w:r w:rsidRPr="00D04E5A">
              <w:rPr>
                <w:rFonts w:cs="Times New Roman"/>
                <w:sz w:val="20"/>
                <w:szCs w:val="20"/>
              </w:rPr>
              <w:t>0.297</w:t>
            </w:r>
            <w:r w:rsidRPr="00D04E5A">
              <w:rPr>
                <w:rFonts w:cs="Times New Roman"/>
                <w:sz w:val="20"/>
                <w:szCs w:val="20"/>
                <w:vertAlign w:val="superscript"/>
              </w:rPr>
              <w:t>B</w:t>
            </w:r>
          </w:p>
        </w:tc>
        <w:tc>
          <w:tcPr>
            <w:tcW w:w="1134" w:type="dxa"/>
            <w:tcBorders>
              <w:top w:val="single" w:sz="4" w:space="0" w:color="auto"/>
            </w:tcBorders>
          </w:tcPr>
          <w:p w:rsidR="002F645F" w:rsidRPr="00D04E5A" w:rsidRDefault="002F645F" w:rsidP="00D33359">
            <w:pPr>
              <w:rPr>
                <w:rFonts w:cs="Times New Roman"/>
                <w:sz w:val="20"/>
                <w:szCs w:val="20"/>
              </w:rPr>
            </w:pPr>
            <w:r w:rsidRPr="00D04E5A">
              <w:rPr>
                <w:rFonts w:cs="Times New Roman"/>
                <w:sz w:val="20"/>
                <w:szCs w:val="20"/>
              </w:rPr>
              <w:t>(0.118)</w:t>
            </w:r>
          </w:p>
        </w:tc>
        <w:tc>
          <w:tcPr>
            <w:tcW w:w="1134" w:type="dxa"/>
            <w:tcBorders>
              <w:top w:val="single" w:sz="4" w:space="0" w:color="auto"/>
            </w:tcBorders>
          </w:tcPr>
          <w:p w:rsidR="002F645F" w:rsidRPr="00D04E5A" w:rsidRDefault="002F645F" w:rsidP="00D33359">
            <w:pPr>
              <w:rPr>
                <w:rFonts w:cs="Times New Roman"/>
                <w:sz w:val="20"/>
                <w:szCs w:val="20"/>
              </w:rPr>
            </w:pPr>
            <w:r w:rsidRPr="00D04E5A">
              <w:rPr>
                <w:rFonts w:cs="Times New Roman"/>
                <w:sz w:val="20"/>
                <w:szCs w:val="20"/>
              </w:rPr>
              <w:t>-0.013</w:t>
            </w:r>
            <w:r w:rsidRPr="00D04E5A">
              <w:rPr>
                <w:rFonts w:cs="Times New Roman"/>
                <w:sz w:val="20"/>
                <w:szCs w:val="20"/>
                <w:vertAlign w:val="superscript"/>
              </w:rPr>
              <w:t>AB</w:t>
            </w:r>
          </w:p>
        </w:tc>
        <w:tc>
          <w:tcPr>
            <w:tcW w:w="1134" w:type="dxa"/>
            <w:tcBorders>
              <w:top w:val="single" w:sz="4" w:space="0" w:color="auto"/>
            </w:tcBorders>
          </w:tcPr>
          <w:p w:rsidR="002F645F" w:rsidRPr="00D04E5A" w:rsidRDefault="002F645F" w:rsidP="00D33359">
            <w:pPr>
              <w:rPr>
                <w:rFonts w:cs="Times New Roman"/>
                <w:sz w:val="20"/>
                <w:szCs w:val="20"/>
              </w:rPr>
            </w:pPr>
            <w:r w:rsidRPr="00D04E5A">
              <w:rPr>
                <w:rFonts w:cs="Times New Roman"/>
                <w:sz w:val="20"/>
                <w:szCs w:val="20"/>
              </w:rPr>
              <w:t>(0.127)</w:t>
            </w:r>
          </w:p>
        </w:tc>
        <w:tc>
          <w:tcPr>
            <w:tcW w:w="1134" w:type="dxa"/>
            <w:tcBorders>
              <w:top w:val="single" w:sz="4" w:space="0" w:color="auto"/>
            </w:tcBorders>
          </w:tcPr>
          <w:p w:rsidR="002F645F" w:rsidRPr="00D04E5A" w:rsidRDefault="002F645F" w:rsidP="00D33359">
            <w:pPr>
              <w:rPr>
                <w:rFonts w:cs="Times New Roman"/>
                <w:sz w:val="20"/>
                <w:szCs w:val="20"/>
              </w:rPr>
            </w:pPr>
            <w:r w:rsidRPr="00D04E5A">
              <w:rPr>
                <w:rFonts w:cs="Times New Roman"/>
                <w:sz w:val="20"/>
                <w:szCs w:val="20"/>
              </w:rPr>
              <w:t>-0.284</w:t>
            </w:r>
            <w:r w:rsidRPr="00D04E5A">
              <w:rPr>
                <w:rFonts w:cs="Times New Roman"/>
                <w:sz w:val="20"/>
                <w:szCs w:val="20"/>
                <w:vertAlign w:val="superscript"/>
              </w:rPr>
              <w:t>A</w:t>
            </w:r>
          </w:p>
        </w:tc>
        <w:tc>
          <w:tcPr>
            <w:tcW w:w="1134" w:type="dxa"/>
            <w:tcBorders>
              <w:top w:val="single" w:sz="4" w:space="0" w:color="auto"/>
            </w:tcBorders>
          </w:tcPr>
          <w:p w:rsidR="002F645F" w:rsidRPr="00D04E5A" w:rsidRDefault="002F645F" w:rsidP="00D33359">
            <w:pPr>
              <w:rPr>
                <w:rFonts w:cs="Times New Roman"/>
                <w:sz w:val="20"/>
                <w:szCs w:val="20"/>
              </w:rPr>
            </w:pPr>
            <w:r w:rsidRPr="00D04E5A">
              <w:rPr>
                <w:rFonts w:cs="Times New Roman"/>
                <w:sz w:val="20"/>
                <w:szCs w:val="20"/>
              </w:rPr>
              <w:t>(0.130)</w:t>
            </w:r>
          </w:p>
        </w:tc>
      </w:tr>
      <w:tr w:rsidR="002F645F" w:rsidRPr="00CA4E8C" w:rsidTr="00717F78">
        <w:tc>
          <w:tcPr>
            <w:tcW w:w="1701" w:type="dxa"/>
            <w:vMerge/>
          </w:tcPr>
          <w:p w:rsidR="002F645F" w:rsidRPr="00D04E5A" w:rsidRDefault="002F645F" w:rsidP="00D33359">
            <w:pPr>
              <w:jc w:val="center"/>
              <w:rPr>
                <w:rFonts w:cs="Times New Roman"/>
                <w:sz w:val="20"/>
                <w:szCs w:val="20"/>
              </w:rPr>
            </w:pPr>
          </w:p>
        </w:tc>
        <w:tc>
          <w:tcPr>
            <w:tcW w:w="2127" w:type="dxa"/>
          </w:tcPr>
          <w:p w:rsidR="002F645F" w:rsidRPr="00D04E5A" w:rsidRDefault="002F645F" w:rsidP="00D33359">
            <w:pPr>
              <w:jc w:val="center"/>
              <w:rPr>
                <w:rFonts w:cs="Times New Roman"/>
                <w:sz w:val="20"/>
                <w:szCs w:val="20"/>
              </w:rPr>
            </w:pPr>
            <w:r w:rsidRPr="00D04E5A">
              <w:rPr>
                <w:rFonts w:cs="Times New Roman"/>
                <w:sz w:val="20"/>
                <w:szCs w:val="20"/>
              </w:rPr>
              <w:t>6 (3.94%)</w:t>
            </w:r>
          </w:p>
        </w:tc>
        <w:tc>
          <w:tcPr>
            <w:tcW w:w="709" w:type="dxa"/>
          </w:tcPr>
          <w:p w:rsidR="002F645F" w:rsidRPr="00D04E5A" w:rsidRDefault="002F645F" w:rsidP="00D33359">
            <w:pPr>
              <w:rPr>
                <w:rFonts w:cs="Times New Roman"/>
                <w:sz w:val="20"/>
                <w:szCs w:val="20"/>
              </w:rPr>
            </w:pPr>
            <w:r w:rsidRPr="00D04E5A">
              <w:rPr>
                <w:rFonts w:cs="Times New Roman"/>
                <w:sz w:val="20"/>
                <w:szCs w:val="20"/>
              </w:rPr>
              <w:t>6.62</w:t>
            </w:r>
          </w:p>
        </w:tc>
        <w:tc>
          <w:tcPr>
            <w:tcW w:w="850" w:type="dxa"/>
          </w:tcPr>
          <w:p w:rsidR="002F645F" w:rsidRPr="00D04E5A" w:rsidRDefault="002F645F" w:rsidP="001066E5">
            <w:pPr>
              <w:jc w:val="left"/>
              <w:rPr>
                <w:rFonts w:cs="Times New Roman"/>
                <w:sz w:val="20"/>
                <w:szCs w:val="20"/>
              </w:rPr>
            </w:pPr>
            <w:r w:rsidRPr="00D04E5A">
              <w:rPr>
                <w:rFonts w:cs="Times New Roman"/>
                <w:sz w:val="20"/>
                <w:szCs w:val="20"/>
              </w:rPr>
              <w:t>0.002</w:t>
            </w:r>
          </w:p>
        </w:tc>
        <w:tc>
          <w:tcPr>
            <w:tcW w:w="1135" w:type="dxa"/>
          </w:tcPr>
          <w:p w:rsidR="002F645F" w:rsidRPr="00D04E5A" w:rsidRDefault="002F645F" w:rsidP="00D33359">
            <w:pPr>
              <w:jc w:val="left"/>
              <w:rPr>
                <w:rFonts w:cs="Times New Roman"/>
                <w:sz w:val="20"/>
                <w:szCs w:val="20"/>
              </w:rPr>
            </w:pPr>
            <w:r w:rsidRPr="00D04E5A">
              <w:rPr>
                <w:rFonts w:cs="Times New Roman"/>
                <w:sz w:val="20"/>
                <w:szCs w:val="20"/>
              </w:rPr>
              <w:t>-0.140</w:t>
            </w:r>
            <w:r w:rsidRPr="00D04E5A">
              <w:rPr>
                <w:rFonts w:cs="Times New Roman"/>
                <w:sz w:val="20"/>
                <w:szCs w:val="20"/>
                <w:vertAlign w:val="superscript"/>
              </w:rPr>
              <w:t>A</w:t>
            </w:r>
          </w:p>
        </w:tc>
        <w:tc>
          <w:tcPr>
            <w:tcW w:w="1134" w:type="dxa"/>
          </w:tcPr>
          <w:p w:rsidR="002F645F" w:rsidRPr="00D04E5A" w:rsidRDefault="002F645F" w:rsidP="00D33359">
            <w:pPr>
              <w:rPr>
                <w:rFonts w:cs="Times New Roman"/>
                <w:sz w:val="20"/>
                <w:szCs w:val="20"/>
              </w:rPr>
            </w:pPr>
            <w:r w:rsidRPr="00D04E5A">
              <w:rPr>
                <w:rFonts w:cs="Times New Roman"/>
                <w:sz w:val="20"/>
                <w:szCs w:val="20"/>
              </w:rPr>
              <w:t>(0.070)</w:t>
            </w:r>
          </w:p>
        </w:tc>
        <w:tc>
          <w:tcPr>
            <w:tcW w:w="1134" w:type="dxa"/>
          </w:tcPr>
          <w:p w:rsidR="002F645F" w:rsidRPr="00D04E5A" w:rsidRDefault="002F645F" w:rsidP="00D33359">
            <w:pPr>
              <w:rPr>
                <w:rFonts w:cs="Times New Roman"/>
                <w:sz w:val="20"/>
                <w:szCs w:val="20"/>
              </w:rPr>
            </w:pPr>
            <w:r w:rsidRPr="00D04E5A">
              <w:rPr>
                <w:rFonts w:cs="Times New Roman"/>
                <w:sz w:val="20"/>
                <w:szCs w:val="20"/>
              </w:rPr>
              <w:t>0.175</w:t>
            </w:r>
            <w:r w:rsidRPr="00D04E5A">
              <w:rPr>
                <w:rFonts w:cs="Times New Roman"/>
                <w:sz w:val="20"/>
                <w:szCs w:val="20"/>
                <w:vertAlign w:val="superscript"/>
              </w:rPr>
              <w:t>B</w:t>
            </w:r>
          </w:p>
        </w:tc>
        <w:tc>
          <w:tcPr>
            <w:tcW w:w="1134" w:type="dxa"/>
          </w:tcPr>
          <w:p w:rsidR="002F645F" w:rsidRPr="00D04E5A" w:rsidRDefault="002F645F" w:rsidP="00D33359">
            <w:pPr>
              <w:rPr>
                <w:rFonts w:cs="Times New Roman"/>
                <w:sz w:val="20"/>
                <w:szCs w:val="20"/>
              </w:rPr>
            </w:pPr>
            <w:r w:rsidRPr="00D04E5A">
              <w:rPr>
                <w:rFonts w:cs="Times New Roman"/>
                <w:sz w:val="20"/>
                <w:szCs w:val="20"/>
              </w:rPr>
              <w:t>(0.064)</w:t>
            </w:r>
          </w:p>
        </w:tc>
        <w:tc>
          <w:tcPr>
            <w:tcW w:w="1134" w:type="dxa"/>
          </w:tcPr>
          <w:p w:rsidR="002F645F" w:rsidRPr="00D04E5A" w:rsidRDefault="002F645F" w:rsidP="00D33359">
            <w:pPr>
              <w:rPr>
                <w:rFonts w:cs="Times New Roman"/>
                <w:sz w:val="20"/>
                <w:szCs w:val="20"/>
              </w:rPr>
            </w:pPr>
            <w:r w:rsidRPr="00D04E5A">
              <w:rPr>
                <w:rFonts w:cs="Times New Roman"/>
                <w:sz w:val="20"/>
                <w:szCs w:val="20"/>
              </w:rPr>
              <w:t>-0.035</w:t>
            </w:r>
            <w:r w:rsidRPr="00D04E5A">
              <w:rPr>
                <w:rFonts w:cs="Times New Roman"/>
                <w:sz w:val="20"/>
                <w:szCs w:val="20"/>
                <w:vertAlign w:val="superscript"/>
              </w:rPr>
              <w:t>A</w:t>
            </w:r>
          </w:p>
        </w:tc>
        <w:tc>
          <w:tcPr>
            <w:tcW w:w="1134" w:type="dxa"/>
          </w:tcPr>
          <w:p w:rsidR="002F645F" w:rsidRPr="00D04E5A" w:rsidRDefault="002F645F" w:rsidP="00D33359">
            <w:pPr>
              <w:rPr>
                <w:rFonts w:cs="Times New Roman"/>
                <w:sz w:val="20"/>
                <w:szCs w:val="20"/>
              </w:rPr>
            </w:pPr>
            <w:r w:rsidRPr="00D04E5A">
              <w:rPr>
                <w:rFonts w:cs="Times New Roman"/>
                <w:sz w:val="20"/>
                <w:szCs w:val="20"/>
              </w:rPr>
              <w:t>(0.057)</w:t>
            </w:r>
          </w:p>
        </w:tc>
      </w:tr>
      <w:tr w:rsidR="002F645F" w:rsidRPr="00CA4E8C" w:rsidTr="00717F78">
        <w:tc>
          <w:tcPr>
            <w:tcW w:w="1701" w:type="dxa"/>
            <w:vMerge/>
            <w:tcBorders>
              <w:bottom w:val="single" w:sz="4" w:space="0" w:color="auto"/>
            </w:tcBorders>
          </w:tcPr>
          <w:p w:rsidR="002F645F" w:rsidRPr="00D04E5A" w:rsidRDefault="002F645F" w:rsidP="00D33359">
            <w:pPr>
              <w:jc w:val="center"/>
              <w:rPr>
                <w:rFonts w:cs="Times New Roman"/>
                <w:sz w:val="20"/>
                <w:szCs w:val="20"/>
              </w:rPr>
            </w:pPr>
          </w:p>
        </w:tc>
        <w:tc>
          <w:tcPr>
            <w:tcW w:w="2127" w:type="dxa"/>
            <w:tcBorders>
              <w:bottom w:val="single" w:sz="4" w:space="0" w:color="auto"/>
            </w:tcBorders>
          </w:tcPr>
          <w:p w:rsidR="002F645F" w:rsidRPr="00D04E5A" w:rsidRDefault="002F645F" w:rsidP="00D33359">
            <w:pPr>
              <w:jc w:val="center"/>
              <w:rPr>
                <w:rFonts w:cs="Times New Roman"/>
                <w:sz w:val="20"/>
                <w:szCs w:val="20"/>
              </w:rPr>
            </w:pPr>
            <w:r w:rsidRPr="00D04E5A">
              <w:rPr>
                <w:rFonts w:cs="Times New Roman"/>
                <w:sz w:val="20"/>
                <w:szCs w:val="20"/>
              </w:rPr>
              <w:t>7 (3.64)%</w:t>
            </w:r>
          </w:p>
        </w:tc>
        <w:tc>
          <w:tcPr>
            <w:tcW w:w="709" w:type="dxa"/>
            <w:tcBorders>
              <w:bottom w:val="single" w:sz="4" w:space="0" w:color="auto"/>
            </w:tcBorders>
          </w:tcPr>
          <w:p w:rsidR="002F645F" w:rsidRPr="00D04E5A" w:rsidRDefault="002F645F" w:rsidP="00D33359">
            <w:pPr>
              <w:rPr>
                <w:rFonts w:cs="Times New Roman"/>
                <w:sz w:val="20"/>
                <w:szCs w:val="20"/>
              </w:rPr>
            </w:pPr>
            <w:r w:rsidRPr="00D04E5A">
              <w:rPr>
                <w:rFonts w:cs="Times New Roman"/>
                <w:sz w:val="20"/>
                <w:szCs w:val="20"/>
              </w:rPr>
              <w:t>4.06</w:t>
            </w:r>
          </w:p>
        </w:tc>
        <w:tc>
          <w:tcPr>
            <w:tcW w:w="850" w:type="dxa"/>
            <w:tcBorders>
              <w:bottom w:val="single" w:sz="4" w:space="0" w:color="auto"/>
            </w:tcBorders>
          </w:tcPr>
          <w:p w:rsidR="002F645F" w:rsidRPr="00D04E5A" w:rsidRDefault="002F645F" w:rsidP="001066E5">
            <w:pPr>
              <w:jc w:val="left"/>
              <w:rPr>
                <w:rFonts w:cs="Times New Roman"/>
                <w:sz w:val="20"/>
                <w:szCs w:val="20"/>
              </w:rPr>
            </w:pPr>
            <w:r w:rsidRPr="00D04E5A">
              <w:rPr>
                <w:rFonts w:cs="Times New Roman"/>
                <w:sz w:val="20"/>
                <w:szCs w:val="20"/>
              </w:rPr>
              <w:t>0.020</w:t>
            </w:r>
          </w:p>
        </w:tc>
        <w:tc>
          <w:tcPr>
            <w:tcW w:w="1135" w:type="dxa"/>
            <w:tcBorders>
              <w:bottom w:val="single" w:sz="4" w:space="0" w:color="auto"/>
            </w:tcBorders>
          </w:tcPr>
          <w:p w:rsidR="002F645F" w:rsidRPr="00D04E5A" w:rsidRDefault="002F645F" w:rsidP="00D33359">
            <w:pPr>
              <w:jc w:val="left"/>
              <w:rPr>
                <w:rFonts w:cs="Times New Roman"/>
                <w:sz w:val="20"/>
                <w:szCs w:val="20"/>
              </w:rPr>
            </w:pPr>
            <w:r w:rsidRPr="00D04E5A">
              <w:rPr>
                <w:rFonts w:cs="Times New Roman"/>
                <w:sz w:val="20"/>
                <w:szCs w:val="20"/>
              </w:rPr>
              <w:t>-0.056</w:t>
            </w:r>
            <w:r w:rsidRPr="00D04E5A">
              <w:rPr>
                <w:rFonts w:cs="Times New Roman"/>
                <w:sz w:val="20"/>
                <w:szCs w:val="20"/>
                <w:vertAlign w:val="superscript"/>
              </w:rPr>
              <w:t>AB</w:t>
            </w:r>
          </w:p>
        </w:tc>
        <w:tc>
          <w:tcPr>
            <w:tcW w:w="1134" w:type="dxa"/>
            <w:tcBorders>
              <w:bottom w:val="single" w:sz="4" w:space="0" w:color="auto"/>
            </w:tcBorders>
          </w:tcPr>
          <w:p w:rsidR="002F645F" w:rsidRPr="00D04E5A" w:rsidRDefault="002F645F" w:rsidP="00D33359">
            <w:pPr>
              <w:rPr>
                <w:rFonts w:cs="Times New Roman"/>
                <w:sz w:val="20"/>
                <w:szCs w:val="20"/>
              </w:rPr>
            </w:pPr>
            <w:r w:rsidRPr="00D04E5A">
              <w:rPr>
                <w:rFonts w:cs="Times New Roman"/>
                <w:sz w:val="20"/>
                <w:szCs w:val="20"/>
              </w:rPr>
              <w:t>(0.063)</w:t>
            </w:r>
          </w:p>
        </w:tc>
        <w:tc>
          <w:tcPr>
            <w:tcW w:w="1134" w:type="dxa"/>
            <w:tcBorders>
              <w:bottom w:val="single" w:sz="4" w:space="0" w:color="auto"/>
            </w:tcBorders>
          </w:tcPr>
          <w:p w:rsidR="002F645F" w:rsidRPr="00D04E5A" w:rsidRDefault="002F645F" w:rsidP="00D33359">
            <w:pPr>
              <w:rPr>
                <w:rFonts w:cs="Times New Roman"/>
                <w:sz w:val="20"/>
                <w:szCs w:val="20"/>
              </w:rPr>
            </w:pPr>
            <w:r w:rsidRPr="00D04E5A">
              <w:rPr>
                <w:rFonts w:cs="Times New Roman"/>
                <w:sz w:val="20"/>
                <w:szCs w:val="20"/>
              </w:rPr>
              <w:t>-0.084</w:t>
            </w:r>
            <w:r w:rsidRPr="00D04E5A">
              <w:rPr>
                <w:rFonts w:cs="Times New Roman"/>
                <w:sz w:val="20"/>
                <w:szCs w:val="20"/>
                <w:vertAlign w:val="superscript"/>
              </w:rPr>
              <w:t>A</w:t>
            </w:r>
          </w:p>
        </w:tc>
        <w:tc>
          <w:tcPr>
            <w:tcW w:w="1134" w:type="dxa"/>
            <w:tcBorders>
              <w:bottom w:val="single" w:sz="4" w:space="0" w:color="auto"/>
            </w:tcBorders>
          </w:tcPr>
          <w:p w:rsidR="002F645F" w:rsidRPr="00D04E5A" w:rsidRDefault="002F645F" w:rsidP="00D33359">
            <w:pPr>
              <w:rPr>
                <w:rFonts w:cs="Times New Roman"/>
                <w:sz w:val="20"/>
                <w:szCs w:val="20"/>
              </w:rPr>
            </w:pPr>
            <w:r w:rsidRPr="00D04E5A">
              <w:rPr>
                <w:rFonts w:cs="Times New Roman"/>
                <w:sz w:val="20"/>
                <w:szCs w:val="20"/>
              </w:rPr>
              <w:t>(0.061)</w:t>
            </w:r>
          </w:p>
        </w:tc>
        <w:tc>
          <w:tcPr>
            <w:tcW w:w="1134" w:type="dxa"/>
            <w:tcBorders>
              <w:bottom w:val="single" w:sz="4" w:space="0" w:color="auto"/>
            </w:tcBorders>
          </w:tcPr>
          <w:p w:rsidR="002F645F" w:rsidRPr="00D04E5A" w:rsidRDefault="002F645F" w:rsidP="00D33359">
            <w:pPr>
              <w:rPr>
                <w:rFonts w:cs="Times New Roman"/>
                <w:sz w:val="20"/>
                <w:szCs w:val="20"/>
              </w:rPr>
            </w:pPr>
            <w:r w:rsidRPr="00D04E5A">
              <w:rPr>
                <w:rFonts w:cs="Times New Roman"/>
                <w:sz w:val="20"/>
                <w:szCs w:val="20"/>
              </w:rPr>
              <w:t>0.141</w:t>
            </w:r>
            <w:r w:rsidRPr="00D04E5A">
              <w:rPr>
                <w:rFonts w:cs="Times New Roman"/>
                <w:sz w:val="20"/>
                <w:szCs w:val="20"/>
                <w:vertAlign w:val="superscript"/>
              </w:rPr>
              <w:t>B</w:t>
            </w:r>
          </w:p>
        </w:tc>
        <w:tc>
          <w:tcPr>
            <w:tcW w:w="1134" w:type="dxa"/>
            <w:tcBorders>
              <w:bottom w:val="single" w:sz="4" w:space="0" w:color="auto"/>
            </w:tcBorders>
          </w:tcPr>
          <w:p w:rsidR="002F645F" w:rsidRPr="00D04E5A" w:rsidRDefault="002F645F" w:rsidP="00D33359">
            <w:pPr>
              <w:rPr>
                <w:rFonts w:cs="Times New Roman"/>
                <w:sz w:val="20"/>
                <w:szCs w:val="20"/>
              </w:rPr>
            </w:pPr>
            <w:r w:rsidRPr="00D04E5A">
              <w:rPr>
                <w:rFonts w:cs="Times New Roman"/>
                <w:sz w:val="20"/>
                <w:szCs w:val="20"/>
              </w:rPr>
              <w:t>(0.061)</w:t>
            </w:r>
          </w:p>
        </w:tc>
      </w:tr>
    </w:tbl>
    <w:p w:rsidR="002F645F" w:rsidRDefault="002F645F" w:rsidP="002F645F">
      <w:pPr>
        <w:rPr>
          <w:rFonts w:cs="Times New Roman"/>
          <w:b/>
          <w:noProof/>
          <w:lang w:eastAsia="en-GB"/>
        </w:rPr>
        <w:sectPr w:rsidR="002F645F" w:rsidSect="00D33359">
          <w:pgSz w:w="16838" w:h="11906" w:orient="landscape" w:code="9"/>
          <w:pgMar w:top="2268" w:right="1134" w:bottom="1134" w:left="1134" w:header="709" w:footer="709" w:gutter="0"/>
          <w:cols w:space="708"/>
          <w:docGrid w:linePitch="360"/>
        </w:sectPr>
      </w:pPr>
    </w:p>
    <w:p w:rsidR="000D114A" w:rsidRDefault="00E0714D" w:rsidP="000D114A">
      <w:r>
        <w:rPr>
          <w:noProof/>
          <w:lang w:eastAsia="en-GB"/>
        </w:rPr>
        <w:lastRenderedPageBreak/>
        <w:drawing>
          <wp:inline distT="0" distB="0" distL="0" distR="0">
            <wp:extent cx="5400040" cy="7539990"/>
            <wp:effectExtent l="0" t="0" r="0" b="381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CORRECTIONS Fig 4.3 apple PCA.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00040" cy="7539990"/>
                    </a:xfrm>
                    <a:prstGeom prst="rect">
                      <a:avLst/>
                    </a:prstGeom>
                  </pic:spPr>
                </pic:pic>
              </a:graphicData>
            </a:graphic>
          </wp:inline>
        </w:drawing>
      </w:r>
    </w:p>
    <w:p w:rsidR="002F645F" w:rsidRDefault="002F645F" w:rsidP="000D114A">
      <w:pPr>
        <w:pStyle w:val="Caption"/>
      </w:pPr>
      <w:bookmarkStart w:id="441" w:name="_Toc469982790"/>
      <w:r>
        <w:t xml:space="preserve">Figure </w:t>
      </w:r>
      <w:r w:rsidR="00C44EF5">
        <w:fldChar w:fldCharType="begin"/>
      </w:r>
      <w:r w:rsidR="00C44EF5">
        <w:instrText xml:space="preserve"> STYLEREF 1 \s </w:instrText>
      </w:r>
      <w:r w:rsidR="00C44EF5">
        <w:fldChar w:fldCharType="separate"/>
      </w:r>
      <w:r w:rsidR="00E0714D">
        <w:rPr>
          <w:noProof/>
        </w:rPr>
        <w:t>4</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3</w:t>
      </w:r>
      <w:r w:rsidR="00C44EF5">
        <w:rPr>
          <w:noProof/>
        </w:rPr>
        <w:fldChar w:fldCharType="end"/>
      </w:r>
      <w:r w:rsidRPr="00F55C45">
        <w:t xml:space="preserve"> PCA scores </w:t>
      </w:r>
      <w:r>
        <w:t xml:space="preserve">showing differences in AMF colonising apple trees within three contrasting orchard management types.  Figures (a) and (b) </w:t>
      </w:r>
      <w:r w:rsidRPr="000F2456">
        <w:t>show</w:t>
      </w:r>
      <w:r>
        <w:t xml:space="preserve"> </w:t>
      </w:r>
      <w:r w:rsidRPr="00F55C45">
        <w:t>TRF</w:t>
      </w:r>
      <w:r>
        <w:t xml:space="preserve"> presence/absence data, (c) TRF relative abundance, (d) </w:t>
      </w:r>
      <w:r w:rsidR="00D6785D">
        <w:t>p</w:t>
      </w:r>
      <w:r w:rsidRPr="00F55C45">
        <w:t xml:space="preserve">ercentage variation in data explained by principle components from analysis of relative abundance data and (e) TRF presence/absence. </w:t>
      </w:r>
      <w:r>
        <w:t>Orchard types</w:t>
      </w:r>
      <w:r w:rsidRPr="00F55C45">
        <w:t xml:space="preserve"> are as follows; CB; conventional bush orchard, CS; conventional standard orchar</w:t>
      </w:r>
      <w:r>
        <w:t>d, OS; organic standard orchard</w:t>
      </w:r>
      <w:r w:rsidRPr="00F55C45">
        <w:t xml:space="preserve">. </w:t>
      </w:r>
      <w:r>
        <w:t>Data is presented for 120 trees. Only principal components which show significant difference between orchard types have been plotted.</w:t>
      </w:r>
      <w:bookmarkEnd w:id="441"/>
      <w:r>
        <w:t xml:space="preserve"> </w:t>
      </w:r>
    </w:p>
    <w:p w:rsidR="002F645F" w:rsidRDefault="002E0B65" w:rsidP="002F645F">
      <w:pPr>
        <w:pStyle w:val="Heading3"/>
        <w:jc w:val="left"/>
        <w:rPr>
          <w:rFonts w:cs="Times New Roman"/>
        </w:rPr>
      </w:pPr>
      <w:bookmarkStart w:id="442" w:name="_Toc469855068"/>
      <w:bookmarkStart w:id="443" w:name="_Toc469856068"/>
      <w:bookmarkStart w:id="444" w:name="_Toc469931977"/>
      <w:bookmarkStart w:id="445" w:name="_Toc469982298"/>
      <w:r>
        <w:rPr>
          <w:sz w:val="22"/>
          <w:szCs w:val="22"/>
        </w:rPr>
        <w:lastRenderedPageBreak/>
        <w:t>A</w:t>
      </w:r>
      <w:r w:rsidR="002F645F" w:rsidRPr="00C94A82">
        <w:rPr>
          <w:sz w:val="22"/>
          <w:szCs w:val="22"/>
        </w:rPr>
        <w:t>spect</w:t>
      </w:r>
      <w:r w:rsidR="002F645F">
        <w:rPr>
          <w:sz w:val="22"/>
          <w:szCs w:val="22"/>
        </w:rPr>
        <w:t>s</w:t>
      </w:r>
      <w:r w:rsidR="002F645F" w:rsidRPr="00C94A82">
        <w:rPr>
          <w:sz w:val="22"/>
          <w:szCs w:val="22"/>
        </w:rPr>
        <w:t xml:space="preserve"> of orchard management</w:t>
      </w:r>
      <w:r>
        <w:rPr>
          <w:sz w:val="22"/>
          <w:szCs w:val="22"/>
        </w:rPr>
        <w:t xml:space="preserve"> which</w:t>
      </w:r>
      <w:r w:rsidR="002F645F" w:rsidRPr="00C94A82">
        <w:rPr>
          <w:sz w:val="22"/>
          <w:szCs w:val="22"/>
        </w:rPr>
        <w:t xml:space="preserve"> are most important for </w:t>
      </w:r>
      <w:r w:rsidR="002F645F">
        <w:rPr>
          <w:sz w:val="22"/>
          <w:szCs w:val="22"/>
        </w:rPr>
        <w:t>affecting AMF</w:t>
      </w:r>
      <w:r w:rsidR="002F645F" w:rsidRPr="00C94A82">
        <w:rPr>
          <w:sz w:val="22"/>
          <w:szCs w:val="22"/>
        </w:rPr>
        <w:t xml:space="preserve"> colonising apple trees</w:t>
      </w:r>
      <w:r w:rsidR="002F645F" w:rsidRPr="00BD5AB6">
        <w:rPr>
          <w:rFonts w:cs="Times New Roman"/>
        </w:rPr>
        <w:t>.</w:t>
      </w:r>
      <w:bookmarkEnd w:id="442"/>
      <w:bookmarkEnd w:id="443"/>
      <w:bookmarkEnd w:id="444"/>
      <w:bookmarkEnd w:id="445"/>
      <w:r w:rsidR="002F645F" w:rsidRPr="00BD5AB6">
        <w:rPr>
          <w:rFonts w:cs="Times New Roman"/>
        </w:rPr>
        <w:t xml:space="preserve"> </w:t>
      </w:r>
    </w:p>
    <w:p w:rsidR="002F645F" w:rsidRPr="00CC4C9B" w:rsidRDefault="002F645F" w:rsidP="002F645F">
      <w:pPr>
        <w:pStyle w:val="Heading4"/>
        <w:numPr>
          <w:ilvl w:val="3"/>
          <w:numId w:val="1"/>
        </w:numPr>
      </w:pPr>
      <w:r>
        <w:t>TRF richness and orchard management</w:t>
      </w:r>
    </w:p>
    <w:p w:rsidR="002F645F" w:rsidRPr="00531963" w:rsidRDefault="002E1BE5" w:rsidP="002F645F">
      <w:r>
        <w:t>Measured differences in orchard characteristics and management between the three orchard types examined by this study are summarised in Figure 4.7.</w:t>
      </w:r>
      <w:r w:rsidR="00CA1BD3">
        <w:t xml:space="preserve"> </w:t>
      </w:r>
      <w:r w:rsidR="002F645F" w:rsidRPr="00531963">
        <w:t xml:space="preserve">Of the </w:t>
      </w:r>
      <w:r w:rsidR="001663D1">
        <w:t>nine</w:t>
      </w:r>
      <w:r w:rsidR="002F645F" w:rsidRPr="00531963">
        <w:t xml:space="preserve"> management factors examined, orchard age was the only management factor which showed a significant effect upon TRF richness (</w:t>
      </w:r>
      <w:r w:rsidR="002F645F" w:rsidRPr="00531963">
        <w:fldChar w:fldCharType="begin"/>
      </w:r>
      <w:r w:rsidR="002F645F" w:rsidRPr="00531963">
        <w:instrText xml:space="preserve"> REF _Ref469044159 \h </w:instrText>
      </w:r>
      <w:r w:rsidR="002F645F">
        <w:instrText xml:space="preserve"> \* MERGEFORMAT </w:instrText>
      </w:r>
      <w:r w:rsidR="002F645F" w:rsidRPr="00531963">
        <w:fldChar w:fldCharType="separate"/>
      </w:r>
      <w:r w:rsidR="00E0714D">
        <w:t xml:space="preserve">Table </w:t>
      </w:r>
      <w:r w:rsidR="00E0714D">
        <w:rPr>
          <w:noProof/>
        </w:rPr>
        <w:t>4.3</w:t>
      </w:r>
      <w:r w:rsidR="002F645F" w:rsidRPr="00531963">
        <w:fldChar w:fldCharType="end"/>
      </w:r>
      <w:r w:rsidR="00762151">
        <w:t>)</w:t>
      </w:r>
      <w:r w:rsidR="002F645F" w:rsidRPr="00531963">
        <w:t xml:space="preserve">.  A </w:t>
      </w:r>
      <w:r w:rsidR="002F645F">
        <w:t xml:space="preserve">significant </w:t>
      </w:r>
      <w:r w:rsidR="002F645F" w:rsidRPr="00531963">
        <w:t xml:space="preserve">negative </w:t>
      </w:r>
      <w:r w:rsidR="002F645F">
        <w:t>relationship</w:t>
      </w:r>
      <w:r w:rsidR="002F645F" w:rsidRPr="00531963">
        <w:t xml:space="preserve"> between orchard age and TRF richness was shown (</w:t>
      </w:r>
      <w:r w:rsidR="002F645F" w:rsidRPr="00531963">
        <w:fldChar w:fldCharType="begin"/>
      </w:r>
      <w:r w:rsidR="002F645F" w:rsidRPr="00531963">
        <w:instrText xml:space="preserve"> REF _Ref469065955 \h </w:instrText>
      </w:r>
      <w:r w:rsidR="002F645F">
        <w:instrText xml:space="preserve"> \* MERGEFORMAT </w:instrText>
      </w:r>
      <w:r w:rsidR="002F645F" w:rsidRPr="00531963">
        <w:fldChar w:fldCharType="separate"/>
      </w:r>
      <w:r w:rsidR="00E0714D" w:rsidRPr="000F2456">
        <w:t xml:space="preserve">Figure </w:t>
      </w:r>
      <w:r w:rsidR="00E0714D">
        <w:rPr>
          <w:noProof/>
        </w:rPr>
        <w:t>4</w:t>
      </w:r>
      <w:r w:rsidR="00E0714D" w:rsidRPr="000F2456">
        <w:rPr>
          <w:noProof/>
        </w:rPr>
        <w:t>.</w:t>
      </w:r>
      <w:r w:rsidR="00E0714D">
        <w:rPr>
          <w:noProof/>
        </w:rPr>
        <w:t>5</w:t>
      </w:r>
      <w:r w:rsidR="002F645F" w:rsidRPr="00531963">
        <w:fldChar w:fldCharType="end"/>
      </w:r>
      <w:r w:rsidR="002F645F" w:rsidRPr="00531963">
        <w:t xml:space="preserve">). </w:t>
      </w:r>
    </w:p>
    <w:p w:rsidR="002F645F" w:rsidRPr="00CC4C9B" w:rsidRDefault="002F645F" w:rsidP="002F645F">
      <w:pPr>
        <w:pStyle w:val="Heading4"/>
        <w:numPr>
          <w:ilvl w:val="3"/>
          <w:numId w:val="1"/>
        </w:numPr>
      </w:pPr>
      <w:r>
        <w:t>AMF community composition and orchard management</w:t>
      </w:r>
    </w:p>
    <w:p w:rsidR="002F645F" w:rsidRDefault="002F645F" w:rsidP="002F645F">
      <w:r w:rsidRPr="00531963">
        <w:t xml:space="preserve">DCA1 (eigenvalue: </w:t>
      </w:r>
      <w:r w:rsidRPr="000D22B4">
        <w:t xml:space="preserve">0.39312) </w:t>
      </w:r>
      <w:r w:rsidRPr="00531963">
        <w:t>and DCA2 (eigenvalue: 0.14006</w:t>
      </w:r>
      <w:r w:rsidRPr="000D22B4">
        <w:t>)</w:t>
      </w:r>
      <w:r w:rsidRPr="00531963">
        <w:t xml:space="preserve"> scores accounted for the majority of the variation in the data (&gt;50%) and showed little separation between orchard types (</w:t>
      </w:r>
      <w:r w:rsidR="00C44EF5">
        <w:fldChar w:fldCharType="begin"/>
      </w:r>
      <w:r w:rsidR="00C44EF5">
        <w:instrText xml:space="preserve"> REF _Ref468891942  \* MERGEFORMAT </w:instrText>
      </w:r>
      <w:r w:rsidR="00C44EF5">
        <w:fldChar w:fldCharType="separate"/>
      </w:r>
      <w:r w:rsidR="00E0714D" w:rsidRPr="000F2456">
        <w:t xml:space="preserve">Figure </w:t>
      </w:r>
      <w:r w:rsidR="00E0714D">
        <w:rPr>
          <w:noProof/>
        </w:rPr>
        <w:t>4</w:t>
      </w:r>
      <w:r w:rsidR="00E0714D" w:rsidRPr="000F2456">
        <w:rPr>
          <w:noProof/>
        </w:rPr>
        <w:t>.</w:t>
      </w:r>
      <w:r w:rsidR="00E0714D">
        <w:rPr>
          <w:noProof/>
        </w:rPr>
        <w:t>4</w:t>
      </w:r>
      <w:r w:rsidR="00C44EF5">
        <w:rPr>
          <w:noProof/>
        </w:rPr>
        <w:fldChar w:fldCharType="end"/>
      </w:r>
      <w:r w:rsidRPr="00531963">
        <w:t>).</w:t>
      </w:r>
      <w:r>
        <w:t xml:space="preserve">  Of the ten management factors examined,  only the following four explained any of the variation in community composition between  orchards however all effects were minimal; bare ground area (DCA1: R</w:t>
      </w:r>
      <w:r w:rsidRPr="009B48BB">
        <w:rPr>
          <w:vertAlign w:val="superscript"/>
        </w:rPr>
        <w:t>2</w:t>
      </w:r>
      <w:r>
        <w:t xml:space="preserve"> =0.014, DCA2: R</w:t>
      </w:r>
      <w:r w:rsidRPr="009B48BB">
        <w:rPr>
          <w:vertAlign w:val="superscript"/>
        </w:rPr>
        <w:t>2</w:t>
      </w:r>
      <w:r>
        <w:t xml:space="preserve"> =0.003), P input (DCA1: R</w:t>
      </w:r>
      <w:r w:rsidRPr="009B48BB">
        <w:rPr>
          <w:vertAlign w:val="superscript"/>
        </w:rPr>
        <w:t>2</w:t>
      </w:r>
      <w:r>
        <w:t xml:space="preserve"> = &lt;0.001, DCA2: R</w:t>
      </w:r>
      <w:r w:rsidRPr="009B48BB">
        <w:rPr>
          <w:vertAlign w:val="superscript"/>
        </w:rPr>
        <w:t>2</w:t>
      </w:r>
      <w:r>
        <w:t xml:space="preserve"> =0.020), orchard age (DCA1: R</w:t>
      </w:r>
      <w:r w:rsidRPr="009B48BB">
        <w:rPr>
          <w:vertAlign w:val="superscript"/>
        </w:rPr>
        <w:t>2</w:t>
      </w:r>
      <w:r>
        <w:t xml:space="preserve"> = 0.005, DCA2: R</w:t>
      </w:r>
      <w:r w:rsidRPr="009B48BB">
        <w:rPr>
          <w:vertAlign w:val="superscript"/>
        </w:rPr>
        <w:t>2</w:t>
      </w:r>
      <w:r>
        <w:t xml:space="preserve"> =0.007), and understorey botanical richness (DCA1: R</w:t>
      </w:r>
      <w:r w:rsidRPr="009B48BB">
        <w:rPr>
          <w:vertAlign w:val="superscript"/>
        </w:rPr>
        <w:t>2</w:t>
      </w:r>
      <w:r>
        <w:t xml:space="preserve"> = 0.006, DCA2: R</w:t>
      </w:r>
      <w:r w:rsidRPr="009B48BB">
        <w:rPr>
          <w:vertAlign w:val="superscript"/>
        </w:rPr>
        <w:t>2</w:t>
      </w:r>
      <w:r>
        <w:t xml:space="preserve"> =</w:t>
      </w:r>
      <w:r w:rsidRPr="00B708D4">
        <w:t>0.020) (</w:t>
      </w:r>
      <w:r w:rsidR="00C44EF5">
        <w:fldChar w:fldCharType="begin"/>
      </w:r>
      <w:r w:rsidR="00C44EF5">
        <w:instrText xml:space="preserve"> REF _Ref468891942  \* MERGEFORMAT </w:instrText>
      </w:r>
      <w:r w:rsidR="00C44EF5">
        <w:fldChar w:fldCharType="separate"/>
      </w:r>
      <w:r w:rsidR="00E0714D" w:rsidRPr="00F00459">
        <w:rPr>
          <w:sz w:val="20"/>
          <w:szCs w:val="20"/>
        </w:rPr>
        <w:t xml:space="preserve">Figure </w:t>
      </w:r>
      <w:r w:rsidR="00E0714D" w:rsidRPr="00F00459">
        <w:rPr>
          <w:noProof/>
          <w:sz w:val="20"/>
          <w:szCs w:val="20"/>
        </w:rPr>
        <w:t>4.4</w:t>
      </w:r>
      <w:r w:rsidR="00C44EF5">
        <w:rPr>
          <w:noProof/>
          <w:sz w:val="20"/>
          <w:szCs w:val="20"/>
        </w:rPr>
        <w:fldChar w:fldCharType="end"/>
      </w:r>
      <w:r>
        <w:t xml:space="preserve">). </w:t>
      </w:r>
    </w:p>
    <w:p w:rsidR="002F645F" w:rsidRPr="008613A8" w:rsidRDefault="002F645F" w:rsidP="002F645F"/>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1984"/>
        <w:gridCol w:w="1843"/>
        <w:gridCol w:w="1417"/>
      </w:tblGrid>
      <w:tr w:rsidR="002F645F" w:rsidRPr="00C806C2" w:rsidTr="00D33359">
        <w:tc>
          <w:tcPr>
            <w:tcW w:w="8505" w:type="dxa"/>
            <w:gridSpan w:val="4"/>
            <w:tcBorders>
              <w:bottom w:val="single" w:sz="4" w:space="0" w:color="auto"/>
            </w:tcBorders>
          </w:tcPr>
          <w:p w:rsidR="002F645F" w:rsidRPr="00C806C2" w:rsidRDefault="002F645F" w:rsidP="000F2456">
            <w:pPr>
              <w:pStyle w:val="Caption"/>
            </w:pPr>
            <w:bookmarkStart w:id="446" w:name="_Ref469044159"/>
            <w:bookmarkStart w:id="447" w:name="_Toc469868584"/>
            <w:r>
              <w:t xml:space="preserve">Table </w:t>
            </w:r>
            <w:r w:rsidR="00C44EF5">
              <w:fldChar w:fldCharType="begin"/>
            </w:r>
            <w:r w:rsidR="00C44EF5">
              <w:instrText xml:space="preserve"> STYLEREF 1 \s </w:instrText>
            </w:r>
            <w:r w:rsidR="00C44EF5">
              <w:fldChar w:fldCharType="separate"/>
            </w:r>
            <w:r w:rsidR="00E0714D">
              <w:rPr>
                <w:noProof/>
              </w:rPr>
              <w:t>4</w:t>
            </w:r>
            <w:r w:rsidR="00C44EF5">
              <w:rPr>
                <w:noProof/>
              </w:rPr>
              <w:fldChar w:fldCharType="end"/>
            </w:r>
            <w:r>
              <w:t>.</w:t>
            </w:r>
            <w:r w:rsidR="00C44EF5">
              <w:fldChar w:fldCharType="begin"/>
            </w:r>
            <w:r w:rsidR="00C44EF5">
              <w:instrText xml:space="preserve"> SEQ Table \* ARABIC \s 1 </w:instrText>
            </w:r>
            <w:r w:rsidR="00C44EF5">
              <w:fldChar w:fldCharType="separate"/>
            </w:r>
            <w:r w:rsidR="00E0714D">
              <w:rPr>
                <w:noProof/>
              </w:rPr>
              <w:t>3</w:t>
            </w:r>
            <w:r w:rsidR="00C44EF5">
              <w:rPr>
                <w:noProof/>
              </w:rPr>
              <w:fldChar w:fldCharType="end"/>
            </w:r>
            <w:bookmarkEnd w:id="446"/>
            <w:r w:rsidRPr="00C806C2">
              <w:t xml:space="preserve"> </w:t>
            </w:r>
            <w:r w:rsidRPr="00DD21B0">
              <w:t xml:space="preserve">Effect of orchard management </w:t>
            </w:r>
            <w:r>
              <w:t xml:space="preserve">factors </w:t>
            </w:r>
            <w:r w:rsidRPr="00DD21B0">
              <w:t>on TRF richness</w:t>
            </w:r>
            <w:r>
              <w:t xml:space="preserve"> per tree</w:t>
            </w:r>
            <w:r w:rsidRPr="00DD21B0">
              <w:t xml:space="preserve"> using a linear mixed effects model. Reference </w:t>
            </w:r>
            <w:r w:rsidRPr="000F2456">
              <w:t>categories</w:t>
            </w:r>
            <w:r w:rsidRPr="00DD21B0">
              <w:t xml:space="preserve"> for categorical variable</w:t>
            </w:r>
            <w:r>
              <w:t>s</w:t>
            </w:r>
            <w:r w:rsidRPr="00DD21B0">
              <w:t>; Grazed = grazed, Fruit variety = mixed</w:t>
            </w:r>
            <w:r>
              <w:t>. Orchard type conventional standard orchard (CS) and organic standard orchard (OS) were compared to the reference value of conventional bush orchards. Site was included as a random factor in all models. (n= 15</w:t>
            </w:r>
            <w:r w:rsidRPr="00DD21B0">
              <w:t>0) *P &lt; 0.05</w:t>
            </w:r>
            <w:bookmarkEnd w:id="447"/>
            <w:r>
              <w:t xml:space="preserve"> </w:t>
            </w:r>
          </w:p>
        </w:tc>
      </w:tr>
      <w:tr w:rsidR="002F645F" w:rsidRPr="00953F67" w:rsidTr="00D33359">
        <w:tc>
          <w:tcPr>
            <w:tcW w:w="3261" w:type="dxa"/>
            <w:tcBorders>
              <w:top w:val="single" w:sz="4" w:space="0" w:color="auto"/>
              <w:bottom w:val="single" w:sz="4" w:space="0" w:color="auto"/>
            </w:tcBorders>
          </w:tcPr>
          <w:p w:rsidR="002F645F" w:rsidRPr="00953F67" w:rsidRDefault="002F645F" w:rsidP="00D33359">
            <w:pPr>
              <w:rPr>
                <w:b/>
                <w:sz w:val="20"/>
                <w:szCs w:val="20"/>
              </w:rPr>
            </w:pPr>
            <w:r w:rsidRPr="00953F67">
              <w:rPr>
                <w:b/>
                <w:sz w:val="20"/>
                <w:szCs w:val="20"/>
              </w:rPr>
              <w:t>Management factor</w:t>
            </w:r>
          </w:p>
        </w:tc>
        <w:tc>
          <w:tcPr>
            <w:tcW w:w="1984" w:type="dxa"/>
            <w:tcBorders>
              <w:top w:val="single" w:sz="4" w:space="0" w:color="auto"/>
              <w:bottom w:val="single" w:sz="4" w:space="0" w:color="auto"/>
            </w:tcBorders>
          </w:tcPr>
          <w:p w:rsidR="002F645F" w:rsidRPr="00953F67" w:rsidRDefault="002F645F" w:rsidP="00D33359">
            <w:pPr>
              <w:rPr>
                <w:b/>
                <w:sz w:val="20"/>
                <w:szCs w:val="20"/>
              </w:rPr>
            </w:pPr>
            <w:r w:rsidRPr="00953F67">
              <w:rPr>
                <w:b/>
                <w:sz w:val="20"/>
                <w:szCs w:val="20"/>
              </w:rPr>
              <w:t>Parameter estimate</w:t>
            </w:r>
          </w:p>
        </w:tc>
        <w:tc>
          <w:tcPr>
            <w:tcW w:w="1843" w:type="dxa"/>
            <w:tcBorders>
              <w:top w:val="single" w:sz="4" w:space="0" w:color="auto"/>
              <w:bottom w:val="single" w:sz="4" w:space="0" w:color="auto"/>
            </w:tcBorders>
          </w:tcPr>
          <w:p w:rsidR="002F645F" w:rsidRPr="00953F67" w:rsidRDefault="002F645F" w:rsidP="00D33359">
            <w:pPr>
              <w:rPr>
                <w:b/>
                <w:sz w:val="20"/>
                <w:szCs w:val="20"/>
              </w:rPr>
            </w:pPr>
            <w:r w:rsidRPr="00953F67">
              <w:rPr>
                <w:b/>
                <w:sz w:val="20"/>
                <w:szCs w:val="20"/>
              </w:rPr>
              <w:t xml:space="preserve"> </w:t>
            </w:r>
            <w:r w:rsidRPr="00953F67">
              <w:rPr>
                <w:rFonts w:cs="Times New Roman"/>
                <w:b/>
                <w:sz w:val="20"/>
                <w:szCs w:val="20"/>
              </w:rPr>
              <w:t>±</w:t>
            </w:r>
            <w:r w:rsidRPr="00953F67">
              <w:rPr>
                <w:b/>
                <w:sz w:val="20"/>
                <w:szCs w:val="20"/>
              </w:rPr>
              <w:t>SE</w:t>
            </w:r>
          </w:p>
        </w:tc>
        <w:tc>
          <w:tcPr>
            <w:tcW w:w="1417" w:type="dxa"/>
            <w:tcBorders>
              <w:top w:val="single" w:sz="4" w:space="0" w:color="auto"/>
              <w:bottom w:val="single" w:sz="4" w:space="0" w:color="auto"/>
            </w:tcBorders>
          </w:tcPr>
          <w:p w:rsidR="002F645F" w:rsidRPr="00953F67" w:rsidRDefault="002F645F" w:rsidP="00D33359">
            <w:pPr>
              <w:rPr>
                <w:b/>
                <w:sz w:val="20"/>
                <w:szCs w:val="20"/>
              </w:rPr>
            </w:pPr>
            <w:r w:rsidRPr="00953F67">
              <w:rPr>
                <w:b/>
                <w:sz w:val="20"/>
                <w:szCs w:val="20"/>
              </w:rPr>
              <w:t>P value</w:t>
            </w:r>
          </w:p>
        </w:tc>
      </w:tr>
      <w:tr w:rsidR="002F645F" w:rsidRPr="00C806C2" w:rsidTr="00D33359">
        <w:tc>
          <w:tcPr>
            <w:tcW w:w="3261" w:type="dxa"/>
            <w:tcBorders>
              <w:top w:val="single" w:sz="4" w:space="0" w:color="auto"/>
            </w:tcBorders>
          </w:tcPr>
          <w:p w:rsidR="002F645F" w:rsidRPr="00C806C2" w:rsidRDefault="002F645F" w:rsidP="00D33359">
            <w:pPr>
              <w:rPr>
                <w:sz w:val="20"/>
                <w:szCs w:val="20"/>
              </w:rPr>
            </w:pPr>
            <w:r>
              <w:rPr>
                <w:sz w:val="20"/>
                <w:szCs w:val="20"/>
              </w:rPr>
              <w:t>Orchard type</w:t>
            </w:r>
          </w:p>
        </w:tc>
        <w:tc>
          <w:tcPr>
            <w:tcW w:w="1984" w:type="dxa"/>
            <w:tcBorders>
              <w:top w:val="single" w:sz="4" w:space="0" w:color="auto"/>
            </w:tcBorders>
          </w:tcPr>
          <w:p w:rsidR="002F645F" w:rsidRPr="00C806C2" w:rsidRDefault="002F645F" w:rsidP="00D33359">
            <w:pPr>
              <w:jc w:val="left"/>
              <w:rPr>
                <w:sz w:val="20"/>
                <w:szCs w:val="20"/>
              </w:rPr>
            </w:pPr>
            <w:r>
              <w:rPr>
                <w:sz w:val="20"/>
                <w:szCs w:val="20"/>
              </w:rPr>
              <w:t>CS -0.552, OS -1.879</w:t>
            </w:r>
          </w:p>
        </w:tc>
        <w:tc>
          <w:tcPr>
            <w:tcW w:w="1843" w:type="dxa"/>
            <w:tcBorders>
              <w:top w:val="single" w:sz="4" w:space="0" w:color="auto"/>
            </w:tcBorders>
          </w:tcPr>
          <w:p w:rsidR="002F645F" w:rsidRPr="00C806C2" w:rsidRDefault="002F645F" w:rsidP="00D33359">
            <w:pPr>
              <w:rPr>
                <w:sz w:val="20"/>
                <w:szCs w:val="20"/>
              </w:rPr>
            </w:pPr>
            <w:r>
              <w:rPr>
                <w:sz w:val="20"/>
                <w:szCs w:val="20"/>
              </w:rPr>
              <w:t>CS 2.490, OS 2.521</w:t>
            </w:r>
          </w:p>
        </w:tc>
        <w:tc>
          <w:tcPr>
            <w:tcW w:w="1417" w:type="dxa"/>
            <w:tcBorders>
              <w:top w:val="single" w:sz="4" w:space="0" w:color="auto"/>
            </w:tcBorders>
          </w:tcPr>
          <w:p w:rsidR="002F645F" w:rsidRPr="00C806C2" w:rsidRDefault="002F645F" w:rsidP="00D33359">
            <w:pPr>
              <w:rPr>
                <w:sz w:val="20"/>
                <w:szCs w:val="20"/>
              </w:rPr>
            </w:pPr>
            <w:r>
              <w:rPr>
                <w:sz w:val="20"/>
                <w:szCs w:val="20"/>
              </w:rPr>
              <w:t>0.401</w:t>
            </w:r>
          </w:p>
        </w:tc>
      </w:tr>
      <w:tr w:rsidR="002F645F" w:rsidRPr="00C806C2" w:rsidTr="00D33359">
        <w:tc>
          <w:tcPr>
            <w:tcW w:w="3261" w:type="dxa"/>
          </w:tcPr>
          <w:p w:rsidR="002F645F" w:rsidRPr="00C806C2" w:rsidRDefault="002F645F" w:rsidP="00D33359">
            <w:pPr>
              <w:rPr>
                <w:sz w:val="20"/>
                <w:szCs w:val="20"/>
              </w:rPr>
            </w:pPr>
            <w:r w:rsidRPr="00C806C2">
              <w:rPr>
                <w:sz w:val="20"/>
                <w:szCs w:val="20"/>
              </w:rPr>
              <w:t>N input</w:t>
            </w:r>
          </w:p>
        </w:tc>
        <w:tc>
          <w:tcPr>
            <w:tcW w:w="1984" w:type="dxa"/>
          </w:tcPr>
          <w:p w:rsidR="002F645F" w:rsidRPr="00C806C2" w:rsidRDefault="002F645F" w:rsidP="00D33359">
            <w:pPr>
              <w:jc w:val="left"/>
              <w:rPr>
                <w:sz w:val="20"/>
                <w:szCs w:val="20"/>
              </w:rPr>
            </w:pPr>
            <w:r>
              <w:rPr>
                <w:sz w:val="20"/>
                <w:szCs w:val="20"/>
              </w:rPr>
              <w:t>-0.010</w:t>
            </w:r>
          </w:p>
        </w:tc>
        <w:tc>
          <w:tcPr>
            <w:tcW w:w="1843" w:type="dxa"/>
          </w:tcPr>
          <w:p w:rsidR="002F645F" w:rsidRPr="00C806C2" w:rsidRDefault="002F645F" w:rsidP="00D33359">
            <w:pPr>
              <w:rPr>
                <w:sz w:val="20"/>
                <w:szCs w:val="20"/>
              </w:rPr>
            </w:pPr>
            <w:r>
              <w:rPr>
                <w:sz w:val="20"/>
                <w:szCs w:val="20"/>
              </w:rPr>
              <w:t>0.040</w:t>
            </w:r>
          </w:p>
        </w:tc>
        <w:tc>
          <w:tcPr>
            <w:tcW w:w="1417" w:type="dxa"/>
          </w:tcPr>
          <w:p w:rsidR="002F645F" w:rsidRPr="00C806C2" w:rsidRDefault="002F645F" w:rsidP="00D33359">
            <w:pPr>
              <w:rPr>
                <w:sz w:val="20"/>
                <w:szCs w:val="20"/>
              </w:rPr>
            </w:pPr>
            <w:r>
              <w:rPr>
                <w:sz w:val="20"/>
                <w:szCs w:val="20"/>
              </w:rPr>
              <w:t>0.794</w:t>
            </w:r>
          </w:p>
        </w:tc>
      </w:tr>
      <w:tr w:rsidR="002F645F" w:rsidRPr="00C806C2" w:rsidTr="00D33359">
        <w:tc>
          <w:tcPr>
            <w:tcW w:w="3261" w:type="dxa"/>
          </w:tcPr>
          <w:p w:rsidR="002F645F" w:rsidRPr="00C806C2" w:rsidRDefault="002F645F" w:rsidP="00D33359">
            <w:pPr>
              <w:rPr>
                <w:sz w:val="20"/>
                <w:szCs w:val="20"/>
              </w:rPr>
            </w:pPr>
            <w:r w:rsidRPr="00C806C2">
              <w:rPr>
                <w:sz w:val="20"/>
                <w:szCs w:val="20"/>
              </w:rPr>
              <w:t>P input</w:t>
            </w:r>
          </w:p>
        </w:tc>
        <w:tc>
          <w:tcPr>
            <w:tcW w:w="1984" w:type="dxa"/>
          </w:tcPr>
          <w:p w:rsidR="002F645F" w:rsidRPr="00C806C2" w:rsidRDefault="002F645F" w:rsidP="00D33359">
            <w:pPr>
              <w:jc w:val="left"/>
              <w:rPr>
                <w:sz w:val="20"/>
                <w:szCs w:val="20"/>
              </w:rPr>
            </w:pPr>
            <w:r>
              <w:rPr>
                <w:sz w:val="20"/>
                <w:szCs w:val="20"/>
              </w:rPr>
              <w:t>-0.098</w:t>
            </w:r>
          </w:p>
        </w:tc>
        <w:tc>
          <w:tcPr>
            <w:tcW w:w="1843" w:type="dxa"/>
          </w:tcPr>
          <w:p w:rsidR="002F645F" w:rsidRPr="00C806C2" w:rsidRDefault="002F645F" w:rsidP="00D33359">
            <w:pPr>
              <w:rPr>
                <w:sz w:val="20"/>
                <w:szCs w:val="20"/>
              </w:rPr>
            </w:pPr>
            <w:r>
              <w:rPr>
                <w:sz w:val="20"/>
                <w:szCs w:val="20"/>
              </w:rPr>
              <w:t>0.136</w:t>
            </w:r>
          </w:p>
        </w:tc>
        <w:tc>
          <w:tcPr>
            <w:tcW w:w="1417" w:type="dxa"/>
          </w:tcPr>
          <w:p w:rsidR="002F645F" w:rsidRPr="00C806C2" w:rsidRDefault="002F645F" w:rsidP="00D33359">
            <w:pPr>
              <w:rPr>
                <w:sz w:val="20"/>
                <w:szCs w:val="20"/>
              </w:rPr>
            </w:pPr>
            <w:r>
              <w:rPr>
                <w:sz w:val="20"/>
                <w:szCs w:val="20"/>
              </w:rPr>
              <w:t>0.471</w:t>
            </w:r>
          </w:p>
        </w:tc>
      </w:tr>
      <w:tr w:rsidR="002F645F" w:rsidRPr="00C806C2" w:rsidTr="00D33359">
        <w:tc>
          <w:tcPr>
            <w:tcW w:w="3261" w:type="dxa"/>
          </w:tcPr>
          <w:p w:rsidR="002F645F" w:rsidRPr="00C806C2" w:rsidRDefault="002F645F" w:rsidP="00D33359">
            <w:pPr>
              <w:rPr>
                <w:b/>
                <w:sz w:val="20"/>
                <w:szCs w:val="20"/>
              </w:rPr>
            </w:pPr>
            <w:r w:rsidRPr="00C806C2">
              <w:rPr>
                <w:b/>
                <w:sz w:val="20"/>
                <w:szCs w:val="20"/>
              </w:rPr>
              <w:t>Orchard age</w:t>
            </w:r>
          </w:p>
        </w:tc>
        <w:tc>
          <w:tcPr>
            <w:tcW w:w="1984" w:type="dxa"/>
          </w:tcPr>
          <w:p w:rsidR="002F645F" w:rsidRPr="00C806C2" w:rsidRDefault="002F645F" w:rsidP="00D33359">
            <w:pPr>
              <w:jc w:val="left"/>
              <w:rPr>
                <w:b/>
                <w:sz w:val="20"/>
                <w:szCs w:val="20"/>
              </w:rPr>
            </w:pPr>
            <w:r>
              <w:rPr>
                <w:b/>
                <w:sz w:val="20"/>
                <w:szCs w:val="20"/>
              </w:rPr>
              <w:t>-0.042</w:t>
            </w:r>
          </w:p>
        </w:tc>
        <w:tc>
          <w:tcPr>
            <w:tcW w:w="1843" w:type="dxa"/>
          </w:tcPr>
          <w:p w:rsidR="002F645F" w:rsidRPr="00C806C2" w:rsidRDefault="002F645F" w:rsidP="00D33359">
            <w:pPr>
              <w:rPr>
                <w:b/>
                <w:sz w:val="20"/>
                <w:szCs w:val="20"/>
              </w:rPr>
            </w:pPr>
            <w:r>
              <w:rPr>
                <w:b/>
                <w:sz w:val="20"/>
                <w:szCs w:val="20"/>
              </w:rPr>
              <w:t>0.021</w:t>
            </w:r>
          </w:p>
        </w:tc>
        <w:tc>
          <w:tcPr>
            <w:tcW w:w="1417" w:type="dxa"/>
          </w:tcPr>
          <w:p w:rsidR="002F645F" w:rsidRPr="00C806C2" w:rsidRDefault="002F645F" w:rsidP="00D33359">
            <w:pPr>
              <w:rPr>
                <w:b/>
                <w:sz w:val="20"/>
                <w:szCs w:val="20"/>
              </w:rPr>
            </w:pPr>
            <w:r>
              <w:rPr>
                <w:b/>
                <w:sz w:val="20"/>
                <w:szCs w:val="20"/>
              </w:rPr>
              <w:t>0.046</w:t>
            </w:r>
            <w:r w:rsidRPr="00C806C2">
              <w:rPr>
                <w:b/>
                <w:sz w:val="20"/>
                <w:szCs w:val="20"/>
              </w:rPr>
              <w:t>*</w:t>
            </w:r>
          </w:p>
        </w:tc>
      </w:tr>
      <w:tr w:rsidR="002F645F" w:rsidRPr="00C806C2" w:rsidTr="00D33359">
        <w:tc>
          <w:tcPr>
            <w:tcW w:w="3261" w:type="dxa"/>
          </w:tcPr>
          <w:p w:rsidR="002F645F" w:rsidRPr="00C806C2" w:rsidRDefault="002F645F" w:rsidP="00D33359">
            <w:pPr>
              <w:rPr>
                <w:sz w:val="20"/>
                <w:szCs w:val="20"/>
              </w:rPr>
            </w:pPr>
            <w:r w:rsidRPr="00C806C2">
              <w:rPr>
                <w:sz w:val="20"/>
                <w:szCs w:val="20"/>
              </w:rPr>
              <w:t>Vegetation height</w:t>
            </w:r>
          </w:p>
        </w:tc>
        <w:tc>
          <w:tcPr>
            <w:tcW w:w="1984" w:type="dxa"/>
          </w:tcPr>
          <w:p w:rsidR="002F645F" w:rsidRPr="00C806C2" w:rsidRDefault="002F645F" w:rsidP="00D33359">
            <w:pPr>
              <w:jc w:val="left"/>
              <w:rPr>
                <w:sz w:val="20"/>
                <w:szCs w:val="20"/>
              </w:rPr>
            </w:pPr>
            <w:r>
              <w:rPr>
                <w:sz w:val="20"/>
                <w:szCs w:val="20"/>
              </w:rPr>
              <w:t>-0.035</w:t>
            </w:r>
          </w:p>
        </w:tc>
        <w:tc>
          <w:tcPr>
            <w:tcW w:w="1843" w:type="dxa"/>
          </w:tcPr>
          <w:p w:rsidR="002F645F" w:rsidRPr="00C806C2" w:rsidRDefault="002F645F" w:rsidP="00D33359">
            <w:pPr>
              <w:rPr>
                <w:sz w:val="20"/>
                <w:szCs w:val="20"/>
              </w:rPr>
            </w:pPr>
            <w:r w:rsidRPr="00C806C2">
              <w:rPr>
                <w:sz w:val="20"/>
                <w:szCs w:val="20"/>
              </w:rPr>
              <w:t>0</w:t>
            </w:r>
            <w:r>
              <w:rPr>
                <w:sz w:val="20"/>
                <w:szCs w:val="20"/>
              </w:rPr>
              <w:t>.042</w:t>
            </w:r>
          </w:p>
        </w:tc>
        <w:tc>
          <w:tcPr>
            <w:tcW w:w="1417" w:type="dxa"/>
          </w:tcPr>
          <w:p w:rsidR="002F645F" w:rsidRPr="00C806C2" w:rsidRDefault="002F645F" w:rsidP="00D33359">
            <w:pPr>
              <w:rPr>
                <w:sz w:val="20"/>
                <w:szCs w:val="20"/>
              </w:rPr>
            </w:pPr>
            <w:r w:rsidRPr="00C806C2">
              <w:rPr>
                <w:sz w:val="20"/>
                <w:szCs w:val="20"/>
              </w:rPr>
              <w:t>0</w:t>
            </w:r>
            <w:r>
              <w:rPr>
                <w:sz w:val="20"/>
                <w:szCs w:val="20"/>
              </w:rPr>
              <w:t>.398</w:t>
            </w:r>
          </w:p>
        </w:tc>
      </w:tr>
      <w:tr w:rsidR="002F645F" w:rsidRPr="00C806C2" w:rsidTr="00D33359">
        <w:tc>
          <w:tcPr>
            <w:tcW w:w="3261" w:type="dxa"/>
          </w:tcPr>
          <w:p w:rsidR="002F645F" w:rsidRPr="00C806C2" w:rsidRDefault="002F645F" w:rsidP="00D33359">
            <w:pPr>
              <w:rPr>
                <w:sz w:val="20"/>
                <w:szCs w:val="20"/>
              </w:rPr>
            </w:pPr>
            <w:r w:rsidRPr="00C806C2">
              <w:rPr>
                <w:sz w:val="20"/>
                <w:szCs w:val="20"/>
              </w:rPr>
              <w:t>Bare ground (%)</w:t>
            </w:r>
          </w:p>
        </w:tc>
        <w:tc>
          <w:tcPr>
            <w:tcW w:w="1984" w:type="dxa"/>
          </w:tcPr>
          <w:p w:rsidR="002F645F" w:rsidRPr="00C806C2" w:rsidRDefault="002F645F" w:rsidP="00D33359">
            <w:pPr>
              <w:jc w:val="left"/>
              <w:rPr>
                <w:sz w:val="20"/>
                <w:szCs w:val="20"/>
              </w:rPr>
            </w:pPr>
            <w:r>
              <w:rPr>
                <w:sz w:val="20"/>
                <w:szCs w:val="20"/>
              </w:rPr>
              <w:t>0.014</w:t>
            </w:r>
          </w:p>
        </w:tc>
        <w:tc>
          <w:tcPr>
            <w:tcW w:w="1843" w:type="dxa"/>
          </w:tcPr>
          <w:p w:rsidR="002F645F" w:rsidRPr="00C806C2" w:rsidRDefault="002F645F" w:rsidP="00D33359">
            <w:pPr>
              <w:rPr>
                <w:sz w:val="20"/>
                <w:szCs w:val="20"/>
              </w:rPr>
            </w:pPr>
            <w:r>
              <w:rPr>
                <w:sz w:val="20"/>
                <w:szCs w:val="20"/>
              </w:rPr>
              <w:t>0.040</w:t>
            </w:r>
          </w:p>
        </w:tc>
        <w:tc>
          <w:tcPr>
            <w:tcW w:w="1417" w:type="dxa"/>
          </w:tcPr>
          <w:p w:rsidR="002F645F" w:rsidRPr="00C806C2" w:rsidRDefault="002F645F" w:rsidP="00D33359">
            <w:pPr>
              <w:rPr>
                <w:sz w:val="20"/>
                <w:szCs w:val="20"/>
              </w:rPr>
            </w:pPr>
            <w:r>
              <w:rPr>
                <w:sz w:val="20"/>
                <w:szCs w:val="20"/>
              </w:rPr>
              <w:t>0.728</w:t>
            </w:r>
          </w:p>
        </w:tc>
      </w:tr>
      <w:tr w:rsidR="002F645F" w:rsidRPr="00C806C2" w:rsidTr="00D33359">
        <w:tc>
          <w:tcPr>
            <w:tcW w:w="3261" w:type="dxa"/>
          </w:tcPr>
          <w:p w:rsidR="002F645F" w:rsidRPr="00C806C2" w:rsidRDefault="002F645F" w:rsidP="00D33359">
            <w:pPr>
              <w:jc w:val="left"/>
              <w:rPr>
                <w:sz w:val="20"/>
                <w:szCs w:val="20"/>
              </w:rPr>
            </w:pPr>
            <w:r w:rsidRPr="00C806C2">
              <w:rPr>
                <w:sz w:val="20"/>
                <w:szCs w:val="20"/>
              </w:rPr>
              <w:t>Botanical species richness</w:t>
            </w:r>
          </w:p>
        </w:tc>
        <w:tc>
          <w:tcPr>
            <w:tcW w:w="1984" w:type="dxa"/>
          </w:tcPr>
          <w:p w:rsidR="002F645F" w:rsidRPr="00C806C2" w:rsidRDefault="002F645F" w:rsidP="00D33359">
            <w:pPr>
              <w:jc w:val="left"/>
              <w:rPr>
                <w:sz w:val="20"/>
                <w:szCs w:val="20"/>
              </w:rPr>
            </w:pPr>
            <w:r>
              <w:rPr>
                <w:sz w:val="20"/>
                <w:szCs w:val="20"/>
              </w:rPr>
              <w:t>-0.006</w:t>
            </w:r>
          </w:p>
        </w:tc>
        <w:tc>
          <w:tcPr>
            <w:tcW w:w="1843" w:type="dxa"/>
          </w:tcPr>
          <w:p w:rsidR="002F645F" w:rsidRPr="00C806C2" w:rsidRDefault="002F645F" w:rsidP="00D33359">
            <w:pPr>
              <w:rPr>
                <w:sz w:val="20"/>
                <w:szCs w:val="20"/>
              </w:rPr>
            </w:pPr>
            <w:r>
              <w:rPr>
                <w:sz w:val="20"/>
                <w:szCs w:val="20"/>
              </w:rPr>
              <w:t>0.079</w:t>
            </w:r>
          </w:p>
        </w:tc>
        <w:tc>
          <w:tcPr>
            <w:tcW w:w="1417" w:type="dxa"/>
          </w:tcPr>
          <w:p w:rsidR="002F645F" w:rsidRPr="00C806C2" w:rsidRDefault="002F645F" w:rsidP="00D33359">
            <w:pPr>
              <w:rPr>
                <w:sz w:val="20"/>
                <w:szCs w:val="20"/>
              </w:rPr>
            </w:pPr>
            <w:r>
              <w:rPr>
                <w:sz w:val="20"/>
                <w:szCs w:val="20"/>
              </w:rPr>
              <w:t>0.940</w:t>
            </w:r>
          </w:p>
        </w:tc>
      </w:tr>
      <w:tr w:rsidR="002F645F" w:rsidRPr="00C806C2" w:rsidTr="00D33359">
        <w:tc>
          <w:tcPr>
            <w:tcW w:w="3261" w:type="dxa"/>
          </w:tcPr>
          <w:p w:rsidR="002F645F" w:rsidRPr="00C806C2" w:rsidRDefault="002F645F" w:rsidP="00D33359">
            <w:pPr>
              <w:rPr>
                <w:sz w:val="20"/>
                <w:szCs w:val="20"/>
              </w:rPr>
            </w:pPr>
            <w:r w:rsidRPr="00C806C2">
              <w:rPr>
                <w:sz w:val="20"/>
                <w:szCs w:val="20"/>
              </w:rPr>
              <w:t>Grazing</w:t>
            </w:r>
            <w:r>
              <w:rPr>
                <w:sz w:val="20"/>
                <w:szCs w:val="20"/>
              </w:rPr>
              <w:t xml:space="preserve"> (grazed v non grazed)</w:t>
            </w:r>
          </w:p>
        </w:tc>
        <w:tc>
          <w:tcPr>
            <w:tcW w:w="1984" w:type="dxa"/>
          </w:tcPr>
          <w:p w:rsidR="002F645F" w:rsidRPr="00C806C2" w:rsidRDefault="002F645F" w:rsidP="00D33359">
            <w:pPr>
              <w:jc w:val="left"/>
              <w:rPr>
                <w:sz w:val="20"/>
                <w:szCs w:val="20"/>
              </w:rPr>
            </w:pPr>
            <w:r>
              <w:rPr>
                <w:sz w:val="20"/>
                <w:szCs w:val="20"/>
              </w:rPr>
              <w:t>-0.837</w:t>
            </w:r>
          </w:p>
        </w:tc>
        <w:tc>
          <w:tcPr>
            <w:tcW w:w="1843" w:type="dxa"/>
          </w:tcPr>
          <w:p w:rsidR="002F645F" w:rsidRPr="00C806C2" w:rsidRDefault="002F645F" w:rsidP="00D33359">
            <w:pPr>
              <w:rPr>
                <w:sz w:val="20"/>
                <w:szCs w:val="20"/>
              </w:rPr>
            </w:pPr>
            <w:r>
              <w:rPr>
                <w:sz w:val="20"/>
                <w:szCs w:val="20"/>
              </w:rPr>
              <w:t>1.347</w:t>
            </w:r>
          </w:p>
        </w:tc>
        <w:tc>
          <w:tcPr>
            <w:tcW w:w="1417" w:type="dxa"/>
          </w:tcPr>
          <w:p w:rsidR="002F645F" w:rsidRPr="00C806C2" w:rsidRDefault="002F645F" w:rsidP="00D33359">
            <w:pPr>
              <w:rPr>
                <w:sz w:val="20"/>
                <w:szCs w:val="20"/>
              </w:rPr>
            </w:pPr>
            <w:r>
              <w:rPr>
                <w:sz w:val="20"/>
                <w:szCs w:val="20"/>
              </w:rPr>
              <w:t>0.534</w:t>
            </w:r>
          </w:p>
        </w:tc>
      </w:tr>
      <w:tr w:rsidR="002F645F" w:rsidRPr="00C806C2" w:rsidTr="00D33359">
        <w:tc>
          <w:tcPr>
            <w:tcW w:w="3261" w:type="dxa"/>
            <w:tcBorders>
              <w:bottom w:val="single" w:sz="4" w:space="0" w:color="auto"/>
            </w:tcBorders>
          </w:tcPr>
          <w:p w:rsidR="002F645F" w:rsidRPr="00C806C2" w:rsidRDefault="002F645F" w:rsidP="00D33359">
            <w:pPr>
              <w:rPr>
                <w:sz w:val="20"/>
                <w:szCs w:val="20"/>
              </w:rPr>
            </w:pPr>
            <w:r w:rsidRPr="00C806C2">
              <w:rPr>
                <w:sz w:val="20"/>
                <w:szCs w:val="20"/>
              </w:rPr>
              <w:t>Tree variety</w:t>
            </w:r>
            <w:r>
              <w:rPr>
                <w:sz w:val="20"/>
                <w:szCs w:val="20"/>
              </w:rPr>
              <w:t xml:space="preserve"> (mixed v single)</w:t>
            </w:r>
          </w:p>
        </w:tc>
        <w:tc>
          <w:tcPr>
            <w:tcW w:w="1984" w:type="dxa"/>
            <w:tcBorders>
              <w:bottom w:val="single" w:sz="4" w:space="0" w:color="auto"/>
            </w:tcBorders>
          </w:tcPr>
          <w:p w:rsidR="002F645F" w:rsidRPr="00C806C2" w:rsidRDefault="002F645F" w:rsidP="00D33359">
            <w:pPr>
              <w:jc w:val="left"/>
              <w:rPr>
                <w:sz w:val="20"/>
                <w:szCs w:val="20"/>
              </w:rPr>
            </w:pPr>
            <w:r>
              <w:rPr>
                <w:sz w:val="20"/>
                <w:szCs w:val="20"/>
              </w:rPr>
              <w:t>0.697</w:t>
            </w:r>
          </w:p>
        </w:tc>
        <w:tc>
          <w:tcPr>
            <w:tcW w:w="1843" w:type="dxa"/>
            <w:tcBorders>
              <w:bottom w:val="single" w:sz="4" w:space="0" w:color="auto"/>
            </w:tcBorders>
          </w:tcPr>
          <w:p w:rsidR="002F645F" w:rsidRPr="00C806C2" w:rsidRDefault="002F645F" w:rsidP="00D33359">
            <w:pPr>
              <w:rPr>
                <w:sz w:val="20"/>
                <w:szCs w:val="20"/>
              </w:rPr>
            </w:pPr>
            <w:r>
              <w:rPr>
                <w:sz w:val="20"/>
                <w:szCs w:val="20"/>
              </w:rPr>
              <w:t>1.849</w:t>
            </w:r>
          </w:p>
        </w:tc>
        <w:tc>
          <w:tcPr>
            <w:tcW w:w="1417" w:type="dxa"/>
            <w:tcBorders>
              <w:bottom w:val="single" w:sz="4" w:space="0" w:color="auto"/>
            </w:tcBorders>
          </w:tcPr>
          <w:p w:rsidR="002F645F" w:rsidRPr="00C806C2" w:rsidRDefault="002F645F" w:rsidP="00D33359">
            <w:pPr>
              <w:rPr>
                <w:sz w:val="20"/>
                <w:szCs w:val="20"/>
              </w:rPr>
            </w:pPr>
            <w:r>
              <w:rPr>
                <w:sz w:val="20"/>
                <w:szCs w:val="20"/>
              </w:rPr>
              <w:t>0.706</w:t>
            </w:r>
          </w:p>
        </w:tc>
      </w:tr>
    </w:tbl>
    <w:p w:rsidR="002F645F" w:rsidRDefault="002F645F" w:rsidP="002F645F">
      <w:pPr>
        <w:rPr>
          <w:rFonts w:cs="Times New Roman"/>
          <w:b/>
          <w:noProof/>
          <w:lang w:eastAsia="en-GB"/>
        </w:rPr>
      </w:pPr>
    </w:p>
    <w:p w:rsidR="002F645F" w:rsidRDefault="002F645F" w:rsidP="002F645F">
      <w:pPr>
        <w:rPr>
          <w:rFonts w:cs="Times New Roman"/>
          <w:b/>
          <w:noProof/>
          <w:lang w:eastAsia="en-GB"/>
        </w:rPr>
      </w:pPr>
      <w:r w:rsidRPr="00CC4C9B">
        <w:rPr>
          <w:noProof/>
          <w:highlight w:val="yellow"/>
          <w:lang w:eastAsia="en-GB"/>
        </w:rPr>
        <w:lastRenderedPageBreak/>
        <mc:AlternateContent>
          <mc:Choice Requires="wps">
            <w:drawing>
              <wp:anchor distT="45720" distB="45720" distL="114300" distR="114300" simplePos="0" relativeHeight="251672576" behindDoc="0" locked="0" layoutInCell="1" allowOverlap="1" wp14:anchorId="738F71AE" wp14:editId="61091E17">
                <wp:simplePos x="0" y="0"/>
                <wp:positionH relativeFrom="column">
                  <wp:posOffset>2374265</wp:posOffset>
                </wp:positionH>
                <wp:positionV relativeFrom="paragraph">
                  <wp:posOffset>3260005</wp:posOffset>
                </wp:positionV>
                <wp:extent cx="616585" cy="252730"/>
                <wp:effectExtent l="0" t="0" r="0" b="0"/>
                <wp:wrapNone/>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252730"/>
                        </a:xfrm>
                        <a:prstGeom prst="rect">
                          <a:avLst/>
                        </a:prstGeom>
                        <a:solidFill>
                          <a:srgbClr val="FFFFFF"/>
                        </a:solidFill>
                        <a:ln w="9525">
                          <a:noFill/>
                          <a:miter lim="800000"/>
                          <a:headEnd/>
                          <a:tailEnd/>
                        </a:ln>
                      </wps:spPr>
                      <wps:txbx>
                        <w:txbxContent>
                          <w:p w:rsidR="003C4E2F" w:rsidRPr="00CC4C9B" w:rsidRDefault="003C4E2F" w:rsidP="002F645F">
                            <w:pPr>
                              <w:spacing w:after="0" w:line="240" w:lineRule="auto"/>
                              <w:rPr>
                                <w:sz w:val="20"/>
                                <w:szCs w:val="20"/>
                              </w:rPr>
                            </w:pPr>
                            <w:r>
                              <w:rPr>
                                <w:b/>
                                <w:sz w:val="20"/>
                                <w:szCs w:val="20"/>
                              </w:rPr>
                              <w:t>Axis 1</w:t>
                            </w:r>
                            <w:r>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8F71AE" id="_x0000_s1035" type="#_x0000_t202" style="position:absolute;left:0;text-align:left;margin-left:186.95pt;margin-top:256.7pt;width:48.55pt;height:19.9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" stroked="f">
                <v:textbox>
                  <w:txbxContent>
                    <w:p w:rsidR="003C4E2F" w:rsidRPr="00CC4C9B" w:rsidRDefault="003C4E2F" w:rsidP="002F645F">
                      <w:pPr>
                        <w:spacing w:after="0" w:line="240" w:lineRule="auto"/>
                        <w:rPr>
                          <w:sz w:val="20"/>
                          <w:szCs w:val="20"/>
                        </w:rPr>
                      </w:pPr>
                      <w:r>
                        <w:rPr>
                          <w:b/>
                          <w:sz w:val="20"/>
                          <w:szCs w:val="20"/>
                        </w:rPr>
                        <w:t>Axis 1</w:t>
                      </w:r>
                      <w:r>
                        <w:rPr>
                          <w:sz w:val="20"/>
                          <w:szCs w:val="20"/>
                        </w:rPr>
                        <w:t xml:space="preserve">          </w:t>
                      </w:r>
                    </w:p>
                  </w:txbxContent>
                </v:textbox>
              </v:shape>
            </w:pict>
          </mc:Fallback>
        </mc:AlternateContent>
      </w:r>
      <w:r w:rsidRPr="00CC4C9B">
        <w:rPr>
          <w:noProof/>
          <w:highlight w:val="yellow"/>
          <w:lang w:eastAsia="en-GB"/>
        </w:rPr>
        <mc:AlternateContent>
          <mc:Choice Requires="wps">
            <w:drawing>
              <wp:anchor distT="45720" distB="45720" distL="114300" distR="114300" simplePos="0" relativeHeight="251673600" behindDoc="0" locked="0" layoutInCell="1" allowOverlap="1" wp14:anchorId="35D43831" wp14:editId="297C6F7E">
                <wp:simplePos x="0" y="0"/>
                <wp:positionH relativeFrom="column">
                  <wp:posOffset>-271146</wp:posOffset>
                </wp:positionH>
                <wp:positionV relativeFrom="paragraph">
                  <wp:posOffset>1482953</wp:posOffset>
                </wp:positionV>
                <wp:extent cx="616689" cy="255181"/>
                <wp:effectExtent l="0" t="9525" r="2540" b="254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16689" cy="255181"/>
                        </a:xfrm>
                        <a:prstGeom prst="rect">
                          <a:avLst/>
                        </a:prstGeom>
                        <a:solidFill>
                          <a:srgbClr val="FFFFFF"/>
                        </a:solidFill>
                        <a:ln w="9525">
                          <a:noFill/>
                          <a:miter lim="800000"/>
                          <a:headEnd/>
                          <a:tailEnd/>
                        </a:ln>
                      </wps:spPr>
                      <wps:txbx>
                        <w:txbxContent>
                          <w:p w:rsidR="003C4E2F" w:rsidRPr="00CC4C9B" w:rsidRDefault="003C4E2F" w:rsidP="002F645F">
                            <w:pPr>
                              <w:spacing w:after="0" w:line="240" w:lineRule="auto"/>
                              <w:rPr>
                                <w:sz w:val="20"/>
                                <w:szCs w:val="20"/>
                              </w:rPr>
                            </w:pPr>
                            <w:r>
                              <w:rPr>
                                <w:b/>
                                <w:sz w:val="20"/>
                                <w:szCs w:val="20"/>
                              </w:rPr>
                              <w:t>Axis 2</w:t>
                            </w:r>
                            <w:r>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D43831" id="_x0000_s1036" type="#_x0000_t202" style="position:absolute;left:0;text-align:left;margin-left:-21.35pt;margin-top:116.75pt;width:48.55pt;height:20.1pt;rotation:-90;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" stroked="f">
                <v:textbox>
                  <w:txbxContent>
                    <w:p w:rsidR="003C4E2F" w:rsidRPr="00CC4C9B" w:rsidRDefault="003C4E2F" w:rsidP="002F645F">
                      <w:pPr>
                        <w:spacing w:after="0" w:line="240" w:lineRule="auto"/>
                        <w:rPr>
                          <w:sz w:val="20"/>
                          <w:szCs w:val="20"/>
                        </w:rPr>
                      </w:pPr>
                      <w:r>
                        <w:rPr>
                          <w:b/>
                          <w:sz w:val="20"/>
                          <w:szCs w:val="20"/>
                        </w:rPr>
                        <w:t>Axis 2</w:t>
                      </w:r>
                      <w:r>
                        <w:rPr>
                          <w:sz w:val="20"/>
                          <w:szCs w:val="20"/>
                        </w:rPr>
                        <w:t xml:space="preserve">          </w:t>
                      </w:r>
                    </w:p>
                  </w:txbxContent>
                </v:textbox>
              </v:shape>
            </w:pict>
          </mc:Fallback>
        </mc:AlternateContent>
      </w:r>
      <w:r>
        <w:rPr>
          <w:rFonts w:cs="Times New Roman"/>
          <w:noProof/>
          <w:lang w:eastAsia="en-GB"/>
        </w:rPr>
        <w:drawing>
          <wp:inline distT="0" distB="0" distL="0" distR="0" wp14:anchorId="25CDF763" wp14:editId="699856CC">
            <wp:extent cx="5140960" cy="3415548"/>
            <wp:effectExtent l="0" t="0" r="254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spina DCA1.jpg"/>
                    <pic:cNvPicPr/>
                  </pic:nvPicPr>
                  <pic:blipFill rotWithShape="1">
                    <a:blip r:embed="rId66" cstate="print">
                      <a:extLst>
                        <a:ext uri="{28A0092B-C50C-407E-A947-70E740481C1C}">
                          <a14:useLocalDpi xmlns:a14="http://schemas.microsoft.com/office/drawing/2010/main" val="0"/>
                        </a:ext>
                      </a:extLst>
                    </a:blip>
                    <a:srcRect t="5116"/>
                    <a:stretch/>
                  </pic:blipFill>
                  <pic:spPr bwMode="auto">
                    <a:xfrm>
                      <a:off x="0" y="0"/>
                      <a:ext cx="5141391" cy="3415834"/>
                    </a:xfrm>
                    <a:prstGeom prst="rect">
                      <a:avLst/>
                    </a:prstGeom>
                    <a:ln>
                      <a:noFill/>
                    </a:ln>
                    <a:extLst>
                      <a:ext uri="{53640926-AAD7-44D8-BBD7-CCE9431645EC}">
                        <a14:shadowObscured xmlns:a14="http://schemas.microsoft.com/office/drawing/2010/main"/>
                      </a:ext>
                    </a:extLst>
                  </pic:spPr>
                </pic:pic>
              </a:graphicData>
            </a:graphic>
          </wp:inline>
        </w:drawing>
      </w:r>
    </w:p>
    <w:p w:rsidR="002F645F" w:rsidRDefault="002F645F" w:rsidP="000F2456">
      <w:pPr>
        <w:pStyle w:val="Caption"/>
        <w:rPr>
          <w:rFonts w:cs="Times New Roman"/>
        </w:rPr>
      </w:pPr>
      <w:bookmarkStart w:id="448" w:name="_Ref468891942"/>
      <w:bookmarkStart w:id="449" w:name="_Toc469982791"/>
      <w:r w:rsidRPr="000F2456">
        <w:t xml:space="preserve">Figure </w:t>
      </w:r>
      <w:r w:rsidR="00C44EF5">
        <w:fldChar w:fldCharType="begin"/>
      </w:r>
      <w:r w:rsidR="00C44EF5">
        <w:instrText xml:space="preserve"> STYLEREF 1 \s </w:instrText>
      </w:r>
      <w:r w:rsidR="00C44EF5">
        <w:fldChar w:fldCharType="separate"/>
      </w:r>
      <w:r w:rsidR="00E0714D">
        <w:rPr>
          <w:noProof/>
        </w:rPr>
        <w:t>4</w:t>
      </w:r>
      <w:r w:rsidR="00C44EF5">
        <w:rPr>
          <w:noProof/>
        </w:rPr>
        <w:fldChar w:fldCharType="end"/>
      </w:r>
      <w:r w:rsidR="00DC59CF" w:rsidRPr="000F2456">
        <w:t>.</w:t>
      </w:r>
      <w:r w:rsidR="00C44EF5">
        <w:fldChar w:fldCharType="begin"/>
      </w:r>
      <w:r w:rsidR="00C44EF5">
        <w:instrText xml:space="preserve"> SEQ Figure \* ARABIC \s 1 </w:instrText>
      </w:r>
      <w:r w:rsidR="00C44EF5">
        <w:fldChar w:fldCharType="separate"/>
      </w:r>
      <w:r w:rsidR="00E0714D">
        <w:rPr>
          <w:noProof/>
        </w:rPr>
        <w:t>4</w:t>
      </w:r>
      <w:r w:rsidR="00C44EF5">
        <w:rPr>
          <w:noProof/>
        </w:rPr>
        <w:fldChar w:fldCharType="end"/>
      </w:r>
      <w:bookmarkEnd w:id="448"/>
      <w:r w:rsidRPr="000F2456">
        <w:t xml:space="preserve"> Variation in TRF relative abundance as explained by orchard management factors. Eigen values for DCA 1 (0.39) and DCA 2 (0.14). Management factors shown in red had a small </w:t>
      </w:r>
      <w:r w:rsidR="00334AAF">
        <w:t xml:space="preserve">but not significant (P&lt;0.05) </w:t>
      </w:r>
      <w:r w:rsidRPr="000F2456">
        <w:t>effect upon TRF relative abundance, arrow lengths are proportional to variation explained</w:t>
      </w:r>
      <w:r w:rsidRPr="00465CA0">
        <w:rPr>
          <w:rFonts w:cs="Times New Roman"/>
        </w:rPr>
        <w:t>.</w:t>
      </w:r>
      <w:bookmarkEnd w:id="449"/>
      <w:r w:rsidRPr="00465CA0">
        <w:rPr>
          <w:rFonts w:cs="Times New Roman"/>
        </w:rPr>
        <w:t xml:space="preserve"> </w:t>
      </w:r>
    </w:p>
    <w:p w:rsidR="002F645F" w:rsidRPr="007112A3" w:rsidRDefault="002F645F" w:rsidP="002F645F">
      <w:pPr>
        <w:rPr>
          <w:rFonts w:cs="Times New Roman"/>
          <w:sz w:val="20"/>
          <w:szCs w:val="20"/>
        </w:rPr>
      </w:pPr>
      <w:r>
        <w:rPr>
          <w:rFonts w:cs="Times New Roman"/>
          <w:noProof/>
          <w:sz w:val="20"/>
          <w:szCs w:val="20"/>
          <w:lang w:eastAsia="en-GB"/>
        </w:rPr>
        <w:drawing>
          <wp:inline distT="0" distB="0" distL="0" distR="0" wp14:anchorId="1446B50A" wp14:editId="779C0DCE">
            <wp:extent cx="3876675" cy="272978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RF_richness and Orchard age.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893513" cy="2741641"/>
                    </a:xfrm>
                    <a:prstGeom prst="rect">
                      <a:avLst/>
                    </a:prstGeom>
                  </pic:spPr>
                </pic:pic>
              </a:graphicData>
            </a:graphic>
          </wp:inline>
        </w:drawing>
      </w:r>
    </w:p>
    <w:p w:rsidR="002F645F" w:rsidRPr="000F2456" w:rsidRDefault="002F645F" w:rsidP="000F2456">
      <w:pPr>
        <w:pStyle w:val="Caption"/>
      </w:pPr>
      <w:bookmarkStart w:id="450" w:name="_Ref469065955"/>
      <w:bookmarkStart w:id="451" w:name="_Toc469982792"/>
      <w:r w:rsidRPr="000F2456">
        <w:t xml:space="preserve">Figure </w:t>
      </w:r>
      <w:r w:rsidR="00C44EF5">
        <w:fldChar w:fldCharType="begin"/>
      </w:r>
      <w:r w:rsidR="00C44EF5">
        <w:instrText xml:space="preserve"> STYLEREF 1 \s </w:instrText>
      </w:r>
      <w:r w:rsidR="00C44EF5">
        <w:fldChar w:fldCharType="separate"/>
      </w:r>
      <w:r w:rsidR="00E0714D">
        <w:rPr>
          <w:noProof/>
        </w:rPr>
        <w:t>4</w:t>
      </w:r>
      <w:r w:rsidR="00C44EF5">
        <w:rPr>
          <w:noProof/>
        </w:rPr>
        <w:fldChar w:fldCharType="end"/>
      </w:r>
      <w:r w:rsidR="00DC59CF" w:rsidRPr="000F2456">
        <w:t>.</w:t>
      </w:r>
      <w:r w:rsidR="00C44EF5">
        <w:fldChar w:fldCharType="begin"/>
      </w:r>
      <w:r w:rsidR="00C44EF5">
        <w:instrText xml:space="preserve"> SEQ Figure \* ARABIC \s 1 </w:instrText>
      </w:r>
      <w:r w:rsidR="00C44EF5">
        <w:fldChar w:fldCharType="separate"/>
      </w:r>
      <w:r w:rsidR="00E0714D">
        <w:rPr>
          <w:noProof/>
        </w:rPr>
        <w:t>5</w:t>
      </w:r>
      <w:r w:rsidR="00C44EF5">
        <w:rPr>
          <w:noProof/>
        </w:rPr>
        <w:fldChar w:fldCharType="end"/>
      </w:r>
      <w:bookmarkEnd w:id="450"/>
      <w:r w:rsidRPr="000F2456">
        <w:t xml:space="preserve">  TRF richness and orchard age of 150 apple trees within three orchard management types. Trend line shows the result of linear regression with 95% confidence interval. R2 = 0.321, y= -0.05289x + 17.14</w:t>
      </w:r>
      <w:r w:rsidR="00072630">
        <w:t>0</w:t>
      </w:r>
      <w:r w:rsidR="00334AAF">
        <w:t>,</w:t>
      </w:r>
      <w:r w:rsidRPr="000F2456">
        <w:t xml:space="preserve"> P = 0.003.</w:t>
      </w:r>
      <w:bookmarkEnd w:id="451"/>
    </w:p>
    <w:p w:rsidR="002F645F" w:rsidRDefault="002F645F" w:rsidP="002F645F">
      <w:pPr>
        <w:rPr>
          <w:sz w:val="20"/>
          <w:szCs w:val="20"/>
        </w:rPr>
      </w:pPr>
    </w:p>
    <w:p w:rsidR="002F645F" w:rsidRDefault="002F645F" w:rsidP="002F645F">
      <w:pPr>
        <w:pStyle w:val="Heading3"/>
        <w:rPr>
          <w:rFonts w:cs="Times New Roman"/>
        </w:rPr>
      </w:pPr>
      <w:bookmarkStart w:id="452" w:name="_Toc469855069"/>
      <w:bookmarkStart w:id="453" w:name="_Toc469856069"/>
      <w:bookmarkStart w:id="454" w:name="_Toc469931978"/>
      <w:bookmarkStart w:id="455" w:name="_Toc469982299"/>
      <w:r>
        <w:rPr>
          <w:sz w:val="22"/>
          <w:szCs w:val="22"/>
        </w:rPr>
        <w:lastRenderedPageBreak/>
        <w:t>Relationship between apple tree yield and AMF richness/relative abundance</w:t>
      </w:r>
      <w:bookmarkEnd w:id="452"/>
      <w:bookmarkEnd w:id="453"/>
      <w:bookmarkEnd w:id="454"/>
      <w:bookmarkEnd w:id="455"/>
    </w:p>
    <w:p w:rsidR="002F645F" w:rsidRDefault="002F645F" w:rsidP="002F645F">
      <w:pPr>
        <w:pStyle w:val="Heading4"/>
        <w:numPr>
          <w:ilvl w:val="3"/>
          <w:numId w:val="1"/>
        </w:numPr>
      </w:pPr>
      <w:r>
        <w:t>Tree yield and TRF richness</w:t>
      </w:r>
    </w:p>
    <w:p w:rsidR="002F645F" w:rsidRPr="004A15DE" w:rsidRDefault="002F645F" w:rsidP="002F645F">
      <w:r w:rsidRPr="004A15DE">
        <w:t>No effect of TRF richness upon tree yield was found (</w:t>
      </w:r>
      <w:r w:rsidR="00E62128">
        <w:fldChar w:fldCharType="begin"/>
      </w:r>
      <w:r w:rsidR="00E62128">
        <w:instrText xml:space="preserve"> REF _Ref469868175 \h </w:instrText>
      </w:r>
      <w:r w:rsidR="00E62128">
        <w:fldChar w:fldCharType="separate"/>
      </w:r>
      <w:r w:rsidR="00E0714D" w:rsidRPr="00F960AF">
        <w:t xml:space="preserve">Table </w:t>
      </w:r>
      <w:r w:rsidR="00E0714D">
        <w:rPr>
          <w:noProof/>
        </w:rPr>
        <w:t>4</w:t>
      </w:r>
      <w:r w:rsidR="00E0714D" w:rsidRPr="00F960AF">
        <w:t>.</w:t>
      </w:r>
      <w:r w:rsidR="00E0714D">
        <w:rPr>
          <w:noProof/>
        </w:rPr>
        <w:t>4</w:t>
      </w:r>
      <w:r w:rsidR="00E62128">
        <w:fldChar w:fldCharType="end"/>
      </w:r>
      <w:r w:rsidR="00762151">
        <w:t>)</w:t>
      </w:r>
      <w:r w:rsidRPr="004A15DE">
        <w:t>. Of all orchard management factors measure</w:t>
      </w:r>
      <w:r>
        <w:t>d</w:t>
      </w:r>
      <w:r w:rsidRPr="004A15DE">
        <w:t>, significant effects were shown for only grazing (presence/absence) and botanical species richness with grazed orchards and those of greater botanical richness showing a positive relationship with tree yield (</w:t>
      </w:r>
      <w:r w:rsidR="00E0076D">
        <w:fldChar w:fldCharType="begin"/>
      </w:r>
      <w:r w:rsidR="00E0076D">
        <w:instrText xml:space="preserve"> REF _Ref469868175 \h </w:instrText>
      </w:r>
      <w:r w:rsidR="00E0076D">
        <w:fldChar w:fldCharType="separate"/>
      </w:r>
      <w:r w:rsidR="00E0714D" w:rsidRPr="00F960AF">
        <w:t xml:space="preserve">Table </w:t>
      </w:r>
      <w:r w:rsidR="00E0714D">
        <w:rPr>
          <w:noProof/>
        </w:rPr>
        <w:t>4</w:t>
      </w:r>
      <w:r w:rsidR="00E0714D" w:rsidRPr="00F960AF">
        <w:t>.</w:t>
      </w:r>
      <w:r w:rsidR="00E0714D">
        <w:rPr>
          <w:noProof/>
        </w:rPr>
        <w:t>4</w:t>
      </w:r>
      <w:r w:rsidR="00E0076D">
        <w:fldChar w:fldCharType="end"/>
      </w:r>
      <w:r w:rsidRPr="004A15DE">
        <w:t xml:space="preserve">). Fruit yield annual averages </w:t>
      </w:r>
      <w:r w:rsidR="00077B66">
        <w:t xml:space="preserve">per tree </w:t>
      </w:r>
      <w:r w:rsidRPr="004A15DE">
        <w:t>were as follows: conventional bush orchards: 25.2kg</w:t>
      </w:r>
      <w:r w:rsidR="00F61E45">
        <w:t xml:space="preserve"> (SE</w:t>
      </w:r>
      <w:r w:rsidR="00F61E45">
        <w:rPr>
          <w:rFonts w:cs="Times New Roman"/>
        </w:rPr>
        <w:t>±</w:t>
      </w:r>
      <w:r w:rsidR="00077B66">
        <w:t xml:space="preserve"> </w:t>
      </w:r>
      <w:r w:rsidR="00F61E45">
        <w:t>1.58)</w:t>
      </w:r>
      <w:r w:rsidRPr="004A15DE">
        <w:t xml:space="preserve">, conventional </w:t>
      </w:r>
      <w:r w:rsidR="00F61E45">
        <w:t>s</w:t>
      </w:r>
      <w:r w:rsidRPr="004A15DE">
        <w:t>tandard orchards 29.6 kg</w:t>
      </w:r>
      <w:r w:rsidR="00077B66">
        <w:t xml:space="preserve"> (SE</w:t>
      </w:r>
      <w:r w:rsidR="00F61E45">
        <w:rPr>
          <w:rFonts w:cs="Times New Roman"/>
        </w:rPr>
        <w:t>±</w:t>
      </w:r>
      <w:r w:rsidR="00F61E45">
        <w:t xml:space="preserve"> 2.48)</w:t>
      </w:r>
      <w:r w:rsidRPr="004A15DE">
        <w:t xml:space="preserve"> and organic standard orchards; 27.0 kg</w:t>
      </w:r>
      <w:r w:rsidR="00077B66">
        <w:t xml:space="preserve"> (SE</w:t>
      </w:r>
      <w:r w:rsidR="00F61E45">
        <w:rPr>
          <w:rFonts w:cs="Times New Roman"/>
        </w:rPr>
        <w:t>±</w:t>
      </w:r>
      <w:r w:rsidR="00F61E45">
        <w:t xml:space="preserve"> 2.84</w:t>
      </w:r>
      <w:r w:rsidR="00077B66">
        <w:t>)</w:t>
      </w:r>
      <w:r w:rsidRPr="004A15DE">
        <w:t xml:space="preserve">. </w:t>
      </w:r>
    </w:p>
    <w:p w:rsidR="002F645F" w:rsidRPr="00377B54" w:rsidRDefault="002F645F" w:rsidP="002F645F">
      <w:pPr>
        <w:pStyle w:val="Heading4"/>
        <w:numPr>
          <w:ilvl w:val="3"/>
          <w:numId w:val="1"/>
        </w:numPr>
      </w:pPr>
      <w:r>
        <w:t>Tree yield and AMF community composition</w:t>
      </w:r>
    </w:p>
    <w:p w:rsidR="002F645F" w:rsidRDefault="002F645F" w:rsidP="002F645F">
      <w:pPr>
        <w:rPr>
          <w:rFonts w:cs="Times New Roman"/>
          <w:noProof/>
          <w:lang w:eastAsia="en-GB"/>
        </w:rPr>
      </w:pPr>
      <w:r>
        <w:rPr>
          <w:rFonts w:cs="Times New Roman"/>
          <w:noProof/>
          <w:lang w:eastAsia="en-GB"/>
        </w:rPr>
        <w:t>AMF communit</w:t>
      </w:r>
      <w:r w:rsidR="007126EF">
        <w:rPr>
          <w:rFonts w:cs="Times New Roman"/>
          <w:noProof/>
          <w:lang w:eastAsia="en-GB"/>
        </w:rPr>
        <w:t>y composition explained a negligi</w:t>
      </w:r>
      <w:r>
        <w:rPr>
          <w:rFonts w:cs="Times New Roman"/>
          <w:noProof/>
          <w:lang w:eastAsia="en-GB"/>
        </w:rPr>
        <w:t>ble amount of the variation in tree yield  (tree yield; DCA1 R</w:t>
      </w:r>
      <w:r w:rsidRPr="000973EF">
        <w:rPr>
          <w:rFonts w:cs="Times New Roman"/>
          <w:noProof/>
          <w:vertAlign w:val="superscript"/>
          <w:lang w:eastAsia="en-GB"/>
        </w:rPr>
        <w:t>2</w:t>
      </w:r>
      <w:r>
        <w:rPr>
          <w:rFonts w:cs="Times New Roman"/>
          <w:noProof/>
          <w:lang w:eastAsia="en-GB"/>
        </w:rPr>
        <w:t xml:space="preserve"> = 0.032, DCA2 R</w:t>
      </w:r>
      <w:r w:rsidRPr="000973EF">
        <w:rPr>
          <w:rFonts w:cs="Times New Roman"/>
          <w:noProof/>
          <w:vertAlign w:val="superscript"/>
          <w:lang w:eastAsia="en-GB"/>
        </w:rPr>
        <w:t>2</w:t>
      </w:r>
      <w:r>
        <w:rPr>
          <w:rFonts w:cs="Times New Roman"/>
          <w:noProof/>
          <w:lang w:eastAsia="en-GB"/>
        </w:rPr>
        <w:t xml:space="preserve"> = 0.002), DBH (DCA1: R</w:t>
      </w:r>
      <w:r w:rsidRPr="000973EF">
        <w:rPr>
          <w:rFonts w:cs="Times New Roman"/>
          <w:noProof/>
          <w:vertAlign w:val="superscript"/>
          <w:lang w:eastAsia="en-GB"/>
        </w:rPr>
        <w:t>2</w:t>
      </w:r>
      <w:r>
        <w:rPr>
          <w:rFonts w:cs="Times New Roman"/>
          <w:noProof/>
          <w:lang w:eastAsia="en-GB"/>
        </w:rPr>
        <w:t xml:space="preserve"> = 0.029, DCA2: R</w:t>
      </w:r>
      <w:r w:rsidRPr="000973EF">
        <w:rPr>
          <w:rFonts w:cs="Times New Roman"/>
          <w:noProof/>
          <w:vertAlign w:val="superscript"/>
          <w:lang w:eastAsia="en-GB"/>
        </w:rPr>
        <w:t>2</w:t>
      </w:r>
      <w:r>
        <w:rPr>
          <w:rFonts w:cs="Times New Roman"/>
          <w:noProof/>
          <w:lang w:eastAsia="en-GB"/>
        </w:rPr>
        <w:t xml:space="preserve"> = 0.033) (</w:t>
      </w:r>
      <w:r>
        <w:rPr>
          <w:rFonts w:cs="Times New Roman"/>
          <w:noProof/>
          <w:lang w:eastAsia="en-GB"/>
        </w:rPr>
        <w:fldChar w:fldCharType="begin"/>
      </w:r>
      <w:r>
        <w:rPr>
          <w:rFonts w:cs="Times New Roman"/>
          <w:noProof/>
          <w:lang w:eastAsia="en-GB"/>
        </w:rPr>
        <w:instrText xml:space="preserve"> REF _Ref469307214 </w:instrText>
      </w:r>
      <w:r>
        <w:rPr>
          <w:rFonts w:cs="Times New Roman"/>
          <w:noProof/>
          <w:lang w:eastAsia="en-GB"/>
        </w:rPr>
        <w:fldChar w:fldCharType="separate"/>
      </w:r>
      <w:r w:rsidR="00E0714D">
        <w:t xml:space="preserve">Figure </w:t>
      </w:r>
      <w:r w:rsidR="00E0714D">
        <w:rPr>
          <w:noProof/>
        </w:rPr>
        <w:t>4</w:t>
      </w:r>
      <w:r w:rsidR="00E0714D">
        <w:t>.</w:t>
      </w:r>
      <w:r w:rsidR="00E0714D">
        <w:rPr>
          <w:noProof/>
        </w:rPr>
        <w:t>6</w:t>
      </w:r>
      <w:r>
        <w:rPr>
          <w:rFonts w:cs="Times New Roman"/>
          <w:noProof/>
          <w:lang w:eastAsia="en-GB"/>
        </w:rPr>
        <w:fldChar w:fldCharType="end"/>
      </w:r>
      <w:r>
        <w:rPr>
          <w:rFonts w:cs="Times New Roman"/>
          <w:noProof/>
          <w:lang w:eastAsia="en-GB"/>
        </w:rPr>
        <w:t xml:space="preserve">). </w:t>
      </w:r>
    </w:p>
    <w:p w:rsidR="002F645F" w:rsidRDefault="002F645F" w:rsidP="002F645F">
      <w:pPr>
        <w:rPr>
          <w:rFonts w:cs="Times New Roman"/>
          <w:noProof/>
          <w:lang w:eastAsia="en-GB"/>
        </w:rPr>
      </w:pPr>
      <w:r>
        <w:rPr>
          <w:rFonts w:cs="Times New Roman"/>
          <w:noProof/>
          <w:lang w:eastAsia="en-GB"/>
        </w:rPr>
        <w:br w:type="page"/>
      </w:r>
    </w:p>
    <w:p w:rsidR="002F645F" w:rsidRDefault="002F645F" w:rsidP="002F645F">
      <w:pPr>
        <w:rPr>
          <w:rFonts w:cs="Times New Roman"/>
          <w:noProof/>
          <w:lang w:eastAsia="en-GB"/>
        </w:rPr>
      </w:pPr>
    </w:p>
    <w:tbl>
      <w:tblPr>
        <w:tblStyle w:val="TableGrid"/>
        <w:tblpPr w:leftFromText="180" w:rightFromText="180" w:vertAnchor="text" w:horzAnchor="margin" w:tblpXSpec="center" w:tblpY="208"/>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2268"/>
        <w:gridCol w:w="1843"/>
        <w:gridCol w:w="1559"/>
      </w:tblGrid>
      <w:tr w:rsidR="002F645F" w:rsidRPr="00C806C2" w:rsidTr="00D33359">
        <w:tc>
          <w:tcPr>
            <w:tcW w:w="8647" w:type="dxa"/>
            <w:gridSpan w:val="4"/>
            <w:tcBorders>
              <w:bottom w:val="single" w:sz="4" w:space="0" w:color="auto"/>
            </w:tcBorders>
          </w:tcPr>
          <w:p w:rsidR="002F645F" w:rsidRPr="00F960AF" w:rsidRDefault="002F645F" w:rsidP="000F2456">
            <w:pPr>
              <w:pStyle w:val="Caption"/>
            </w:pPr>
            <w:bookmarkStart w:id="456" w:name="_Ref469868175"/>
            <w:bookmarkStart w:id="457" w:name="_Toc469868585"/>
            <w:r w:rsidRPr="00F960AF">
              <w:t xml:space="preserve">Table </w:t>
            </w:r>
            <w:r w:rsidR="00C44EF5">
              <w:fldChar w:fldCharType="begin"/>
            </w:r>
            <w:r w:rsidR="00C44EF5">
              <w:instrText xml:space="preserve"> STYLEREF 1 \s </w:instrText>
            </w:r>
            <w:r w:rsidR="00C44EF5">
              <w:fldChar w:fldCharType="separate"/>
            </w:r>
            <w:r w:rsidR="00E0714D">
              <w:rPr>
                <w:noProof/>
              </w:rPr>
              <w:t>4</w:t>
            </w:r>
            <w:r w:rsidR="00C44EF5">
              <w:rPr>
                <w:noProof/>
              </w:rPr>
              <w:fldChar w:fldCharType="end"/>
            </w:r>
            <w:r w:rsidRPr="00F960AF">
              <w:t>.</w:t>
            </w:r>
            <w:r w:rsidR="00C44EF5">
              <w:fldChar w:fldCharType="begin"/>
            </w:r>
            <w:r w:rsidR="00C44EF5">
              <w:instrText xml:space="preserve"> SEQ Table \* ARABIC \s 1 </w:instrText>
            </w:r>
            <w:r w:rsidR="00C44EF5">
              <w:fldChar w:fldCharType="separate"/>
            </w:r>
            <w:r w:rsidR="00E0714D">
              <w:rPr>
                <w:noProof/>
              </w:rPr>
              <w:t>4</w:t>
            </w:r>
            <w:r w:rsidR="00C44EF5">
              <w:rPr>
                <w:noProof/>
              </w:rPr>
              <w:fldChar w:fldCharType="end"/>
            </w:r>
            <w:bookmarkEnd w:id="456"/>
            <w:r w:rsidRPr="00F960AF">
              <w:t xml:space="preserve"> Effect of TRF richness and other orchard management factors on fruit yield per tree using a linear mixed effects model. </w:t>
            </w:r>
            <w:r w:rsidRPr="000F2456">
              <w:t>Reference</w:t>
            </w:r>
            <w:r w:rsidRPr="00F960AF">
              <w:t xml:space="preserve"> categories for categorical variables; Grazed = grazed, Fruit variety = mixed. Orchard type conventional standard orchard (CS) and organic standard orchard (OS) were compared to the reference value of conventional bush orchards. Site was included as a random factor in all models. (n= 120), *P &lt; 0.05, Conditional R</w:t>
            </w:r>
            <w:r w:rsidRPr="00F960AF">
              <w:rPr>
                <w:vertAlign w:val="superscript"/>
              </w:rPr>
              <w:t>2</w:t>
            </w:r>
            <w:r w:rsidRPr="00F960AF">
              <w:t xml:space="preserve"> = 0.376.</w:t>
            </w:r>
            <w:bookmarkEnd w:id="457"/>
          </w:p>
        </w:tc>
      </w:tr>
      <w:tr w:rsidR="002F645F" w:rsidRPr="00953F67" w:rsidTr="00D33359">
        <w:tc>
          <w:tcPr>
            <w:tcW w:w="2977" w:type="dxa"/>
            <w:tcBorders>
              <w:top w:val="single" w:sz="4" w:space="0" w:color="auto"/>
              <w:bottom w:val="single" w:sz="4" w:space="0" w:color="auto"/>
            </w:tcBorders>
          </w:tcPr>
          <w:p w:rsidR="002F645F" w:rsidRPr="00953F67" w:rsidRDefault="002F645F" w:rsidP="00D33359">
            <w:pPr>
              <w:rPr>
                <w:b/>
                <w:sz w:val="20"/>
                <w:szCs w:val="20"/>
              </w:rPr>
            </w:pPr>
            <w:r w:rsidRPr="00953F67">
              <w:rPr>
                <w:b/>
                <w:sz w:val="20"/>
                <w:szCs w:val="20"/>
              </w:rPr>
              <w:t>Management factor</w:t>
            </w:r>
          </w:p>
        </w:tc>
        <w:tc>
          <w:tcPr>
            <w:tcW w:w="2268" w:type="dxa"/>
            <w:tcBorders>
              <w:top w:val="single" w:sz="4" w:space="0" w:color="auto"/>
              <w:bottom w:val="single" w:sz="4" w:space="0" w:color="auto"/>
            </w:tcBorders>
          </w:tcPr>
          <w:p w:rsidR="002F645F" w:rsidRPr="00953F67" w:rsidRDefault="002F645F" w:rsidP="00D33359">
            <w:pPr>
              <w:rPr>
                <w:b/>
                <w:sz w:val="20"/>
                <w:szCs w:val="20"/>
              </w:rPr>
            </w:pPr>
            <w:r w:rsidRPr="00953F67">
              <w:rPr>
                <w:b/>
                <w:sz w:val="20"/>
                <w:szCs w:val="20"/>
              </w:rPr>
              <w:t>Parameter estimate</w:t>
            </w:r>
          </w:p>
        </w:tc>
        <w:tc>
          <w:tcPr>
            <w:tcW w:w="1843" w:type="dxa"/>
            <w:tcBorders>
              <w:top w:val="single" w:sz="4" w:space="0" w:color="auto"/>
              <w:bottom w:val="single" w:sz="4" w:space="0" w:color="auto"/>
            </w:tcBorders>
          </w:tcPr>
          <w:p w:rsidR="002F645F" w:rsidRPr="00953F67" w:rsidRDefault="002F645F" w:rsidP="00D33359">
            <w:pPr>
              <w:rPr>
                <w:b/>
                <w:sz w:val="20"/>
                <w:szCs w:val="20"/>
              </w:rPr>
            </w:pPr>
            <w:r w:rsidRPr="00953F67">
              <w:rPr>
                <w:b/>
                <w:sz w:val="20"/>
                <w:szCs w:val="20"/>
              </w:rPr>
              <w:t xml:space="preserve"> </w:t>
            </w:r>
            <w:r w:rsidRPr="00953F67">
              <w:rPr>
                <w:rFonts w:cs="Times New Roman"/>
                <w:b/>
                <w:sz w:val="20"/>
                <w:szCs w:val="20"/>
              </w:rPr>
              <w:t>±</w:t>
            </w:r>
            <w:r w:rsidRPr="00953F67">
              <w:rPr>
                <w:b/>
                <w:sz w:val="20"/>
                <w:szCs w:val="20"/>
              </w:rPr>
              <w:t>SE</w:t>
            </w:r>
          </w:p>
        </w:tc>
        <w:tc>
          <w:tcPr>
            <w:tcW w:w="1559" w:type="dxa"/>
            <w:tcBorders>
              <w:top w:val="single" w:sz="4" w:space="0" w:color="auto"/>
              <w:bottom w:val="single" w:sz="4" w:space="0" w:color="auto"/>
            </w:tcBorders>
          </w:tcPr>
          <w:p w:rsidR="002F645F" w:rsidRPr="00953F67" w:rsidRDefault="002F645F" w:rsidP="00D33359">
            <w:pPr>
              <w:rPr>
                <w:b/>
                <w:sz w:val="20"/>
                <w:szCs w:val="20"/>
              </w:rPr>
            </w:pPr>
            <w:r w:rsidRPr="00953F67">
              <w:rPr>
                <w:b/>
                <w:sz w:val="20"/>
                <w:szCs w:val="20"/>
              </w:rPr>
              <w:t>P value</w:t>
            </w:r>
          </w:p>
        </w:tc>
      </w:tr>
      <w:tr w:rsidR="002F645F" w:rsidRPr="00C806C2" w:rsidTr="00D33359">
        <w:tc>
          <w:tcPr>
            <w:tcW w:w="2977" w:type="dxa"/>
            <w:tcBorders>
              <w:top w:val="single" w:sz="4" w:space="0" w:color="auto"/>
            </w:tcBorders>
          </w:tcPr>
          <w:p w:rsidR="002F645F" w:rsidRDefault="002F645F" w:rsidP="00D33359">
            <w:pPr>
              <w:rPr>
                <w:sz w:val="20"/>
                <w:szCs w:val="20"/>
              </w:rPr>
            </w:pPr>
            <w:r>
              <w:rPr>
                <w:sz w:val="20"/>
                <w:szCs w:val="20"/>
              </w:rPr>
              <w:t>TRF richness</w:t>
            </w:r>
          </w:p>
        </w:tc>
        <w:tc>
          <w:tcPr>
            <w:tcW w:w="2268" w:type="dxa"/>
            <w:tcBorders>
              <w:top w:val="single" w:sz="4" w:space="0" w:color="auto"/>
            </w:tcBorders>
          </w:tcPr>
          <w:p w:rsidR="002F645F" w:rsidRDefault="002F645F" w:rsidP="00D33359">
            <w:pPr>
              <w:jc w:val="left"/>
              <w:rPr>
                <w:sz w:val="20"/>
                <w:szCs w:val="20"/>
              </w:rPr>
            </w:pPr>
            <w:r>
              <w:rPr>
                <w:sz w:val="20"/>
                <w:szCs w:val="20"/>
              </w:rPr>
              <w:t>0.410</w:t>
            </w:r>
          </w:p>
        </w:tc>
        <w:tc>
          <w:tcPr>
            <w:tcW w:w="1843" w:type="dxa"/>
            <w:tcBorders>
              <w:top w:val="single" w:sz="4" w:space="0" w:color="auto"/>
            </w:tcBorders>
          </w:tcPr>
          <w:p w:rsidR="002F645F" w:rsidRDefault="002F645F" w:rsidP="00D33359">
            <w:pPr>
              <w:rPr>
                <w:sz w:val="20"/>
                <w:szCs w:val="20"/>
              </w:rPr>
            </w:pPr>
            <w:r>
              <w:rPr>
                <w:sz w:val="20"/>
                <w:szCs w:val="20"/>
              </w:rPr>
              <w:t>0.233</w:t>
            </w:r>
          </w:p>
        </w:tc>
        <w:tc>
          <w:tcPr>
            <w:tcW w:w="1559" w:type="dxa"/>
            <w:tcBorders>
              <w:top w:val="single" w:sz="4" w:space="0" w:color="auto"/>
            </w:tcBorders>
          </w:tcPr>
          <w:p w:rsidR="002F645F" w:rsidRDefault="002F645F" w:rsidP="00D33359">
            <w:pPr>
              <w:rPr>
                <w:sz w:val="20"/>
                <w:szCs w:val="20"/>
              </w:rPr>
            </w:pPr>
            <w:r>
              <w:rPr>
                <w:sz w:val="20"/>
                <w:szCs w:val="20"/>
              </w:rPr>
              <w:t>0.078</w:t>
            </w:r>
          </w:p>
        </w:tc>
      </w:tr>
      <w:tr w:rsidR="002F645F" w:rsidRPr="00C806C2" w:rsidTr="00D33359">
        <w:tc>
          <w:tcPr>
            <w:tcW w:w="2977" w:type="dxa"/>
          </w:tcPr>
          <w:p w:rsidR="002F645F" w:rsidRPr="00C806C2" w:rsidRDefault="002F645F" w:rsidP="00D33359">
            <w:pPr>
              <w:rPr>
                <w:sz w:val="20"/>
                <w:szCs w:val="20"/>
              </w:rPr>
            </w:pPr>
            <w:r>
              <w:rPr>
                <w:sz w:val="20"/>
                <w:szCs w:val="20"/>
              </w:rPr>
              <w:t>Orchard type</w:t>
            </w:r>
          </w:p>
        </w:tc>
        <w:tc>
          <w:tcPr>
            <w:tcW w:w="2268" w:type="dxa"/>
            <w:shd w:val="clear" w:color="auto" w:fill="auto"/>
          </w:tcPr>
          <w:p w:rsidR="002F645F" w:rsidRPr="00C806C2" w:rsidRDefault="002F645F" w:rsidP="00D33359">
            <w:pPr>
              <w:jc w:val="left"/>
              <w:rPr>
                <w:sz w:val="20"/>
                <w:szCs w:val="20"/>
              </w:rPr>
            </w:pPr>
            <w:r>
              <w:rPr>
                <w:sz w:val="20"/>
                <w:szCs w:val="20"/>
              </w:rPr>
              <w:t>CS -18.986 , OS -16.817</w:t>
            </w:r>
          </w:p>
        </w:tc>
        <w:tc>
          <w:tcPr>
            <w:tcW w:w="1843" w:type="dxa"/>
            <w:shd w:val="clear" w:color="auto" w:fill="auto"/>
          </w:tcPr>
          <w:p w:rsidR="002F645F" w:rsidRPr="00C806C2" w:rsidRDefault="002F645F" w:rsidP="00D33359">
            <w:pPr>
              <w:rPr>
                <w:sz w:val="20"/>
                <w:szCs w:val="20"/>
              </w:rPr>
            </w:pPr>
            <w:r>
              <w:rPr>
                <w:sz w:val="20"/>
                <w:szCs w:val="20"/>
              </w:rPr>
              <w:t xml:space="preserve">CS 8.592, OS 8.367 </w:t>
            </w:r>
          </w:p>
        </w:tc>
        <w:tc>
          <w:tcPr>
            <w:tcW w:w="1559" w:type="dxa"/>
            <w:shd w:val="clear" w:color="auto" w:fill="auto"/>
          </w:tcPr>
          <w:p w:rsidR="002F645F" w:rsidRPr="00C806C2" w:rsidRDefault="002F645F" w:rsidP="00D33359">
            <w:pPr>
              <w:rPr>
                <w:sz w:val="20"/>
                <w:szCs w:val="20"/>
              </w:rPr>
            </w:pPr>
            <w:r>
              <w:rPr>
                <w:sz w:val="20"/>
                <w:szCs w:val="20"/>
              </w:rPr>
              <w:t>0.095</w:t>
            </w:r>
          </w:p>
        </w:tc>
      </w:tr>
      <w:tr w:rsidR="002F645F" w:rsidRPr="00C806C2" w:rsidTr="00D33359">
        <w:tc>
          <w:tcPr>
            <w:tcW w:w="2977" w:type="dxa"/>
          </w:tcPr>
          <w:p w:rsidR="002F645F" w:rsidRPr="00C806C2" w:rsidRDefault="002F645F" w:rsidP="00D33359">
            <w:pPr>
              <w:rPr>
                <w:sz w:val="20"/>
                <w:szCs w:val="20"/>
              </w:rPr>
            </w:pPr>
            <w:r w:rsidRPr="00C806C2">
              <w:rPr>
                <w:sz w:val="20"/>
                <w:szCs w:val="20"/>
              </w:rPr>
              <w:t>N input</w:t>
            </w:r>
          </w:p>
        </w:tc>
        <w:tc>
          <w:tcPr>
            <w:tcW w:w="2268" w:type="dxa"/>
            <w:shd w:val="clear" w:color="auto" w:fill="auto"/>
          </w:tcPr>
          <w:p w:rsidR="002F645F" w:rsidRPr="00C806C2" w:rsidRDefault="002F645F" w:rsidP="00D33359">
            <w:pPr>
              <w:jc w:val="left"/>
              <w:rPr>
                <w:sz w:val="20"/>
                <w:szCs w:val="20"/>
              </w:rPr>
            </w:pPr>
            <w:r>
              <w:rPr>
                <w:sz w:val="20"/>
                <w:szCs w:val="20"/>
              </w:rPr>
              <w:t>-0.141</w:t>
            </w:r>
          </w:p>
        </w:tc>
        <w:tc>
          <w:tcPr>
            <w:tcW w:w="1843" w:type="dxa"/>
            <w:shd w:val="clear" w:color="auto" w:fill="auto"/>
          </w:tcPr>
          <w:p w:rsidR="002F645F" w:rsidRPr="00C806C2" w:rsidRDefault="002F645F" w:rsidP="00D33359">
            <w:pPr>
              <w:rPr>
                <w:sz w:val="20"/>
                <w:szCs w:val="20"/>
              </w:rPr>
            </w:pPr>
            <w:r>
              <w:rPr>
                <w:sz w:val="20"/>
                <w:szCs w:val="20"/>
              </w:rPr>
              <w:t>0.119</w:t>
            </w:r>
          </w:p>
        </w:tc>
        <w:tc>
          <w:tcPr>
            <w:tcW w:w="1559" w:type="dxa"/>
            <w:shd w:val="clear" w:color="auto" w:fill="auto"/>
          </w:tcPr>
          <w:p w:rsidR="002F645F" w:rsidRPr="00C806C2" w:rsidRDefault="002F645F" w:rsidP="00D33359">
            <w:pPr>
              <w:rPr>
                <w:sz w:val="20"/>
                <w:szCs w:val="20"/>
              </w:rPr>
            </w:pPr>
            <w:r>
              <w:rPr>
                <w:sz w:val="20"/>
                <w:szCs w:val="20"/>
              </w:rPr>
              <w:t>0.235</w:t>
            </w:r>
          </w:p>
        </w:tc>
      </w:tr>
      <w:tr w:rsidR="002F645F" w:rsidRPr="00C806C2" w:rsidTr="00D33359">
        <w:tc>
          <w:tcPr>
            <w:tcW w:w="2977" w:type="dxa"/>
          </w:tcPr>
          <w:p w:rsidR="002F645F" w:rsidRPr="00C806C2" w:rsidRDefault="002F645F" w:rsidP="00D33359">
            <w:pPr>
              <w:rPr>
                <w:sz w:val="20"/>
                <w:szCs w:val="20"/>
              </w:rPr>
            </w:pPr>
            <w:r w:rsidRPr="00C806C2">
              <w:rPr>
                <w:sz w:val="20"/>
                <w:szCs w:val="20"/>
              </w:rPr>
              <w:t>P input</w:t>
            </w:r>
          </w:p>
        </w:tc>
        <w:tc>
          <w:tcPr>
            <w:tcW w:w="2268" w:type="dxa"/>
            <w:shd w:val="clear" w:color="auto" w:fill="auto"/>
          </w:tcPr>
          <w:p w:rsidR="002F645F" w:rsidRPr="00C806C2" w:rsidRDefault="002F645F" w:rsidP="00D33359">
            <w:pPr>
              <w:jc w:val="left"/>
              <w:rPr>
                <w:sz w:val="20"/>
                <w:szCs w:val="20"/>
              </w:rPr>
            </w:pPr>
            <w:r>
              <w:rPr>
                <w:sz w:val="20"/>
                <w:szCs w:val="20"/>
              </w:rPr>
              <w:t>-0.095</w:t>
            </w:r>
          </w:p>
        </w:tc>
        <w:tc>
          <w:tcPr>
            <w:tcW w:w="1843" w:type="dxa"/>
            <w:shd w:val="clear" w:color="auto" w:fill="auto"/>
          </w:tcPr>
          <w:p w:rsidR="002F645F" w:rsidRPr="00C806C2" w:rsidRDefault="002F645F" w:rsidP="00D33359">
            <w:pPr>
              <w:rPr>
                <w:sz w:val="20"/>
                <w:szCs w:val="20"/>
              </w:rPr>
            </w:pPr>
            <w:r>
              <w:rPr>
                <w:sz w:val="20"/>
                <w:szCs w:val="20"/>
              </w:rPr>
              <w:t>0.474</w:t>
            </w:r>
          </w:p>
        </w:tc>
        <w:tc>
          <w:tcPr>
            <w:tcW w:w="1559" w:type="dxa"/>
            <w:shd w:val="clear" w:color="auto" w:fill="auto"/>
          </w:tcPr>
          <w:p w:rsidR="002F645F" w:rsidRPr="00C806C2" w:rsidRDefault="002F645F" w:rsidP="00D33359">
            <w:pPr>
              <w:rPr>
                <w:sz w:val="20"/>
                <w:szCs w:val="20"/>
              </w:rPr>
            </w:pPr>
            <w:r>
              <w:rPr>
                <w:sz w:val="20"/>
                <w:szCs w:val="20"/>
              </w:rPr>
              <w:t>0.840</w:t>
            </w:r>
          </w:p>
        </w:tc>
      </w:tr>
      <w:tr w:rsidR="002F645F" w:rsidRPr="00C806C2" w:rsidTr="00D33359">
        <w:tc>
          <w:tcPr>
            <w:tcW w:w="2977" w:type="dxa"/>
          </w:tcPr>
          <w:p w:rsidR="002F645F" w:rsidRPr="003E447E" w:rsidRDefault="002F645F" w:rsidP="00D33359">
            <w:pPr>
              <w:rPr>
                <w:sz w:val="20"/>
                <w:szCs w:val="20"/>
              </w:rPr>
            </w:pPr>
            <w:r>
              <w:rPr>
                <w:sz w:val="20"/>
                <w:szCs w:val="20"/>
              </w:rPr>
              <w:t>D.B.H</w:t>
            </w:r>
          </w:p>
        </w:tc>
        <w:tc>
          <w:tcPr>
            <w:tcW w:w="2268" w:type="dxa"/>
            <w:shd w:val="clear" w:color="auto" w:fill="auto"/>
          </w:tcPr>
          <w:p w:rsidR="002F645F" w:rsidRPr="003E447E" w:rsidRDefault="002F645F" w:rsidP="00D33359">
            <w:pPr>
              <w:jc w:val="left"/>
              <w:rPr>
                <w:sz w:val="20"/>
                <w:szCs w:val="20"/>
              </w:rPr>
            </w:pPr>
            <w:r w:rsidRPr="003E447E">
              <w:rPr>
                <w:sz w:val="20"/>
                <w:szCs w:val="20"/>
              </w:rPr>
              <w:t>0.068</w:t>
            </w:r>
          </w:p>
        </w:tc>
        <w:tc>
          <w:tcPr>
            <w:tcW w:w="1843" w:type="dxa"/>
            <w:shd w:val="clear" w:color="auto" w:fill="auto"/>
          </w:tcPr>
          <w:p w:rsidR="002F645F" w:rsidRPr="003E447E" w:rsidRDefault="002F645F" w:rsidP="00D33359">
            <w:pPr>
              <w:rPr>
                <w:sz w:val="20"/>
                <w:szCs w:val="20"/>
              </w:rPr>
            </w:pPr>
            <w:r w:rsidRPr="003E447E">
              <w:rPr>
                <w:sz w:val="20"/>
                <w:szCs w:val="20"/>
              </w:rPr>
              <w:t>0.042</w:t>
            </w:r>
          </w:p>
        </w:tc>
        <w:tc>
          <w:tcPr>
            <w:tcW w:w="1559" w:type="dxa"/>
            <w:shd w:val="clear" w:color="auto" w:fill="auto"/>
          </w:tcPr>
          <w:p w:rsidR="002F645F" w:rsidRPr="003E447E" w:rsidRDefault="002F645F" w:rsidP="00D33359">
            <w:pPr>
              <w:rPr>
                <w:sz w:val="20"/>
                <w:szCs w:val="20"/>
              </w:rPr>
            </w:pPr>
            <w:r w:rsidRPr="003E447E">
              <w:rPr>
                <w:sz w:val="20"/>
                <w:szCs w:val="20"/>
              </w:rPr>
              <w:t>0.112</w:t>
            </w:r>
          </w:p>
        </w:tc>
      </w:tr>
      <w:tr w:rsidR="002F645F" w:rsidRPr="00C806C2" w:rsidTr="00D33359">
        <w:tc>
          <w:tcPr>
            <w:tcW w:w="2977" w:type="dxa"/>
          </w:tcPr>
          <w:p w:rsidR="002F645F" w:rsidRPr="003E447E" w:rsidRDefault="002F645F" w:rsidP="00D33359">
            <w:pPr>
              <w:rPr>
                <w:sz w:val="20"/>
                <w:szCs w:val="20"/>
              </w:rPr>
            </w:pPr>
            <w:r w:rsidRPr="003E447E">
              <w:rPr>
                <w:sz w:val="20"/>
                <w:szCs w:val="20"/>
              </w:rPr>
              <w:t>Orchard age</w:t>
            </w:r>
          </w:p>
        </w:tc>
        <w:tc>
          <w:tcPr>
            <w:tcW w:w="2268" w:type="dxa"/>
            <w:shd w:val="clear" w:color="auto" w:fill="auto"/>
          </w:tcPr>
          <w:p w:rsidR="002F645F" w:rsidRPr="003E447E" w:rsidRDefault="002F645F" w:rsidP="00D33359">
            <w:pPr>
              <w:jc w:val="left"/>
              <w:rPr>
                <w:sz w:val="20"/>
                <w:szCs w:val="20"/>
              </w:rPr>
            </w:pPr>
            <w:r w:rsidRPr="003E447E">
              <w:rPr>
                <w:sz w:val="20"/>
                <w:szCs w:val="20"/>
              </w:rPr>
              <w:t>-0.030</w:t>
            </w:r>
          </w:p>
        </w:tc>
        <w:tc>
          <w:tcPr>
            <w:tcW w:w="1843" w:type="dxa"/>
            <w:shd w:val="clear" w:color="auto" w:fill="auto"/>
          </w:tcPr>
          <w:p w:rsidR="002F645F" w:rsidRPr="003E447E" w:rsidRDefault="002F645F" w:rsidP="00D33359">
            <w:pPr>
              <w:rPr>
                <w:sz w:val="20"/>
                <w:szCs w:val="20"/>
              </w:rPr>
            </w:pPr>
            <w:r w:rsidRPr="003E447E">
              <w:rPr>
                <w:sz w:val="20"/>
                <w:szCs w:val="20"/>
              </w:rPr>
              <w:t>0.067</w:t>
            </w:r>
          </w:p>
        </w:tc>
        <w:tc>
          <w:tcPr>
            <w:tcW w:w="1559" w:type="dxa"/>
            <w:shd w:val="clear" w:color="auto" w:fill="auto"/>
          </w:tcPr>
          <w:p w:rsidR="002F645F" w:rsidRPr="003E447E" w:rsidRDefault="002F645F" w:rsidP="00D33359">
            <w:pPr>
              <w:rPr>
                <w:sz w:val="20"/>
                <w:szCs w:val="20"/>
              </w:rPr>
            </w:pPr>
            <w:r w:rsidRPr="003E447E">
              <w:rPr>
                <w:sz w:val="20"/>
                <w:szCs w:val="20"/>
              </w:rPr>
              <w:t>0.654</w:t>
            </w:r>
          </w:p>
        </w:tc>
      </w:tr>
      <w:tr w:rsidR="002F645F" w:rsidRPr="00C806C2" w:rsidTr="00D33359">
        <w:tc>
          <w:tcPr>
            <w:tcW w:w="2977" w:type="dxa"/>
          </w:tcPr>
          <w:p w:rsidR="002F645F" w:rsidRPr="00C806C2" w:rsidRDefault="002F645F" w:rsidP="00D33359">
            <w:pPr>
              <w:rPr>
                <w:sz w:val="20"/>
                <w:szCs w:val="20"/>
              </w:rPr>
            </w:pPr>
            <w:r w:rsidRPr="00C806C2">
              <w:rPr>
                <w:sz w:val="20"/>
                <w:szCs w:val="20"/>
              </w:rPr>
              <w:t>Vegetation height</w:t>
            </w:r>
          </w:p>
        </w:tc>
        <w:tc>
          <w:tcPr>
            <w:tcW w:w="2268" w:type="dxa"/>
            <w:shd w:val="clear" w:color="auto" w:fill="auto"/>
          </w:tcPr>
          <w:p w:rsidR="002F645F" w:rsidRPr="00C806C2" w:rsidRDefault="002F645F" w:rsidP="00D33359">
            <w:pPr>
              <w:jc w:val="left"/>
              <w:rPr>
                <w:sz w:val="20"/>
                <w:szCs w:val="20"/>
              </w:rPr>
            </w:pPr>
            <w:r>
              <w:rPr>
                <w:sz w:val="20"/>
                <w:szCs w:val="20"/>
              </w:rPr>
              <w:t>-0.152</w:t>
            </w:r>
          </w:p>
        </w:tc>
        <w:tc>
          <w:tcPr>
            <w:tcW w:w="1843" w:type="dxa"/>
            <w:shd w:val="clear" w:color="auto" w:fill="auto"/>
          </w:tcPr>
          <w:p w:rsidR="002F645F" w:rsidRPr="00C806C2" w:rsidRDefault="002F645F" w:rsidP="00D33359">
            <w:pPr>
              <w:rPr>
                <w:sz w:val="20"/>
                <w:szCs w:val="20"/>
              </w:rPr>
            </w:pPr>
            <w:r>
              <w:rPr>
                <w:sz w:val="20"/>
                <w:szCs w:val="20"/>
              </w:rPr>
              <w:t>0.137</w:t>
            </w:r>
          </w:p>
        </w:tc>
        <w:tc>
          <w:tcPr>
            <w:tcW w:w="1559" w:type="dxa"/>
            <w:shd w:val="clear" w:color="auto" w:fill="auto"/>
          </w:tcPr>
          <w:p w:rsidR="002F645F" w:rsidRPr="00C806C2" w:rsidRDefault="002F645F" w:rsidP="00D33359">
            <w:pPr>
              <w:rPr>
                <w:sz w:val="20"/>
                <w:szCs w:val="20"/>
              </w:rPr>
            </w:pPr>
            <w:r>
              <w:rPr>
                <w:sz w:val="20"/>
                <w:szCs w:val="20"/>
              </w:rPr>
              <w:t>0.264</w:t>
            </w:r>
          </w:p>
        </w:tc>
      </w:tr>
      <w:tr w:rsidR="002F645F" w:rsidRPr="00C806C2" w:rsidTr="00D33359">
        <w:tc>
          <w:tcPr>
            <w:tcW w:w="2977" w:type="dxa"/>
          </w:tcPr>
          <w:p w:rsidR="002F645F" w:rsidRPr="00C806C2" w:rsidRDefault="002F645F" w:rsidP="00D33359">
            <w:pPr>
              <w:rPr>
                <w:sz w:val="20"/>
                <w:szCs w:val="20"/>
              </w:rPr>
            </w:pPr>
            <w:r w:rsidRPr="00C806C2">
              <w:rPr>
                <w:sz w:val="20"/>
                <w:szCs w:val="20"/>
              </w:rPr>
              <w:t>Bare ground (%)</w:t>
            </w:r>
          </w:p>
        </w:tc>
        <w:tc>
          <w:tcPr>
            <w:tcW w:w="2268" w:type="dxa"/>
            <w:shd w:val="clear" w:color="auto" w:fill="auto"/>
          </w:tcPr>
          <w:p w:rsidR="002F645F" w:rsidRPr="00C806C2" w:rsidRDefault="002F645F" w:rsidP="00D33359">
            <w:pPr>
              <w:jc w:val="left"/>
              <w:rPr>
                <w:sz w:val="20"/>
                <w:szCs w:val="20"/>
              </w:rPr>
            </w:pPr>
            <w:r>
              <w:rPr>
                <w:sz w:val="20"/>
                <w:szCs w:val="20"/>
              </w:rPr>
              <w:t>-0.092</w:t>
            </w:r>
          </w:p>
        </w:tc>
        <w:tc>
          <w:tcPr>
            <w:tcW w:w="1843" w:type="dxa"/>
            <w:shd w:val="clear" w:color="auto" w:fill="auto"/>
          </w:tcPr>
          <w:p w:rsidR="002F645F" w:rsidRPr="00C806C2" w:rsidRDefault="002F645F" w:rsidP="00D33359">
            <w:pPr>
              <w:rPr>
                <w:sz w:val="20"/>
                <w:szCs w:val="20"/>
              </w:rPr>
            </w:pPr>
            <w:r>
              <w:rPr>
                <w:sz w:val="20"/>
                <w:szCs w:val="20"/>
              </w:rPr>
              <w:t>0.135</w:t>
            </w:r>
          </w:p>
        </w:tc>
        <w:tc>
          <w:tcPr>
            <w:tcW w:w="1559" w:type="dxa"/>
            <w:shd w:val="clear" w:color="auto" w:fill="auto"/>
          </w:tcPr>
          <w:p w:rsidR="002F645F" w:rsidRPr="00C806C2" w:rsidRDefault="002F645F" w:rsidP="00D33359">
            <w:pPr>
              <w:rPr>
                <w:sz w:val="20"/>
                <w:szCs w:val="20"/>
              </w:rPr>
            </w:pPr>
            <w:r>
              <w:rPr>
                <w:sz w:val="20"/>
                <w:szCs w:val="20"/>
              </w:rPr>
              <w:t>0.493</w:t>
            </w:r>
          </w:p>
        </w:tc>
      </w:tr>
      <w:tr w:rsidR="002F645F" w:rsidRPr="00C806C2" w:rsidTr="00D33359">
        <w:tc>
          <w:tcPr>
            <w:tcW w:w="2977" w:type="dxa"/>
          </w:tcPr>
          <w:p w:rsidR="002F645F" w:rsidRPr="003E447E" w:rsidRDefault="002F645F" w:rsidP="00D33359">
            <w:pPr>
              <w:jc w:val="left"/>
              <w:rPr>
                <w:b/>
                <w:sz w:val="20"/>
                <w:szCs w:val="20"/>
              </w:rPr>
            </w:pPr>
            <w:r w:rsidRPr="003E447E">
              <w:rPr>
                <w:b/>
                <w:sz w:val="20"/>
                <w:szCs w:val="20"/>
              </w:rPr>
              <w:t>Botanical species richness</w:t>
            </w:r>
          </w:p>
        </w:tc>
        <w:tc>
          <w:tcPr>
            <w:tcW w:w="2268" w:type="dxa"/>
            <w:shd w:val="clear" w:color="auto" w:fill="auto"/>
          </w:tcPr>
          <w:p w:rsidR="002F645F" w:rsidRPr="003E447E" w:rsidRDefault="002F645F" w:rsidP="00D33359">
            <w:pPr>
              <w:jc w:val="left"/>
              <w:rPr>
                <w:b/>
                <w:sz w:val="20"/>
                <w:szCs w:val="20"/>
              </w:rPr>
            </w:pPr>
            <w:r w:rsidRPr="003E447E">
              <w:rPr>
                <w:b/>
                <w:sz w:val="20"/>
                <w:szCs w:val="20"/>
              </w:rPr>
              <w:t>0.497</w:t>
            </w:r>
          </w:p>
        </w:tc>
        <w:tc>
          <w:tcPr>
            <w:tcW w:w="1843" w:type="dxa"/>
            <w:shd w:val="clear" w:color="auto" w:fill="auto"/>
          </w:tcPr>
          <w:p w:rsidR="002F645F" w:rsidRPr="003E447E" w:rsidRDefault="002F645F" w:rsidP="00D33359">
            <w:pPr>
              <w:rPr>
                <w:b/>
                <w:sz w:val="20"/>
                <w:szCs w:val="20"/>
              </w:rPr>
            </w:pPr>
            <w:r w:rsidRPr="003E447E">
              <w:rPr>
                <w:b/>
                <w:sz w:val="20"/>
                <w:szCs w:val="20"/>
              </w:rPr>
              <w:t>0.241</w:t>
            </w:r>
          </w:p>
        </w:tc>
        <w:tc>
          <w:tcPr>
            <w:tcW w:w="1559" w:type="dxa"/>
            <w:shd w:val="clear" w:color="auto" w:fill="auto"/>
          </w:tcPr>
          <w:p w:rsidR="002F645F" w:rsidRPr="003E447E" w:rsidRDefault="002F645F" w:rsidP="00D33359">
            <w:pPr>
              <w:rPr>
                <w:b/>
                <w:sz w:val="20"/>
                <w:szCs w:val="20"/>
              </w:rPr>
            </w:pPr>
            <w:r w:rsidRPr="003E447E">
              <w:rPr>
                <w:b/>
                <w:sz w:val="20"/>
                <w:szCs w:val="20"/>
              </w:rPr>
              <w:t>0.039</w:t>
            </w:r>
            <w:r>
              <w:rPr>
                <w:b/>
                <w:sz w:val="20"/>
                <w:szCs w:val="20"/>
              </w:rPr>
              <w:t>*</w:t>
            </w:r>
          </w:p>
        </w:tc>
      </w:tr>
      <w:tr w:rsidR="002F645F" w:rsidRPr="00C806C2" w:rsidTr="00D33359">
        <w:trPr>
          <w:trHeight w:val="271"/>
        </w:trPr>
        <w:tc>
          <w:tcPr>
            <w:tcW w:w="2977" w:type="dxa"/>
          </w:tcPr>
          <w:p w:rsidR="002F645F" w:rsidRPr="003E447E" w:rsidRDefault="002F645F" w:rsidP="00D33359">
            <w:pPr>
              <w:rPr>
                <w:b/>
                <w:sz w:val="20"/>
                <w:szCs w:val="20"/>
              </w:rPr>
            </w:pPr>
            <w:r w:rsidRPr="003E447E">
              <w:rPr>
                <w:b/>
                <w:sz w:val="20"/>
                <w:szCs w:val="20"/>
              </w:rPr>
              <w:t>Grazing (grazed v non grazed)</w:t>
            </w:r>
          </w:p>
        </w:tc>
        <w:tc>
          <w:tcPr>
            <w:tcW w:w="2268" w:type="dxa"/>
            <w:shd w:val="clear" w:color="auto" w:fill="auto"/>
          </w:tcPr>
          <w:p w:rsidR="002F645F" w:rsidRPr="003E447E" w:rsidRDefault="002F645F" w:rsidP="00D33359">
            <w:pPr>
              <w:jc w:val="left"/>
              <w:rPr>
                <w:b/>
                <w:sz w:val="20"/>
                <w:szCs w:val="20"/>
              </w:rPr>
            </w:pPr>
            <w:r w:rsidRPr="003E447E">
              <w:rPr>
                <w:b/>
                <w:sz w:val="20"/>
                <w:szCs w:val="20"/>
              </w:rPr>
              <w:t>-13.857</w:t>
            </w:r>
          </w:p>
        </w:tc>
        <w:tc>
          <w:tcPr>
            <w:tcW w:w="1843" w:type="dxa"/>
            <w:shd w:val="clear" w:color="auto" w:fill="auto"/>
          </w:tcPr>
          <w:p w:rsidR="002F645F" w:rsidRPr="003E447E" w:rsidRDefault="002F645F" w:rsidP="00D33359">
            <w:pPr>
              <w:rPr>
                <w:b/>
                <w:sz w:val="20"/>
                <w:szCs w:val="20"/>
              </w:rPr>
            </w:pPr>
            <w:r w:rsidRPr="003E447E">
              <w:rPr>
                <w:b/>
                <w:sz w:val="20"/>
                <w:szCs w:val="20"/>
              </w:rPr>
              <w:t>5.219</w:t>
            </w:r>
          </w:p>
        </w:tc>
        <w:tc>
          <w:tcPr>
            <w:tcW w:w="1559" w:type="dxa"/>
            <w:shd w:val="clear" w:color="auto" w:fill="auto"/>
          </w:tcPr>
          <w:p w:rsidR="002F645F" w:rsidRPr="003E447E" w:rsidRDefault="002F645F" w:rsidP="00D33359">
            <w:pPr>
              <w:rPr>
                <w:b/>
                <w:sz w:val="20"/>
                <w:szCs w:val="20"/>
              </w:rPr>
            </w:pPr>
            <w:r w:rsidRPr="003E447E">
              <w:rPr>
                <w:b/>
                <w:sz w:val="20"/>
                <w:szCs w:val="20"/>
              </w:rPr>
              <w:t>0.012*</w:t>
            </w:r>
          </w:p>
        </w:tc>
      </w:tr>
      <w:tr w:rsidR="002F645F" w:rsidRPr="00C806C2" w:rsidTr="00D33359">
        <w:trPr>
          <w:trHeight w:val="215"/>
        </w:trPr>
        <w:tc>
          <w:tcPr>
            <w:tcW w:w="2977" w:type="dxa"/>
            <w:tcBorders>
              <w:bottom w:val="single" w:sz="4" w:space="0" w:color="auto"/>
            </w:tcBorders>
          </w:tcPr>
          <w:p w:rsidR="002F645F" w:rsidRPr="00C806C2" w:rsidRDefault="002F645F" w:rsidP="00D33359">
            <w:pPr>
              <w:rPr>
                <w:sz w:val="20"/>
                <w:szCs w:val="20"/>
              </w:rPr>
            </w:pPr>
            <w:r w:rsidRPr="00C806C2">
              <w:rPr>
                <w:sz w:val="20"/>
                <w:szCs w:val="20"/>
              </w:rPr>
              <w:t>Tree variety</w:t>
            </w:r>
            <w:r>
              <w:rPr>
                <w:sz w:val="20"/>
                <w:szCs w:val="20"/>
              </w:rPr>
              <w:t xml:space="preserve"> (mixed v single)</w:t>
            </w:r>
          </w:p>
        </w:tc>
        <w:tc>
          <w:tcPr>
            <w:tcW w:w="2268" w:type="dxa"/>
            <w:tcBorders>
              <w:bottom w:val="single" w:sz="4" w:space="0" w:color="auto"/>
            </w:tcBorders>
            <w:shd w:val="clear" w:color="auto" w:fill="auto"/>
          </w:tcPr>
          <w:p w:rsidR="002F645F" w:rsidRPr="00C806C2" w:rsidRDefault="002F645F" w:rsidP="00D33359">
            <w:pPr>
              <w:jc w:val="left"/>
              <w:rPr>
                <w:sz w:val="20"/>
                <w:szCs w:val="20"/>
              </w:rPr>
            </w:pPr>
            <w:r>
              <w:rPr>
                <w:sz w:val="20"/>
                <w:szCs w:val="20"/>
              </w:rPr>
              <w:t>8.008</w:t>
            </w:r>
          </w:p>
        </w:tc>
        <w:tc>
          <w:tcPr>
            <w:tcW w:w="1843" w:type="dxa"/>
            <w:tcBorders>
              <w:bottom w:val="single" w:sz="4" w:space="0" w:color="auto"/>
            </w:tcBorders>
            <w:shd w:val="clear" w:color="auto" w:fill="auto"/>
          </w:tcPr>
          <w:p w:rsidR="002F645F" w:rsidRPr="00C806C2" w:rsidRDefault="002F645F" w:rsidP="00D33359">
            <w:pPr>
              <w:rPr>
                <w:sz w:val="20"/>
                <w:szCs w:val="20"/>
              </w:rPr>
            </w:pPr>
            <w:r>
              <w:rPr>
                <w:sz w:val="20"/>
                <w:szCs w:val="20"/>
              </w:rPr>
              <w:t>7.125</w:t>
            </w:r>
          </w:p>
        </w:tc>
        <w:tc>
          <w:tcPr>
            <w:tcW w:w="1559" w:type="dxa"/>
            <w:tcBorders>
              <w:bottom w:val="single" w:sz="4" w:space="0" w:color="auto"/>
            </w:tcBorders>
            <w:shd w:val="clear" w:color="auto" w:fill="auto"/>
          </w:tcPr>
          <w:p w:rsidR="002F645F" w:rsidRPr="00C806C2" w:rsidRDefault="002F645F" w:rsidP="00D33359">
            <w:pPr>
              <w:rPr>
                <w:sz w:val="20"/>
                <w:szCs w:val="20"/>
              </w:rPr>
            </w:pPr>
            <w:r>
              <w:rPr>
                <w:sz w:val="20"/>
                <w:szCs w:val="20"/>
              </w:rPr>
              <w:t>0.265</w:t>
            </w:r>
          </w:p>
        </w:tc>
      </w:tr>
    </w:tbl>
    <w:p w:rsidR="002F645F" w:rsidRDefault="002F645F" w:rsidP="002F645F">
      <w:pPr>
        <w:rPr>
          <w:rFonts w:cs="Times New Roman"/>
          <w:noProof/>
          <w:lang w:eastAsia="en-GB"/>
        </w:rPr>
      </w:pPr>
    </w:p>
    <w:p w:rsidR="002F645F" w:rsidRDefault="002F645F" w:rsidP="002F645F">
      <w:pPr>
        <w:rPr>
          <w:rFonts w:cs="Times New Roman"/>
          <w:noProof/>
          <w:lang w:eastAsia="en-GB"/>
        </w:rPr>
      </w:pPr>
      <w:r w:rsidRPr="00CC4C9B">
        <w:rPr>
          <w:noProof/>
          <w:highlight w:val="yellow"/>
          <w:lang w:eastAsia="en-GB"/>
        </w:rPr>
        <mc:AlternateContent>
          <mc:Choice Requires="wps">
            <w:drawing>
              <wp:anchor distT="45720" distB="45720" distL="114300" distR="114300" simplePos="0" relativeHeight="251674624" behindDoc="0" locked="0" layoutInCell="1" allowOverlap="1" wp14:anchorId="38CA9B7C" wp14:editId="4FBBC36E">
                <wp:simplePos x="0" y="0"/>
                <wp:positionH relativeFrom="column">
                  <wp:posOffset>2355012</wp:posOffset>
                </wp:positionH>
                <wp:positionV relativeFrom="paragraph">
                  <wp:posOffset>3270681</wp:posOffset>
                </wp:positionV>
                <wp:extent cx="616585" cy="252730"/>
                <wp:effectExtent l="0" t="0" r="0" b="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252730"/>
                        </a:xfrm>
                        <a:prstGeom prst="rect">
                          <a:avLst/>
                        </a:prstGeom>
                        <a:solidFill>
                          <a:srgbClr val="FFFFFF"/>
                        </a:solidFill>
                        <a:ln w="9525">
                          <a:noFill/>
                          <a:miter lim="800000"/>
                          <a:headEnd/>
                          <a:tailEnd/>
                        </a:ln>
                      </wps:spPr>
                      <wps:txbx>
                        <w:txbxContent>
                          <w:p w:rsidR="003C4E2F" w:rsidRPr="00CC4C9B" w:rsidRDefault="003C4E2F" w:rsidP="002F645F">
                            <w:pPr>
                              <w:spacing w:after="0" w:line="240" w:lineRule="auto"/>
                              <w:rPr>
                                <w:sz w:val="20"/>
                                <w:szCs w:val="20"/>
                              </w:rPr>
                            </w:pPr>
                            <w:r>
                              <w:rPr>
                                <w:b/>
                                <w:sz w:val="20"/>
                                <w:szCs w:val="20"/>
                              </w:rPr>
                              <w:t>Axis 1</w:t>
                            </w:r>
                            <w:r>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A9B7C" id="_x0000_s1037" type="#_x0000_t202" style="position:absolute;left:0;text-align:left;margin-left:185.45pt;margin-top:257.55pt;width:48.55pt;height:19.9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" stroked="f">
                <v:textbox>
                  <w:txbxContent>
                    <w:p w:rsidR="003C4E2F" w:rsidRPr="00CC4C9B" w:rsidRDefault="003C4E2F" w:rsidP="002F645F">
                      <w:pPr>
                        <w:spacing w:after="0" w:line="240" w:lineRule="auto"/>
                        <w:rPr>
                          <w:sz w:val="20"/>
                          <w:szCs w:val="20"/>
                        </w:rPr>
                      </w:pPr>
                      <w:r>
                        <w:rPr>
                          <w:b/>
                          <w:sz w:val="20"/>
                          <w:szCs w:val="20"/>
                        </w:rPr>
                        <w:t>Axis 1</w:t>
                      </w:r>
                      <w:r>
                        <w:rPr>
                          <w:sz w:val="20"/>
                          <w:szCs w:val="20"/>
                        </w:rPr>
                        <w:t xml:space="preserve">          </w:t>
                      </w:r>
                    </w:p>
                  </w:txbxContent>
                </v:textbox>
              </v:shape>
            </w:pict>
          </mc:Fallback>
        </mc:AlternateContent>
      </w:r>
      <w:r w:rsidRPr="00CC4C9B">
        <w:rPr>
          <w:noProof/>
          <w:highlight w:val="yellow"/>
          <w:lang w:eastAsia="en-GB"/>
        </w:rPr>
        <mc:AlternateContent>
          <mc:Choice Requires="wps">
            <w:drawing>
              <wp:anchor distT="45720" distB="45720" distL="114300" distR="114300" simplePos="0" relativeHeight="251671552" behindDoc="0" locked="0" layoutInCell="1" allowOverlap="1" wp14:anchorId="71453590" wp14:editId="0724D704">
                <wp:simplePos x="0" y="0"/>
                <wp:positionH relativeFrom="column">
                  <wp:posOffset>-280671</wp:posOffset>
                </wp:positionH>
                <wp:positionV relativeFrom="paragraph">
                  <wp:posOffset>1553845</wp:posOffset>
                </wp:positionV>
                <wp:extent cx="616689" cy="255181"/>
                <wp:effectExtent l="0" t="9525" r="2540" b="2540"/>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16689" cy="255181"/>
                        </a:xfrm>
                        <a:prstGeom prst="rect">
                          <a:avLst/>
                        </a:prstGeom>
                        <a:solidFill>
                          <a:srgbClr val="FFFFFF"/>
                        </a:solidFill>
                        <a:ln w="9525">
                          <a:noFill/>
                          <a:miter lim="800000"/>
                          <a:headEnd/>
                          <a:tailEnd/>
                        </a:ln>
                      </wps:spPr>
                      <wps:txbx>
                        <w:txbxContent>
                          <w:p w:rsidR="003C4E2F" w:rsidRPr="00CC4C9B" w:rsidRDefault="003C4E2F" w:rsidP="002F645F">
                            <w:pPr>
                              <w:spacing w:after="0" w:line="240" w:lineRule="auto"/>
                              <w:rPr>
                                <w:sz w:val="20"/>
                                <w:szCs w:val="20"/>
                              </w:rPr>
                            </w:pPr>
                            <w:r>
                              <w:rPr>
                                <w:b/>
                                <w:sz w:val="20"/>
                                <w:szCs w:val="20"/>
                              </w:rPr>
                              <w:t>Axis 2</w:t>
                            </w:r>
                            <w:r>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453590" id="_x0000_s1038" type="#_x0000_t202" style="position:absolute;left:0;text-align:left;margin-left:-22.1pt;margin-top:122.35pt;width:48.55pt;height:20.1pt;rotation:-90;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" stroked="f">
                <v:textbox>
                  <w:txbxContent>
                    <w:p w:rsidR="003C4E2F" w:rsidRPr="00CC4C9B" w:rsidRDefault="003C4E2F" w:rsidP="002F645F">
                      <w:pPr>
                        <w:spacing w:after="0" w:line="240" w:lineRule="auto"/>
                        <w:rPr>
                          <w:sz w:val="20"/>
                          <w:szCs w:val="20"/>
                        </w:rPr>
                      </w:pPr>
                      <w:r>
                        <w:rPr>
                          <w:b/>
                          <w:sz w:val="20"/>
                          <w:szCs w:val="20"/>
                        </w:rPr>
                        <w:t>Axis 2</w:t>
                      </w:r>
                      <w:r>
                        <w:rPr>
                          <w:sz w:val="20"/>
                          <w:szCs w:val="20"/>
                        </w:rPr>
                        <w:t xml:space="preserve">          </w:t>
                      </w:r>
                    </w:p>
                  </w:txbxContent>
                </v:textbox>
              </v:shape>
            </w:pict>
          </mc:Fallback>
        </mc:AlternateContent>
      </w:r>
      <w:r>
        <w:rPr>
          <w:rFonts w:cs="Times New Roman"/>
          <w:noProof/>
          <w:lang w:eastAsia="en-GB"/>
        </w:rPr>
        <w:drawing>
          <wp:inline distT="0" distB="0" distL="0" distR="0" wp14:anchorId="2B59781D" wp14:editId="2261CB33">
            <wp:extent cx="5140960" cy="3422012"/>
            <wp:effectExtent l="0" t="0" r="2540" b="76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spina DCA2.jpg"/>
                    <pic:cNvPicPr/>
                  </pic:nvPicPr>
                  <pic:blipFill rotWithShape="1">
                    <a:blip r:embed="rId68" cstate="print">
                      <a:extLst>
                        <a:ext uri="{28A0092B-C50C-407E-A947-70E740481C1C}">
                          <a14:useLocalDpi xmlns:a14="http://schemas.microsoft.com/office/drawing/2010/main" val="0"/>
                        </a:ext>
                      </a:extLst>
                    </a:blip>
                    <a:srcRect t="4939"/>
                    <a:stretch/>
                  </pic:blipFill>
                  <pic:spPr bwMode="auto">
                    <a:xfrm>
                      <a:off x="0" y="0"/>
                      <a:ext cx="5140960" cy="3422012"/>
                    </a:xfrm>
                    <a:prstGeom prst="rect">
                      <a:avLst/>
                    </a:prstGeom>
                    <a:ln>
                      <a:noFill/>
                    </a:ln>
                    <a:extLst>
                      <a:ext uri="{53640926-AAD7-44D8-BBD7-CCE9431645EC}">
                        <a14:shadowObscured xmlns:a14="http://schemas.microsoft.com/office/drawing/2010/main"/>
                      </a:ext>
                    </a:extLst>
                  </pic:spPr>
                </pic:pic>
              </a:graphicData>
            </a:graphic>
          </wp:inline>
        </w:drawing>
      </w:r>
    </w:p>
    <w:p w:rsidR="002F645F" w:rsidRPr="00BE1240" w:rsidRDefault="002F645F" w:rsidP="000F2456">
      <w:pPr>
        <w:pStyle w:val="Caption"/>
        <w:sectPr w:rsidR="002F645F" w:rsidRPr="00BE1240" w:rsidSect="00D33359">
          <w:pgSz w:w="11906" w:h="16838" w:code="9"/>
          <w:pgMar w:top="1134" w:right="1134" w:bottom="1134" w:left="2268" w:header="709" w:footer="709" w:gutter="0"/>
          <w:cols w:space="708"/>
          <w:docGrid w:linePitch="360"/>
        </w:sectPr>
      </w:pPr>
      <w:bookmarkStart w:id="458" w:name="_Ref469307214"/>
      <w:bookmarkStart w:id="459" w:name="_Toc469982793"/>
      <w:r>
        <w:t xml:space="preserve">Figure </w:t>
      </w:r>
      <w:r w:rsidR="00C44EF5">
        <w:fldChar w:fldCharType="begin"/>
      </w:r>
      <w:r w:rsidR="00C44EF5">
        <w:instrText xml:space="preserve"> STYLEREF 1 \s </w:instrText>
      </w:r>
      <w:r w:rsidR="00C44EF5">
        <w:fldChar w:fldCharType="separate"/>
      </w:r>
      <w:r w:rsidR="00E0714D">
        <w:rPr>
          <w:noProof/>
        </w:rPr>
        <w:t>4</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6</w:t>
      </w:r>
      <w:r w:rsidR="00C44EF5">
        <w:rPr>
          <w:noProof/>
        </w:rPr>
        <w:fldChar w:fldCharType="end"/>
      </w:r>
      <w:bookmarkEnd w:id="458"/>
      <w:r>
        <w:t xml:space="preserve"> </w:t>
      </w:r>
      <w:r w:rsidRPr="00B7722C">
        <w:t xml:space="preserve">DCA analysis showing the amount </w:t>
      </w:r>
      <w:r w:rsidRPr="000F2456">
        <w:t>of</w:t>
      </w:r>
      <w:r w:rsidRPr="00B7722C">
        <w:t xml:space="preserve"> variation in tree yield explained by TRF relative abundance. </w:t>
      </w:r>
      <w:r w:rsidRPr="00B7722C">
        <w:rPr>
          <w:rFonts w:cs="Times New Roman"/>
        </w:rPr>
        <w:t>Eigen values for DCA 1 (0.40) and DCA 2 (0.14). Arrow length is proportional to effect size</w:t>
      </w:r>
      <w:r w:rsidR="00334AAF">
        <w:rPr>
          <w:rFonts w:cs="Times New Roman"/>
        </w:rPr>
        <w:t>, however no effects were significant (p&lt;0.05)</w:t>
      </w:r>
      <w:r w:rsidRPr="00B7722C">
        <w:rPr>
          <w:rFonts w:cs="Times New Roman"/>
        </w:rPr>
        <w:t>.</w:t>
      </w:r>
      <w:bookmarkEnd w:id="459"/>
      <w:r w:rsidRPr="00B7722C">
        <w:rPr>
          <w:rFonts w:cs="Times New Roman"/>
        </w:rPr>
        <w:t xml:space="preserve"> </w:t>
      </w:r>
    </w:p>
    <w:p w:rsidR="002F645F" w:rsidRDefault="002F645F" w:rsidP="002F645F">
      <w:pPr>
        <w:rPr>
          <w:rFonts w:cs="Times New Roman"/>
          <w:noProof/>
          <w:lang w:eastAsia="en-GB"/>
        </w:rPr>
      </w:pPr>
      <w:r>
        <w:rPr>
          <w:rFonts w:cs="Times New Roman"/>
          <w:noProof/>
          <w:lang w:eastAsia="en-GB"/>
        </w:rPr>
        <w:lastRenderedPageBreak/>
        <w:drawing>
          <wp:inline distT="0" distB="0" distL="0" distR="0" wp14:anchorId="1CBD3520" wp14:editId="21ABDF0C">
            <wp:extent cx="5113307" cy="7560000"/>
            <wp:effectExtent l="0" t="0" r="0" b="317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ll_orchard_management_figs.png"/>
                    <pic:cNvPicPr/>
                  </pic:nvPicPr>
                  <pic:blipFill rotWithShape="1">
                    <a:blip r:embed="rId69" cstate="print">
                      <a:extLst>
                        <a:ext uri="{28A0092B-C50C-407E-A947-70E740481C1C}">
                          <a14:useLocalDpi xmlns:a14="http://schemas.microsoft.com/office/drawing/2010/main" val="0"/>
                        </a:ext>
                      </a:extLst>
                    </a:blip>
                    <a:srcRect t="2135" b="1754"/>
                    <a:stretch/>
                  </pic:blipFill>
                  <pic:spPr bwMode="auto">
                    <a:xfrm>
                      <a:off x="0" y="0"/>
                      <a:ext cx="5113307" cy="7560000"/>
                    </a:xfrm>
                    <a:prstGeom prst="rect">
                      <a:avLst/>
                    </a:prstGeom>
                    <a:ln>
                      <a:noFill/>
                    </a:ln>
                    <a:extLst>
                      <a:ext uri="{53640926-AAD7-44D8-BBD7-CCE9431645EC}">
                        <a14:shadowObscured xmlns:a14="http://schemas.microsoft.com/office/drawing/2010/main"/>
                      </a:ext>
                    </a:extLst>
                  </pic:spPr>
                </pic:pic>
              </a:graphicData>
            </a:graphic>
          </wp:inline>
        </w:drawing>
      </w:r>
    </w:p>
    <w:p w:rsidR="002F645F" w:rsidRPr="0029607A" w:rsidRDefault="002F645F" w:rsidP="000F2456">
      <w:pPr>
        <w:pStyle w:val="Caption"/>
        <w:sectPr w:rsidR="002F645F" w:rsidRPr="0029607A" w:rsidSect="00D33359">
          <w:footerReference w:type="even" r:id="rId70"/>
          <w:pgSz w:w="11906" w:h="16838" w:code="9"/>
          <w:pgMar w:top="1134" w:right="1134" w:bottom="1134" w:left="2268" w:header="709" w:footer="709" w:gutter="0"/>
          <w:cols w:space="708"/>
          <w:docGrid w:linePitch="360"/>
        </w:sectPr>
      </w:pPr>
      <w:bookmarkStart w:id="460" w:name="_Ref469307516"/>
      <w:bookmarkStart w:id="461" w:name="_Toc469982794"/>
      <w:r>
        <w:t xml:space="preserve">Figure </w:t>
      </w:r>
      <w:r w:rsidR="00C44EF5">
        <w:fldChar w:fldCharType="begin"/>
      </w:r>
      <w:r w:rsidR="00C44EF5">
        <w:instrText xml:space="preserve"> STYLEREF 1 \s </w:instrText>
      </w:r>
      <w:r w:rsidR="00C44EF5">
        <w:fldChar w:fldCharType="separate"/>
      </w:r>
      <w:r w:rsidR="00E0714D">
        <w:rPr>
          <w:noProof/>
        </w:rPr>
        <w:t>4</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7</w:t>
      </w:r>
      <w:r w:rsidR="00C44EF5">
        <w:rPr>
          <w:noProof/>
        </w:rPr>
        <w:fldChar w:fldCharType="end"/>
      </w:r>
      <w:bookmarkEnd w:id="460"/>
      <w:r>
        <w:t xml:space="preserve"> </w:t>
      </w:r>
      <w:r w:rsidRPr="0029607A">
        <w:rPr>
          <w:noProof/>
          <w:lang w:eastAsia="en-GB"/>
        </w:rPr>
        <w:t xml:space="preserve">Summary of measured differences between three orchard management types. Orchard type codes are as follows: CB; conventional bush, CS: conventional standard, OS: organic standard. </w:t>
      </w:r>
      <w:r w:rsidR="001663D1">
        <w:rPr>
          <w:noProof/>
          <w:lang w:eastAsia="en-GB"/>
        </w:rPr>
        <w:t>Box plots</w:t>
      </w:r>
      <w:r w:rsidRPr="0029607A">
        <w:rPr>
          <w:noProof/>
          <w:lang w:eastAsia="en-GB"/>
        </w:rPr>
        <w:t xml:space="preserve"> (b) and (d) </w:t>
      </w:r>
      <w:r>
        <w:rPr>
          <w:noProof/>
          <w:lang w:eastAsia="en-GB"/>
        </w:rPr>
        <w:t>present</w:t>
      </w:r>
      <w:r w:rsidRPr="0029607A">
        <w:rPr>
          <w:noProof/>
          <w:lang w:eastAsia="en-GB"/>
        </w:rPr>
        <w:t xml:space="preserve"> </w:t>
      </w:r>
      <w:r>
        <w:rPr>
          <w:noProof/>
          <w:lang w:eastAsia="en-GB"/>
        </w:rPr>
        <w:t>fruit yield and tree diameter at breast height (DBH) averages respectively for 40 trees per orchard type</w:t>
      </w:r>
      <w:r w:rsidR="00B0194E">
        <w:rPr>
          <w:noProof/>
          <w:lang w:eastAsia="en-GB"/>
        </w:rPr>
        <w:t xml:space="preserve"> (n=20)</w:t>
      </w:r>
      <w:r w:rsidRPr="0029607A">
        <w:rPr>
          <w:noProof/>
          <w:lang w:eastAsia="en-GB"/>
        </w:rPr>
        <w:t>,</w:t>
      </w:r>
      <w:r>
        <w:rPr>
          <w:noProof/>
          <w:lang w:eastAsia="en-GB"/>
        </w:rPr>
        <w:t xml:space="preserve"> (h) fertiliser input for conventional bush orchards only (n=25),</w:t>
      </w:r>
      <w:r w:rsidRPr="0029607A">
        <w:rPr>
          <w:noProof/>
          <w:lang w:eastAsia="en-GB"/>
        </w:rPr>
        <w:t xml:space="preserve"> all other </w:t>
      </w:r>
      <w:r>
        <w:rPr>
          <w:noProof/>
          <w:lang w:eastAsia="en-GB"/>
        </w:rPr>
        <w:t xml:space="preserve">data presented is </w:t>
      </w:r>
      <w:r w:rsidRPr="0029607A">
        <w:rPr>
          <w:noProof/>
          <w:lang w:eastAsia="en-GB"/>
        </w:rPr>
        <w:t>orchard averages (</w:t>
      </w:r>
      <w:r>
        <w:rPr>
          <w:noProof/>
          <w:lang w:eastAsia="en-GB"/>
        </w:rPr>
        <w:t>n = 25</w:t>
      </w:r>
      <w:r w:rsidRPr="0029607A">
        <w:rPr>
          <w:noProof/>
          <w:lang w:eastAsia="en-GB"/>
        </w:rPr>
        <w:t>).  Boxplots represent the median (midline), quartiles  (box) and maximum and minimum values (whiskers).</w:t>
      </w:r>
      <w:bookmarkEnd w:id="461"/>
    </w:p>
    <w:p w:rsidR="002F645F" w:rsidRPr="00F76AE2" w:rsidRDefault="002F645F" w:rsidP="002F645F">
      <w:pPr>
        <w:pStyle w:val="Heading2"/>
      </w:pPr>
      <w:bookmarkStart w:id="462" w:name="_Toc469855070"/>
      <w:bookmarkStart w:id="463" w:name="_Toc469856070"/>
      <w:bookmarkStart w:id="464" w:name="_Toc469931979"/>
      <w:bookmarkStart w:id="465" w:name="_Toc469982300"/>
      <w:r w:rsidRPr="00DB19AE">
        <w:lastRenderedPageBreak/>
        <w:t>Discussion</w:t>
      </w:r>
      <w:bookmarkEnd w:id="462"/>
      <w:bookmarkEnd w:id="463"/>
      <w:bookmarkEnd w:id="464"/>
      <w:bookmarkEnd w:id="465"/>
    </w:p>
    <w:p w:rsidR="002F645F" w:rsidRDefault="002F645F" w:rsidP="002F645F">
      <w:pPr>
        <w:rPr>
          <w:rFonts w:cs="Times New Roman"/>
        </w:rPr>
      </w:pPr>
      <w:r>
        <w:rPr>
          <w:rFonts w:cs="Times New Roman"/>
        </w:rPr>
        <w:t>This chapter aimed to characterise the AMF communities colonising apple roots in cider orchards and test whether they differed between orchards of different management types. A further aim was to examine the relationship between AMF richness and community composition with tree yield.</w:t>
      </w:r>
    </w:p>
    <w:p w:rsidR="002F645F" w:rsidRDefault="002F645F" w:rsidP="002F645F">
      <w:pPr>
        <w:pStyle w:val="Heading3"/>
      </w:pPr>
      <w:bookmarkStart w:id="466" w:name="_Toc469855071"/>
      <w:bookmarkStart w:id="467" w:name="_Toc469856071"/>
      <w:bookmarkStart w:id="468" w:name="_Toc469931980"/>
      <w:bookmarkStart w:id="469" w:name="_Toc469982301"/>
      <w:r>
        <w:t>Conventional bush orchards which are most intensively managed had the highest AMF richness</w:t>
      </w:r>
      <w:bookmarkEnd w:id="466"/>
      <w:bookmarkEnd w:id="467"/>
      <w:bookmarkEnd w:id="468"/>
      <w:bookmarkEnd w:id="469"/>
      <w:r>
        <w:t xml:space="preserve"> </w:t>
      </w:r>
    </w:p>
    <w:p w:rsidR="002F645F" w:rsidRDefault="002F645F" w:rsidP="002F645F">
      <w:r>
        <w:t>Conventional bush orchards showed the highest level of AMF richness (16.7 TRFs) and were significantly richer than organic standard orchards (13.3 TRFs) (</w:t>
      </w:r>
      <w:r w:rsidR="00C44EF5">
        <w:fldChar w:fldCharType="begin"/>
      </w:r>
      <w:r w:rsidR="00C44EF5">
        <w:instrText xml:space="preserve"> REF _Ref468127334 </w:instrText>
      </w:r>
      <w:r w:rsidR="00C44EF5">
        <w:fldChar w:fldCharType="separate"/>
      </w:r>
      <w:r w:rsidR="00E0714D">
        <w:t xml:space="preserve">Figure </w:t>
      </w:r>
      <w:r w:rsidR="00E0714D">
        <w:rPr>
          <w:noProof/>
        </w:rPr>
        <w:t>4</w:t>
      </w:r>
      <w:r w:rsidR="00E0714D">
        <w:t>.</w:t>
      </w:r>
      <w:r w:rsidR="00E0714D">
        <w:rPr>
          <w:noProof/>
        </w:rPr>
        <w:t>2</w:t>
      </w:r>
      <w:r w:rsidR="00C44EF5">
        <w:rPr>
          <w:noProof/>
        </w:rPr>
        <w:fldChar w:fldCharType="end"/>
      </w:r>
      <w:r>
        <w:t xml:space="preserve">). This is an unexpected result as it contrasts with many published studied which report reduced AMF richness in more intensively managed agricultural systems </w:t>
      </w:r>
      <w:r>
        <w:fldChar w:fldCharType="begin"/>
      </w:r>
      <w:r w:rsidR="00954B3D">
        <w:instrText xml:space="preserve"> ADDIN ZOTERO_ITEM CSL_CITATION {"citationID":"12k4q9vl23","properties":{"formattedCitation":"{\\rtf (Gosling {\\i{}et al.}, 2006; Valyi {\\i{}et al.}, 2015)}","plainCitation":"(Gosling et al., 2006; Valyi et al., 2015)"},"citationItems":[{"id":456,"uris":["http://zotero.org/users/local/d1gJDEOw/items/NJQG6MI8"],"uri":["http://zotero.org/users/local/d1gJDEOw/items/NJQG6MI8"],"itemData":{"id":456,"type":"article-journal","title":"Arbuscular mycorrhizal fungi and organic farming","container-title":"Agriculture, Ecosystems &amp; Environment","page":"17-35","volume":"113","issue":"1–4","source":"ScienceDirect","abstract":"Symbiotic associations between arbuscular mycorrhizal fungi and plant roots are widespread in the natural environment and can provide a range of benefits to the host plant. These include improved nutrition, enhanced resistance to soil-borne pests and disease, improved resistance to drought, tolerance of heavy metals and better soil structure. Many agricultural crops are mycorrhizal and there is widespread if equivocal evidence that crop plants benefit from the arbuscular mycorrhizal (AM) association in the same way. However, many agricultural practices including use of fertilisers and biocides, tillage, monocultures and the growing of non-mycorrhizal crops are detrimental to arbuscular mycorrhizal fungi (AMF). As a result, agroecosystems are impoverished in AMF and may not provide the full range of benefits to the crop. Organic farming systems may be less detrimental to AMF because they exclude the use of water-soluble fertilisers and most biocides and generally have diverse rotations. The evidence available suggests that this leads to increased AMF inoculum in soils, greater crop colonisation and enhanced nutrient uptake. AMF might therefore be able to substitute for reduced fertiliser and biocide inputs in organic systems, though there is little evidence for increased yield resulting from high rates of AMF colonisation in organic systems. This review examines the benefits that the AM association can have for agroecosystems and how farm management practices influence the AM association. Management options that may be employed to increase the benefits that AMF can bring to this type of farming system, such as changes to the rotation and careful use of tillage, are discussed.","DOI":"10.1016/j.agee.2005.09.009","ISSN":"0167-8809","journalAbbreviation":"Agriculture, Ecosystems &amp; Environment","author":[{"family":"Gosling","given":"P."},{"family":"Hodge","given":"A."},{"family":"Goodlass","given":"G."},{"family":"Bending","given":"G. D."}],"issued":{"date-parts":[["2006",4]]}}},{"id":500,"uris":["http://zotero.org/users/local/d1gJDEOw/items/HWURQ62S"],"uri":["http://zotero.org/users/local/d1gJDEOw/items/HWURQ62S"],"itemData":{"id":500,"type":"article-journal","title":"Land-use intensity and host plant identity interactively shape communities of arbuscular mycorrhizal fungi in roots of grassland plants","container-title":"New Phytologist","page":"1577-1586","volume":"205","issue":"4","source":"Web of Science","abstract":"We studied the effect of host plant identity and land-use intensity (LUI) on arbuscular mycorrhizal fungi (AMF, Glomeromycota) communities in roots of grassland plants. These are relevant factors for intraradical AMF communities in temperate grasslands, which are habitats where AMF are present in high abundance and diversity. In order to focus on fungi that directly interact with the plant at the time, we investigated root-colonizing communities. Our study sites represent an LUI gradient with different combinations of grazing, mowing, and fertilization. We used massively parallel multitag pyrosequencing to investigate AMF communities in a large number of root samples, while being able to track the identity of the host. We showed that host plants significantly differed in AMF community composition, while land use modified this effect in a plant species-specific manner. Communities in medium and low land-use sites were subsets of high land-use communities, suggesting a differential effect of land use on the dispersal of AMF species with different abundances and competitive abilities. We demonstrate that in these grasslands, there is a small group of highly abundant, generalist fungi which represent the dominating species in the AMF community.","DOI":"10.1111/nph.13236","ISSN":"0028-646X","note":"WOS:000349386300027","journalAbbreviation":"New Phytol.","language":"English","author":[{"family":"Valyi","given":"Kriszta"},{"family":"Rillig","given":"Matthias C."},{"family":"Hempel","given":"Stefan"}],"issued":{"date-parts":[["2015",3]]}}}],"schema":"https://github.com/citation-style-language/schema/raw/master/csl-citation.json"} </w:instrText>
      </w:r>
      <w:r>
        <w:fldChar w:fldCharType="separate"/>
      </w:r>
      <w:r w:rsidR="00954B3D" w:rsidRPr="00954B3D">
        <w:rPr>
          <w:rFonts w:cs="Times New Roman"/>
          <w:szCs w:val="24"/>
        </w:rPr>
        <w:t xml:space="preserve">(Gosling </w:t>
      </w:r>
      <w:r w:rsidR="00954B3D" w:rsidRPr="00954B3D">
        <w:rPr>
          <w:rFonts w:cs="Times New Roman"/>
          <w:i/>
          <w:iCs/>
          <w:szCs w:val="24"/>
        </w:rPr>
        <w:t>et al.</w:t>
      </w:r>
      <w:r w:rsidR="00954B3D" w:rsidRPr="00954B3D">
        <w:rPr>
          <w:rFonts w:cs="Times New Roman"/>
          <w:szCs w:val="24"/>
        </w:rPr>
        <w:t xml:space="preserve">, 2006; </w:t>
      </w:r>
      <w:proofErr w:type="spellStart"/>
      <w:r w:rsidR="00954B3D" w:rsidRPr="00954B3D">
        <w:rPr>
          <w:rFonts w:cs="Times New Roman"/>
          <w:szCs w:val="24"/>
        </w:rPr>
        <w:t>Valyi</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2015)</w:t>
      </w:r>
      <w:r>
        <w:fldChar w:fldCharType="end"/>
      </w:r>
      <w:r>
        <w:t>.</w:t>
      </w:r>
      <w:r w:rsidRPr="00995F61">
        <w:t xml:space="preserve"> </w:t>
      </w:r>
      <w:r>
        <w:t>However analysis of management effects on AMF richness showed that orchard age has a significant negative relationship with AMF richness. Therefore difference between AMF richness between orchards may be partly explained by differences in the average age of trees within different orchard types as conventional bush orchard are on average the youngest of the orchards systems (19 year since planting date) in comparison to the more traditional orchard systems conventional standard (average 58 years) and organic standard (average 57 years) (</w:t>
      </w:r>
      <w:r w:rsidR="00C44EF5">
        <w:fldChar w:fldCharType="begin"/>
      </w:r>
      <w:r w:rsidR="00C44EF5">
        <w:instrText xml:space="preserve"> REF _Ref469307516 </w:instrText>
      </w:r>
      <w:r w:rsidR="00C44EF5">
        <w:fldChar w:fldCharType="separate"/>
      </w:r>
      <w:r w:rsidR="00E0714D">
        <w:t xml:space="preserve">Figure </w:t>
      </w:r>
      <w:r w:rsidR="00E0714D">
        <w:rPr>
          <w:noProof/>
        </w:rPr>
        <w:t>4</w:t>
      </w:r>
      <w:r w:rsidR="00E0714D">
        <w:t>.</w:t>
      </w:r>
      <w:r w:rsidR="00E0714D">
        <w:rPr>
          <w:noProof/>
        </w:rPr>
        <w:t>7</w:t>
      </w:r>
      <w:r w:rsidR="00C44EF5">
        <w:rPr>
          <w:noProof/>
        </w:rPr>
        <w:fldChar w:fldCharType="end"/>
      </w:r>
      <w:r>
        <w:t xml:space="preserve">a). </w:t>
      </w:r>
    </w:p>
    <w:p w:rsidR="002F645F" w:rsidRDefault="002F645F" w:rsidP="002F645F">
      <w:r>
        <w:t xml:space="preserve"> Our fie</w:t>
      </w:r>
      <w:r w:rsidR="00072630">
        <w:t>ld sampling approach meant orchards</w:t>
      </w:r>
      <w:r>
        <w:t xml:space="preserve"> were only selected if they were more than 10 years of age as this is the age at which most apple varieties begin to reach a mature size. However, trees are still actively growing at this stage </w:t>
      </w:r>
      <w:r>
        <w:fldChar w:fldCharType="begin"/>
      </w:r>
      <w:r w:rsidR="00954B3D">
        <w:instrText xml:space="preserve"> ADDIN ZOTERO_ITEM CSL_CITATION {"citationID":"3jsgaqc4t","properties":{"formattedCitation":"(Williams, 1996)","plainCitation":"(Williams, 1996)"},"citationItems":[{"id":625,"uris":["http://zotero.org/users/local/d1gJDEOw/items/DTKWXZGH"],"uri":["http://zotero.org/users/local/d1gJDEOw/items/DTKWXZGH"],"itemData":{"id":625,"type":"book","title":"Cider and Juice Apples: Growing and Processing","publisher":"Unviersity of Bristol Printing Unit","author":[{"family":"Williams","given":"R.R"}],"issued":{"date-parts":[["1996"]]}}}],"schema":"https://github.com/citation-style-language/schema/raw/master/csl-citation.json"} </w:instrText>
      </w:r>
      <w:r>
        <w:fldChar w:fldCharType="separate"/>
      </w:r>
      <w:r w:rsidR="00954B3D" w:rsidRPr="00954B3D">
        <w:rPr>
          <w:rFonts w:cs="Times New Roman"/>
        </w:rPr>
        <w:t>(Williams, 1996)</w:t>
      </w:r>
      <w:r>
        <w:fldChar w:fldCharType="end"/>
      </w:r>
      <w:r>
        <w:t xml:space="preserve">. Increased allocation of carbon to root systems has been shown for trees during early stages of growth </w:t>
      </w:r>
      <w:r w:rsidRPr="00F12228">
        <w:rPr>
          <w:rFonts w:cs="Times New Roman"/>
          <w:szCs w:val="24"/>
        </w:rPr>
        <w:t>(</w:t>
      </w:r>
      <w:proofErr w:type="spellStart"/>
      <w:r w:rsidRPr="00F12228">
        <w:rPr>
          <w:rFonts w:cs="Times New Roman"/>
          <w:szCs w:val="24"/>
        </w:rPr>
        <w:t>Raich</w:t>
      </w:r>
      <w:proofErr w:type="spellEnd"/>
      <w:r w:rsidRPr="00F12228">
        <w:rPr>
          <w:rFonts w:cs="Times New Roman"/>
          <w:szCs w:val="24"/>
        </w:rPr>
        <w:t xml:space="preserve"> </w:t>
      </w:r>
      <w:r w:rsidRPr="00F12228">
        <w:rPr>
          <w:rFonts w:cs="Times New Roman"/>
          <w:i/>
          <w:iCs/>
          <w:szCs w:val="24"/>
        </w:rPr>
        <w:t>et al.</w:t>
      </w:r>
      <w:r w:rsidRPr="00F12228">
        <w:rPr>
          <w:rFonts w:cs="Times New Roman"/>
          <w:szCs w:val="24"/>
        </w:rPr>
        <w:t>, 2014)</w:t>
      </w:r>
      <w:r>
        <w:rPr>
          <w:rFonts w:cs="Times New Roman"/>
          <w:szCs w:val="24"/>
        </w:rPr>
        <w:t xml:space="preserve"> to allow capture of nutrients and resources needed to sustain growth rates. </w:t>
      </w:r>
      <w:r>
        <w:t xml:space="preserve">It is therefore possible that due to differences in growth, younger trees may be allocating more C below ground thus affecting AMF community dynamics within roots in comparison to older trees </w:t>
      </w:r>
      <w:r>
        <w:fldChar w:fldCharType="begin"/>
      </w:r>
      <w:r w:rsidR="00954B3D">
        <w:instrText xml:space="preserve"> ADDIN ZOTERO_ITEM CSL_CITATION {"citationID":"2p35nhooh7","properties":{"formattedCitation":"{\\rtf (G\\uc0\\u233{}nard {\\i{}et al.}, 2008)}","plainCitation":"(Génard et al., 2008)"},"citationItems":[{"id":648,"uris":["http://zotero.org/users/local/d1gJDEOw/items/2QC45XQ5"],"uri":["http://zotero.org/users/local/d1gJDEOw/items/2QC45XQ5"],"itemData":{"id":648,"type":"article-journal","title":"Carbon allocation in fruit trees: from theory to modelling","container-title":"Trees","page":"269-282","volume":"22","issue":"3","source":"link.springer.com","abstract":"Carbon allocation within a plant depends on complex rules linking source organs (mainly shoots) and sink organs (mainly roots and fruits). The complexity of these rules comes from both regulations and interactions between various plant processes involving carbon. This paper presents these regulations and interactions, and analyses how agricultural management can influence them. Ecophysiological models of carbon production and allocation are good tools for such analyses. The fundamental bases of these models are first presented, focusing on their underlying processes and concepts. Different approaches are used for modelling carbon economy. They are classified as empirical, teleonomic, driven by source–sink relationships, or based on transport and chemical/biochemical conversion concepts. These four approaches are presented with a particular emphasis on the regulations and interactions between organs and between processes. The role of plant architecture in carbon partitioning is also discussed and the interest of coupling plant architecture models with carbon allocation models is highlighted. As an illustration of carbon allocation models, a model developed for peach trees, describing carbon transfer within the plant, and based on source–sink and Münch transport theory is presented and used for analyzing the link between roots, shoots and reproductive compartments. On this basis, the consequences of fruit load or plant pruning on fruit and vegetative growth can be evaluated.","DOI":"10.1007/s00468-007-0176-5","ISSN":"0931-1890, 1432-2285","shortTitle":"Carbon allocation in fruit trees","journalAbbreviation":"Trees","language":"en","author":[{"family":"Génard","given":"Michel"},{"family":"Dauzat","given":"Jean"},{"family":"Franck","given":"Nicolás"},{"family":"Lescourret","given":"Françoise"},{"family":"Moitrier","given":"Nicolas"},{"family":"Vaast","given":"Philippe"},{"family":"Vercambre","given":"Gilles"}],"issued":{"date-parts":[["2008",6,1]]}}}],"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Génard</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2008)</w:t>
      </w:r>
      <w:r>
        <w:fldChar w:fldCharType="end"/>
      </w:r>
      <w:r>
        <w:t xml:space="preserve"> resulting in increased richness of AMF. </w:t>
      </w:r>
    </w:p>
    <w:p w:rsidR="002F645F" w:rsidRDefault="002F645F" w:rsidP="002F645F">
      <w:r>
        <w:t xml:space="preserve">Furthermore a small proportion of the conventional standard orchards (12%) sampled by this study were exceptionally old with trees circa 120 years of age which is nearing the end of the life span of an apple tree </w:t>
      </w:r>
      <w:r>
        <w:fldChar w:fldCharType="begin"/>
      </w:r>
      <w:r w:rsidR="00954B3D">
        <w:instrText xml:space="preserve"> ADDIN ZOTERO_ITEM CSL_CITATION {"citationID":"193t5oh0do","properties":{"formattedCitation":"(Williams, 1996)","plainCitation":"(Williams, 1996)"},"citationItems":[{"id":625,"uris":["http://zotero.org/users/local/d1gJDEOw/items/DTKWXZGH"],"uri":["http://zotero.org/users/local/d1gJDEOw/items/DTKWXZGH"],"itemData":{"id":625,"type":"book","title":"Cider and Juice Apples: Growing and Processing","publisher":"Unviersity of Bristol Printing Unit","author":[{"family":"Williams","given":"R.R"}],"issued":{"date-parts":[["1996"]]}}}],"schema":"https://github.com/citation-style-language/schema/raw/master/csl-citation.json"} </w:instrText>
      </w:r>
      <w:r>
        <w:fldChar w:fldCharType="separate"/>
      </w:r>
      <w:r w:rsidR="00954B3D" w:rsidRPr="00954B3D">
        <w:rPr>
          <w:rFonts w:cs="Times New Roman"/>
        </w:rPr>
        <w:t>(Williams, 1996)</w:t>
      </w:r>
      <w:r>
        <w:fldChar w:fldCharType="end"/>
      </w:r>
      <w:r>
        <w:t>. It is possibly that increased root senescence or a reduction in net carbon fixation by old trees might result in reductions in abundance and diversity of AMF</w:t>
      </w:r>
      <w:r w:rsidR="00072630">
        <w:t xml:space="preserve"> due to reduction in C supply. </w:t>
      </w:r>
      <w:r>
        <w:t xml:space="preserve">Other studies have previously reported differences in the community composition of AMF colonising young trees in comparison to mature trees. However, these show contrasting results with some reporting increased diversity in mature trees </w:t>
      </w:r>
      <w:r>
        <w:fldChar w:fldCharType="begin"/>
      </w:r>
      <w:r w:rsidR="00954B3D">
        <w:instrText xml:space="preserve"> ADDIN ZOTERO_ITEM CSL_CITATION {"citationID":"1ebj2v49oa","properties":{"formattedCitation":"{\\rtf (Rodr\\uc0\\u237{}guez-Morelos {\\i{}et al.}, 2014)}","plainCitation":"(Rodríguez-Morelos et al., 2014)"},"citationItems":[{"id":629,"uris":["http://zotero.org/users/local/d1gJDEOw/items/HC7UIQQQ"],"uri":["http://zotero.org/users/local/d1gJDEOw/items/HC7UIQQQ"],"itemData":{"id":629,"type":"article-journal","title":"Arbuscular mycorrhizal fungi associated with the rhizosphere of seedlings and mature trees of Swietenia macrophylla (Magnoliophyta: Meliaceae) in Los Tuxtlas, Veracruz, Mexico","container-title":"Revista Chilena de Historia Natural","page":"9","volume":"87","source":"BioMed Central","abstract":"Big-leaf mahogany (Swietenia macrophylla King) is the woody species with the highest economic value in Latin America. Currently, it is subject to intensive exploitation, diminishing its natural populations. Due to this decline, the species is a preferred species for reforestation and establishment of commercial tropical plantations. Mycorrhizal symbiosis is a biotic factor scarcely studied in the ecology of this species. Therefore, the objective of this research was to identify the diversity of arbuscular mycorrhizal fungi (AMF) species associated with the rhizosphere of seedlings and mature trees of big-leaf mahogany growing in its natural habitat, a tropical rain forest in Los Tuxtlas, Veracruz, Mexico. Soil samples from a 20-cm depth were taken from the rhizosphere of big-leaf mahogany seedlings and mature trees. Additionally, spores from the rhizosphere soil were propagated on Sorghum vulgare, isolated and identified. The percentage of AMF colonization was also evaluated.","DOI":"10.1186/s40693-014-0009-z","ISSN":"0717-6317","shortTitle":"Arbuscular mycorrhizal fungi associated with the rhizosphere of seedlings and mature trees of Swietenia macrophylla (Magnoliophyta","journalAbbreviation":"Revista Chilena de Historia Natural","author":[{"family":"Rodríguez-Morelos","given":"Víctor H."},{"family":"Soto-Estrada","given":"Alejandra"},{"family":"Pérez-Moreno","given":"Jesús"},{"family":"Franco-Ramírez","given":"Alicia"},{"family":"Díaz-Rivera","given":"Pablo"}],"issued":{"date-parts":[["2014"]]}}}],"schema":"https://github.com/citation-style-language/schema/raw/master/csl-citation.json"} </w:instrText>
      </w:r>
      <w:r>
        <w:fldChar w:fldCharType="separate"/>
      </w:r>
      <w:r w:rsidR="00954B3D" w:rsidRPr="00954B3D">
        <w:rPr>
          <w:rFonts w:cs="Times New Roman"/>
          <w:szCs w:val="24"/>
        </w:rPr>
        <w:t xml:space="preserve">(Rodríguez-Morelos </w:t>
      </w:r>
      <w:r w:rsidR="00954B3D" w:rsidRPr="00954B3D">
        <w:rPr>
          <w:rFonts w:cs="Times New Roman"/>
          <w:i/>
          <w:iCs/>
          <w:szCs w:val="24"/>
        </w:rPr>
        <w:t>et al.</w:t>
      </w:r>
      <w:r w:rsidR="00954B3D" w:rsidRPr="00954B3D">
        <w:rPr>
          <w:rFonts w:cs="Times New Roman"/>
          <w:szCs w:val="24"/>
        </w:rPr>
        <w:t>, 2014)</w:t>
      </w:r>
      <w:r>
        <w:fldChar w:fldCharType="end"/>
      </w:r>
      <w:r>
        <w:t xml:space="preserve"> and others reporting the opposite </w:t>
      </w:r>
      <w:r>
        <w:fldChar w:fldCharType="begin"/>
      </w:r>
      <w:r w:rsidR="00954B3D">
        <w:instrText xml:space="preserve"> ADDIN ZOTERO_ITEM CSL_CITATION {"citationID":"2bp8a77pcl","properties":{"formattedCitation":"{\\rtf (Husband {\\i{}et al.}, 2002)}","plainCitation":"(Husband et al., 2002)"},"citationItems":[{"id":641,"uris":["http://zotero.org/users/local/d1gJDEOw/items/VBU6J9KG"],"uri":["http://zotero.org/users/local/d1gJDEOw/items/VBU6J9KG"],"itemData":{"id":641,"type":"article-journal","title":"Temporal variation in the arbuscular mycorrhizal communities colonising seedlings in a tropical forest","container-title":"FEMS Microbiology Ecology","page":"131-136","volume":"42","issue":"1","source":"femsec.oxfordjournals.org","abstract":"In order to investigate temporal variation in the arbuscular mycorrhizal (AM) fungal community in a tropical forest in the Republic of Panama, seedlings of the canopy emergent Tetragastris panamensis were sampled three times over a period of 3 years. We used AM-specific primers to amplify and clone partial small subunit ribosomal RNA gene sequences. Over 550 clones were classified into 18 AM fungal types. As the seedlings matured, the fungal diversity decreased and there was a significant shift so that previously rare types replaced formerly dominant fungal types. Further, seedlings of different ages sampled at the same time point were colonised by significantly different fungal populations. Our results indicate that both time and host age may influence the mycorrhizal population.","DOI":"10.1111/j.1574-6941.2002.tb01002.x","ISSN":"1574-6941","note":"PMID: 19709272","language":"en","author":[{"family":"Husband","given":"Rebecca"},{"family":"Herre","given":"Edward Allen"},{"family":"Young","given":"J. Peter W."}],"issued":{"date-parts":[["2002",10,1]]}}}],"schema":"https://github.com/citation-style-language/schema/raw/master/csl-citation.json"} </w:instrText>
      </w:r>
      <w:r>
        <w:fldChar w:fldCharType="separate"/>
      </w:r>
      <w:r w:rsidR="00954B3D" w:rsidRPr="00954B3D">
        <w:rPr>
          <w:rFonts w:cs="Times New Roman"/>
          <w:szCs w:val="24"/>
        </w:rPr>
        <w:t xml:space="preserve">(Husband </w:t>
      </w:r>
      <w:r w:rsidR="00954B3D" w:rsidRPr="00954B3D">
        <w:rPr>
          <w:rFonts w:cs="Times New Roman"/>
          <w:i/>
          <w:iCs/>
          <w:szCs w:val="24"/>
        </w:rPr>
        <w:t>et al.</w:t>
      </w:r>
      <w:r w:rsidR="00954B3D" w:rsidRPr="00954B3D">
        <w:rPr>
          <w:rFonts w:cs="Times New Roman"/>
          <w:szCs w:val="24"/>
        </w:rPr>
        <w:t>, 2002)</w:t>
      </w:r>
      <w:r>
        <w:fldChar w:fldCharType="end"/>
      </w:r>
      <w:r>
        <w:t xml:space="preserve">. These differences have been attributed to differences in AMF species recruitment and tree belowground C allocation. </w:t>
      </w:r>
    </w:p>
    <w:p w:rsidR="002F645F" w:rsidRDefault="002F645F" w:rsidP="002F645F"/>
    <w:p w:rsidR="002F645F" w:rsidRDefault="002F645F" w:rsidP="002F645F">
      <w:pPr>
        <w:pStyle w:val="Heading3"/>
      </w:pPr>
      <w:bookmarkStart w:id="470" w:name="_Toc469855072"/>
      <w:bookmarkStart w:id="471" w:name="_Toc469856072"/>
      <w:bookmarkStart w:id="472" w:name="_Toc469931981"/>
      <w:bookmarkStart w:id="473" w:name="_Toc469982302"/>
      <w:r>
        <w:lastRenderedPageBreak/>
        <w:t>No relationship was found between orchard management factors and the AMF community.</w:t>
      </w:r>
      <w:bookmarkEnd w:id="470"/>
      <w:bookmarkEnd w:id="471"/>
      <w:bookmarkEnd w:id="472"/>
      <w:bookmarkEnd w:id="473"/>
    </w:p>
    <w:p w:rsidR="002F645F" w:rsidRDefault="002F645F" w:rsidP="002F645F">
      <w:r w:rsidRPr="00CC6FEF">
        <w:t>Our results</w:t>
      </w:r>
      <w:r>
        <w:t xml:space="preserve"> showed no measured differences in orchard management affected richness or community composition other than the weak negative relationship between AMF richness and orchard age. These results are in accord with those reported in Chapter 3 which showed highly similar AMF communities within the soils of the same orchards using a leek bait plant trap culture system. </w:t>
      </w:r>
    </w:p>
    <w:p w:rsidR="002F645F" w:rsidRDefault="002F645F" w:rsidP="002F645F">
      <w:r>
        <w:t xml:space="preserve">Although agricultural habitats undergoing severe soil disturbance such as ploughing show reduced richness of AMF </w:t>
      </w:r>
      <w:r>
        <w:fldChar w:fldCharType="begin"/>
      </w:r>
      <w:r w:rsidR="00954B3D">
        <w:instrText xml:space="preserve"> ADDIN ZOTERO_ITEM CSL_CITATION {"citationID":"1h8449eg4l","properties":{"formattedCitation":"{\\rtf (Helgason {\\i{}et al.}, 1998; Daniell {\\i{}et al.}, 2001)}","plainCitation":"(Helgason et al., 1998; Daniell et al., 2001)"},"citationItems":[{"id":156,"uris":["http://zotero.org/users/local/d1gJDEOw/items/9I8TGD8S"],"uri":["http://zotero.org/users/local/d1gJDEOw/items/9I8TGD8S"],"itemData":{"id":156,"type":"article-journal","title":"Ploughing up the wood-wide web?","container-title":"Nature","page":"431-431","volume":"394","issue":"6692","source":"www.nature.com","abstract":"Key species groups that affect major ecological processes are vital components of community diversity. Many such key groups are found in the soil, including the mycorrhizal fungi that may connect plants into a functional \"wood-wide web\". Arbuscular mycorrhizal associations are formed by fungi of the order Glomales with 90% of land plant families, and many arbuscular mycorrhizal fungi are thought to have a broad host range. Here we show that, despite this broad host range, the diversity of arbuscular mycorrhizal fungi is strikingly low in arable sites compared with a woodland.","DOI":"10.1038/28764","ISSN":"0028-0836","journalAbbreviation":"Nature","language":"en","author":[{"family":"Helgason","given":"T."},{"family":"Daniell","given":"T. J."},{"family":"Husband","given":"R."},{"family":"Fitter","given":"A. H."},{"family":"Young","given":"J. P. W."}],"issued":{"date-parts":[["1998",7,30]]}}},{"id":198,"uris":["http://zotero.org/users/local/d1gJDEOw/items/EBZ8ZSX8"],"uri":["http://zotero.org/users/local/d1gJDEOw/items/EBZ8ZSX8"],"itemData":{"id":198,"type":"article-journal","title":"Molecular diversity of arbuscular mycorrhizal fungi colonising arable crops","container-title":"Fems Microbiology Ecology","page":"203-209","volume":"36","issue":"2-3","source":"Web of Science","abstract":"We used differences in small subunit ribosomal RNA genes to identify groups of arbuscular mycorrhizal fungi that are active in the colonisation of plant roots growing in arable fields around North Yorkshire, UK. Root samples were collected From four arable fields and four crop species, fungal sequences were amplified from individual plants by the polymerase chain reaction using primers NS31 and AM1. The products were cloned and 303 clones were classified by their restriction pattern with HinfI or RsaI; 72 were subsequently sequenced. Colonisation was dominated by Glomus species with a preponderance of only two sequence types. which are closely related. There is evidence Fur seasonal variation in colonisation in terms of both level of colonisation and sequence types present. Fungal diversity was much lower than that previously reported for a nearby woodland. (C) 2001 Federation of European Microbiological Societies. Published by Elsevier Science B.V. All rights rsserved.","DOI":"10.1111/j.1574-6941.2001.tb00841.x","ISSN":"0168-6496","note":"WOS:000170051100014","journalAbbreviation":"FEMS Microbiol. Ecol.","language":"English","author":[{"family":"Daniell","given":"T. J."},{"family":"Husband","given":"R."},{"family":"Fitter","given":"A. H."},{"family":"Young","given":"J. P. W."}],"issued":{"date-parts":[["2001",7]]}}}],"schema":"https://github.com/citation-style-language/schema/raw/master/csl-citation.json"}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Helgason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1998; </w:t>
      </w:r>
      <w:proofErr w:type="spellStart"/>
      <w:r w:rsidR="00954B3D" w:rsidRPr="00954B3D">
        <w:rPr>
          <w:rFonts w:cs="Times New Roman"/>
          <w:szCs w:val="24"/>
        </w:rPr>
        <w:t>Daniell</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2001)</w:t>
      </w:r>
      <w:r>
        <w:fldChar w:fldCharType="end"/>
      </w:r>
      <w:r>
        <w:t xml:space="preserve"> there is evidence that habitats which undergo moderate levels of management intensity (</w:t>
      </w:r>
      <w:proofErr w:type="spellStart"/>
      <w:r>
        <w:t>i.e</w:t>
      </w:r>
      <w:proofErr w:type="spellEnd"/>
      <w:r>
        <w:t xml:space="preserve"> disturbance), can still host </w:t>
      </w:r>
      <w:r w:rsidRPr="001D72AB">
        <w:t>relatively</w:t>
      </w:r>
      <w:r>
        <w:t xml:space="preserve"> high levels of AMF richness. This has been found across a range of systems from restored contaminated land </w:t>
      </w:r>
      <w:r>
        <w:fldChar w:fldCharType="begin"/>
      </w:r>
      <w:r w:rsidR="00954B3D">
        <w:instrText xml:space="preserve"> ADDIN ZOTERO_ITEM CSL_CITATION {"citationID":"r40lm9lrs","properties":{"formattedCitation":"{\\rtf (Vallino {\\i{}et al.}, 2006)}","plainCitation":"(Vallino et al., 2006)"},"citationItems":[{"id":660,"uris":["http://zotero.org/users/local/d1gJDEOw/items/UZB8KBCR"],"uri":["http://zotero.org/users/local/d1gJDEOw/items/UZB8KBCR"],"itemData":{"id":660,"type":"article-journal","title":"Assessment of arbuscular mycorrhizal fungal diversity in roots of Solidago gigantea growing in a polluted soil in Northern Italy","container-title":"Environmental Microbiology","page":"971-983","volume":"8","issue":"6","source":"PubMed","abstract":"The arbuscular mycorrhizal (AM) status of Solidago gigantea was investigated in a contaminated site of Northern Italy, where the chemical industry ACNA (Associated National Chemical Companies) was active till 1999. To counteract the devastating effects of chemicals and to allow re-vegetation, soil from an uncontaminated area was used to cover the highly polluted hills of the industrial site about 25 years ago. On the basis of the current floristic features, the hill was divided into four areas. Heavy metal content in soil and in plant shoots and roots was determined by chemical analysis. The AM fungal community colonizing S. gigantea was investigated from a morphological and a molecular point of view. All plants were modestly colonized, but the fungal structures within the roots were normal. By PCR-RFLP and sequencing of 18S rDNA, 14 AM fungal types were identified: three of them were present in all the considered areas and nine appeared to be specific to certain areas. Glomus was the predominant AM genus. Our analysis demonstrates the presence and the relatively high level of AM species variety and shows how a remediation programme based on cover-soil has been efficient to restore a community of AM fungi, tolerant enough to proliferate in a still contaminated soil.","DOI":"10.1111/j.1462-2920.2006.00980.x","ISSN":"1462-2912","note":"PMID: 16689718","journalAbbreviation":"Environ. Microbiol.","language":"eng","author":[{"family":"Vallino","given":"Marta"},{"family":"Massa","given":"Nadia"},{"family":"Lumini","given":"Erica"},{"family":"Bianciotto","given":"Valeria"},{"family":"Berta","given":"Graziella"},{"family":"Bonfante","given":"Paola"}],"issued":{"date-parts":[["2006",6]]}}}],"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Vallino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2006)</w:t>
      </w:r>
      <w:r>
        <w:fldChar w:fldCharType="end"/>
      </w:r>
      <w:r>
        <w:t xml:space="preserve">, arable land </w:t>
      </w:r>
      <w:r>
        <w:fldChar w:fldCharType="begin"/>
      </w:r>
      <w:r w:rsidR="00954B3D">
        <w:instrText xml:space="preserve"> ADDIN ZOTERO_ITEM CSL_CITATION {"citationID":"15s832hhc","properties":{"formattedCitation":"{\\rtf (Hijri {\\i{}et al.}, 2006)}","plainCitation":"(Hijri et al., 2006)"},"citationItems":[{"id":197,"uris":["http://zotero.org/users/local/d1gJDEOw/items/CUFICNTK"],"uri":["http://zotero.org/users/local/d1gJDEOw/items/CUFICNTK"],"itemData":{"id":197,"type":"article-journal","title":"Communities of arbuscular mycorrhizal fungi in arable soils are not necessarily low in diversity","container-title":"Molecular Ecology","page":"2277-2289","volume":"15","issue":"8","source":"Web of Science","abstract":"Communities of arbuscular mycorrhizal fungi (AMF) in five agricultural field sites of different management intensities were studied. Variable regions of the ribosomal RNA genes were used to detect and identify AMF directly within colonized roots. Roots from a continuous maize monoculture showed low AMF diversity, in agreement with previous reports on molecular diversity of AMF in agricultural soils. In contrast, a substantially higher diversity of AMF was found throughout the long term 'DOK' field experiment, where organic and conventional agricultural practices have been compared side by side since 1978. In this experiment, a 7-year crop rotation is performed under lower levels of inorganic fertilizer input and chemical pest control. These results are in good agreement with analyses of the spore community previously conducted in these field sites. In a third site, an organically managed leek field with soil of very high phosphate content reflecting the highly intensive conventional field history and intensive tillage, we detected a low-diversity community comparable to the maize monoculture. In addition to fungi from Glomus group A, which have previously been reported to dominate arable soils, we regularly found members of the genera Scutellospora, Paraglomus and Acaulospora. The genus Acaulospora was shown to occur more frequently early in the growing season, suggesting that the life history strategy of AMF may influence the active community at a given time. These data show that the diversity of AMF is not always low in arable soils. Furthermore, low-input agriculture involving crop rotation may provide better conditions to preserve AMF diversity, by preventing the selection for the few AMF taxa tolerating high nutrient levels.","DOI":"10.1111/j.1365-294X.2006.02921.x","ISSN":"0962-1083","note":"WOS:000238143900020","journalAbbreviation":"Mol. Ecol.","language":"English","author":[{"family":"Hijri","given":"Isabelle"},{"family":"Sykorova","given":"Zuzana"},{"family":"Oehl","given":"Fritz"},{"family":"Ineichen","given":"Kurt"},{"family":"Maeder","given":"Paul"},{"family":"Wiemken","given":"Andres"},{"family":"Redecker","given":"Dirk"}],"issued":{"date-parts":[["2006",7]]}}}],"schema":"https://github.com/citation-style-language/schema/raw/master/csl-citation.json"} </w:instrText>
      </w:r>
      <w:r>
        <w:fldChar w:fldCharType="separate"/>
      </w:r>
      <w:r w:rsidR="00954B3D" w:rsidRPr="00954B3D">
        <w:rPr>
          <w:rFonts w:cs="Times New Roman"/>
          <w:szCs w:val="24"/>
        </w:rPr>
        <w:t xml:space="preserve">(Hijri </w:t>
      </w:r>
      <w:r w:rsidR="00954B3D" w:rsidRPr="00954B3D">
        <w:rPr>
          <w:rFonts w:cs="Times New Roman"/>
          <w:i/>
          <w:iCs/>
          <w:szCs w:val="24"/>
        </w:rPr>
        <w:t>et al.</w:t>
      </w:r>
      <w:r w:rsidR="00954B3D" w:rsidRPr="00954B3D">
        <w:rPr>
          <w:rFonts w:cs="Times New Roman"/>
          <w:szCs w:val="24"/>
        </w:rPr>
        <w:t>, 2006)</w:t>
      </w:r>
      <w:r>
        <w:fldChar w:fldCharType="end"/>
      </w:r>
      <w:r>
        <w:t xml:space="preserve"> and managed forest plantations </w:t>
      </w:r>
      <w:r>
        <w:fldChar w:fldCharType="begin"/>
      </w:r>
      <w:r w:rsidR="00954B3D">
        <w:instrText xml:space="preserve"> ADDIN ZOTERO_ITEM CSL_CITATION {"citationID":"2mqv1b7br2","properties":{"formattedCitation":"{\\rtf (Opik {\\i{}et al.}, 2008)}","plainCitation":"(Opik et al., 2008)"},"citationItems":[{"id":623,"uris":["http://zotero.org/users/local/d1gJDEOw/items/MZPZE8FD"],"uri":["http://zotero.org/users/local/d1gJDEOw/items/MZPZE8FD"],"itemData":{"id":623,"type":"article-journal","title":"High diversity of arbuscular mycorrhizal fungi in a boreal herb-rich coniferous forest","container-title":"The New Phytologist","page":"867-876","volume":"179","issue":"3","source":"PubMed","abstract":"* Here, the diversity of arbuscular mycorrhizal (AM) fungi was determined in a boreal herb-rich coniferous forest in relation to environmental variables. * Root samples of five plant species (Fragaria vesca, Galeobdolon luteum, Hepatica nobilis, Oxalis acetosella and Trifolium pratense) were analysed from stands differing in age and forest management intensity. * Thirty-four Glomeromycota taxa (small-subunit ribosomal RNA gene (SSU rDNA) sequence groups) were detected from 90 root samples (911 clones), including eight new taxa. Sequence groups related to Glomus intraradices were most common (MO-G3 and MO-G13). Samples of H. nobilis were colonized by more AM fungal taxa (3.68 +/- 0.31) than those of O. acetosella (2.69 +/- 0.34), but did not differ significantly in this respect from those of F. vesca (3.15 +/- 0.38). Effects of forest management, host plant species (except above) or season on the number or composition of fungal taxa in root samples were not detected, and neither were they explained by environmental variables (vegetation, soil and light conditions). * This is the most taxon-rich habitat described to date in terms of root-colonizing Glomeromycota. The data demonstrate the importance of temperate coniferous forests as habitats for AM fungi and plants. Lack of obvious fungal community patterns suggests more complex effects of biotic and abiotic factors, and possibly no adverse effect of common forest management practices on AM fungal diversity.","DOI":"10.1111/j.1469-8137.2008.02515.x","ISSN":"1469-8137","note":"PMID: 18537886","journalAbbreviation":"New Phytol.","language":"eng","author":[{"family":"Opik","given":"Maarja"},{"family":"Moora","given":"Mari"},{"family":"Zobel","given":"Martin"},{"family":"Saks","given":"Ulle"},{"family":"Wheatley","given":"Ron"},{"family":"Wright","given":"Frank"},{"family":"Daniell","given":"Tim"}],"issued":{"date-parts":[["2008"]]}}}],"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Opik</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2008)</w:t>
      </w:r>
      <w:r>
        <w:fldChar w:fldCharType="end"/>
      </w:r>
      <w:r>
        <w:t>.</w:t>
      </w:r>
      <w:r w:rsidR="00556653">
        <w:t xml:space="preserve"> </w:t>
      </w:r>
      <w:r>
        <w:t xml:space="preserve">Our results are in accord with those of </w:t>
      </w:r>
      <w:proofErr w:type="spellStart"/>
      <w:r>
        <w:t>Opik</w:t>
      </w:r>
      <w:proofErr w:type="spellEnd"/>
      <w:r>
        <w:t xml:space="preserve"> et al., </w:t>
      </w:r>
      <w:r w:rsidR="00556653">
        <w:t>(</w:t>
      </w:r>
      <w:r>
        <w:t>2008</w:t>
      </w:r>
      <w:r w:rsidR="00556653">
        <w:t>)</w:t>
      </w:r>
      <w:r>
        <w:t xml:space="preserve"> who found AMF communities colonising herbaceous plants within boreal coniferous forest soils with different management types did not differ. This was attributed to there being few/little differences in soil disturbance between management practices. Similarly, in the orchards studied, soil disturbance regimes did not differ between orchards management types which may explain the lack of differences identified. </w:t>
      </w:r>
    </w:p>
    <w:p w:rsidR="002F645F" w:rsidRDefault="002F645F" w:rsidP="002F645F">
      <w:r>
        <w:t>As discussed in Chapter 3, lack of effects of P inputs upon AMF community composition contrasts to many studies showing strong effects of fertilizer application upon AMF communities (e.g.</w:t>
      </w:r>
      <w:r>
        <w:fldChar w:fldCharType="begin"/>
      </w:r>
      <w:r w:rsidR="006B3935">
        <w:instrText xml:space="preserve"> ADDIN ZOTERO_ITEM CSL_CITATION {"citationID":"eO4adfTO","properties":{"formattedCitation":"{\\rtf (Wang {\\i{}et al.}, 2009)}","plainCitation":"(Wang et al., 2009)"},"citationItems":[{"id":425,"uris":["http://zotero.org/users/local/d1gJDEOw/items/U7HEC2GK"],"uri":["http://zotero.org/users/local/d1gJDEOw/items/U7HEC2GK"],"itemData":{"id":425,"type":"article-journal","title":"Influence of Long-Term Fixed Fertilization on Diversity of Arbuscular Mycorrhizal Fungi","container-title":"Pedosphere","page":"663-672","volume":"19","issue":"5, 1002-0160","source":"www.scholarmate.com","abstract":"Diversity of arbuscular mycorrhizal fungi (AMF) was investigated in a field that had received long-term fixed fertilization (LFF) for 26 years. There were a total of 12 treatments in triplicates with different amounts of manure, urea, calcium phosphate, and potassium chloride. Rhizosphere soil samples of maize and wheat grown in the experimental field in Shandong Province, China, were collected in September 2003 and May 2004, respectively. Arbuscular mycorrhizal fungal spores were isolated and identified using morphological characters. Mycorrhizal colonization percentage, spore density (SD), species richness (SR), relative abundance (RA), and Shannon-Weiner index (SWI) were determined. Nineteen recognized species of AMF belonging to 5 genera were identified. Long-term fixed fertilization significantly influenced colonization percentage, SR, SD, and species diversity of AMF. The adaptability of AMF to soil fertility was different among species. Species richness and SD of AMF in maize and wheat rhizosphere soils were the highest in the nonfertilization treatment (control) and lowest in the high manure + high nitrogen treatment (M2N2). The SWI decreased as the fertilization level increased except in the low manure treatment (M-1) on maize. Compared with the other treatments, Treatment M2N2 significantly reduced SD of Glomus, and the high manure + low nitrogen treatment (M2N1) significantly retarded sporulation of Scutellospora. Manure treatments stimulated sporulation of Glomus mosseae. Spore density of G. mosseae was higher in the high nitrogen + phosphorus + potassium treatment (N2PK) than in the high nitrogen + phosphorus treatment (N2P) and the high nitrogen + potassium treatment (N2K). The SD of S. pellucida was higher in Treatment N2K than Treatments N2PK and N2P. In conclusion, long-term fixed fertilization, especially with high levels of manure and N, decreased SR, SD, and colonization and changed the species composition of AMF.","ISSN":"1002-0160","language":"eng","author":[{"family":"Wang","given":"Miao-Yan"},{"family":"Liang-Bin","given":"Hu"},{"family":"Wei-Hua","given":"Wang"},{"family":"Shu-Tang","given":"Liu"},{"family":"Min","given":"Li"},{"family":"Run-Jin","given":"Liu"},{"family":"Miao-Yan","given":"Wang"},{"family":"Liang-Bin","given":"Hu"},{"family":"Wei-Hua","given":"Wang"},{"family":"Shu-Tang","given":"Liu"},{"family":"Min","given":"Li"},{"family":"Run-Jin","given":"Liu"}],"issued":{"date-parts":[["2009"]]}}}],"schema":"https://github.com/citation-style-language/schema/raw/master/csl-citation.json"} </w:instrText>
      </w:r>
      <w:r>
        <w:fldChar w:fldCharType="separate"/>
      </w:r>
      <w:r w:rsidR="006B3935" w:rsidRPr="006B3935">
        <w:rPr>
          <w:rFonts w:cs="Times New Roman"/>
          <w:szCs w:val="24"/>
        </w:rPr>
        <w:t xml:space="preserve">(Wang </w:t>
      </w:r>
      <w:r w:rsidR="006B3935" w:rsidRPr="006B3935">
        <w:rPr>
          <w:rFonts w:cs="Times New Roman"/>
          <w:i/>
          <w:iCs/>
          <w:szCs w:val="24"/>
        </w:rPr>
        <w:t>et al.</w:t>
      </w:r>
      <w:r w:rsidR="006B3935" w:rsidRPr="006B3935">
        <w:rPr>
          <w:rFonts w:cs="Times New Roman"/>
          <w:szCs w:val="24"/>
        </w:rPr>
        <w:t>, 2009)</w:t>
      </w:r>
      <w:r>
        <w:fldChar w:fldCharType="end"/>
      </w:r>
      <w:r>
        <w:t xml:space="preserve">. Although soil nutrient status has not been measured by this study it is likely that increased addition of P and N fertiliser to soils would increase soil nutrient status. Soil type may be important for AMF responses to fertiliser application.  </w:t>
      </w:r>
      <w:proofErr w:type="spellStart"/>
      <w:r>
        <w:t>Jansa</w:t>
      </w:r>
      <w:proofErr w:type="spellEnd"/>
      <w:r>
        <w:t xml:space="preserve"> </w:t>
      </w:r>
      <w:r w:rsidRPr="00C81A4C">
        <w:rPr>
          <w:i/>
        </w:rPr>
        <w:t>et al</w:t>
      </w:r>
      <w:r>
        <w:t xml:space="preserve">., (2014) found that soil type and geography were more important in determining AMF communities than agricultural management practices (including available P) when comparing AMF communities across crop and pasture land in a landscape scale study in Switzerland  </w:t>
      </w:r>
      <w:r>
        <w:fldChar w:fldCharType="begin"/>
      </w:r>
      <w:r w:rsidR="00954B3D">
        <w:instrText xml:space="preserve"> ADDIN ZOTERO_ITEM CSL_CITATION {"citationID":"1v43savgvi","properties":{"formattedCitation":"{\\rtf (Jansa {\\i{}et al.}, 2014)}","plainCitation":"(Jansa et al., 2014)"},"citationItems":[{"id":682,"uris":["http://zotero.org/users/local/d1gJDEOw/items/VUK7D9B8"],"uri":["http://zotero.org/users/local/d1gJDEOw/items/VUK7D9B8"],"itemData":{"id":682,"type":"article-journal","title":"Soil and geography are more important determinants of indigenous arbuscular mycorrhizal communities than management practices in Swiss agricultural soils","container-title":"Molecular Ecology","page":"2118-2135","volume":"23","issue":"8","source":"Wiley Online Library","abstract":"Arbuscular mycorrhizal fungi (AMF) are ubiquitous soil fungi, forming mutualistic symbiosis with a majority of terrestrial plant species. They are abundant in nearly all soils, less diverse than soil prokaryotes and other intensively studied soil organisms and thus are promising candidates for universal indicators of land management legacies and soil quality degradation. However, insufficient data on how the composition of indigenous AMF varies along soil and landscape gradients have hampered the definition of baselines and effect thresholds to date. Here, indigenous AMF communities in 154 agricultural soils collected across Switzerland were profiled by quantitative real-time PCR with taxon-specific markers for six widespread AMF species. To identify the key determinants of AMF community composition, the profiles were related to soil properties, land management and site geography. Our results indicate a number of well-supported dependencies between abundances of certain AMF taxa and soil properties such as pH, soil fertility and texture, and a surprising lack of effect of available soil phosphorus on the AMF community profiles. Site geography, especially the altitude and large geographical distance, strongly affected AMF communities. Unexpected was the apparent lack of a strong land management effect on the AMF communities as compared to the other predictors, which could be due to the rarity of highly intensive and unsustainable land management in Swiss agriculture. In spite of the extensive coverage of large geographical and soil gradients, we did not identify any taxon suitable as an indicator of land use among the six taxa we studied.","DOI":"10.1111/mec.12706","ISSN":"1365-294X","journalAbbreviation":"Mol Ecol","language":"en","author":[{"family":"Jansa","given":"Jan"},{"family":"Erb","given":"Angela"},{"family":"Oberholzer","given":"Hans-Rudolf"},{"family":"Šmilauer","given":"Petr"},{"family":"Egli","given":"Simon"}],"issued":{"date-parts":[["2014",4,1]]}}}],"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Jansa</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2014)</w:t>
      </w:r>
      <w:r>
        <w:fldChar w:fldCharType="end"/>
      </w:r>
      <w:r>
        <w:t>. In particular soil pH, and to a lesser extent texture, fertility, soil organic carbon and microbial biomass affected community composition. The authors suggested that the importance of soil type for affecting community composition could explain why studies examining fertilization response of AMF on a single soil type showed no response (</w:t>
      </w:r>
      <w:proofErr w:type="spellStart"/>
      <w:r>
        <w:t>e.g.</w:t>
      </w:r>
      <w:r w:rsidRPr="001D72AB">
        <w:fldChar w:fldCharType="begin"/>
      </w:r>
      <w:r w:rsidR="00954B3D">
        <w:instrText xml:space="preserve"> ADDIN ZOTERO_ITEM CSL_CITATION {"citationID":"2bhmudp1b7","properties":{"formattedCitation":"{\\rtf (Wang {\\i{}et al.}, 2011)}","plainCitation":"(Wang et al., 2011)"},"citationItems":[{"id":685,"uris":["http://zotero.org/users/local/d1gJDEOw/items/EZ3GC3DS"],"uri":["http://zotero.org/users/local/d1gJDEOw/items/EZ3GC3DS"],"itemData":{"id":685,"type":"article-journal","title":"Arbuscular mycorrhizal fungal community structure and diversity in response to long-term fertilization: a field case from China","container-title":"World Journal of Microbiology and Biotechnology","page":"67-74","volume":"27","issue":"1","source":"link.springer.com","abstract":"The influences of different fertilizer treatments on spore community structure and diversity of arbuscular mycorrhizal (AM) fungi (AMF) were investigated in a long-term fertilization experiment with seven treatments: organic manure (OM), half organic manure N plus half fertilizer N (1/2 OMN), fertilizer NPK, fertilizer NP, fertilizer NK, fertilizer PK, and the control (without fertilization). Fertilization generally increased the nutrient contained in the fertilizer and treatments with NPK and 1/2 OMN produced the highest crop yields. Thirty-five species of AMF within 6 genera, including 8 previously undescribed species, were recovered. Similarly in all seven treatments, the most abundant genus was Glomus, and followed by Acaulospora. All the fertilization treatments changed AM species composition, and NK treatment had the slightest influence. Fertilization with fertilizers NP, PK and NPK markedly increased AM fungal spore density, while 1/2 OMN, OM and NK treatments showed no significant influences. All the fertilizer treatments, especially OM, significantly decreased species richness and species diversity (Shannon-Weiner index). There were no significant correlations between AM fungal parameters (spore density, species richness and species diversity) and soil properties. The findings indicate that long-term fertilization all can change AM fungal community structure and decrease species diversity, while balanced fertilization with NPK or 1/2 OMN is the most suitable fertilization regime if taking both crop yields and AM species diversity into account.","DOI":"10.1007/s11274-010-0427-2","ISSN":"0959-3993, 1573-0972","shortTitle":"Arbuscular mycorrhizal fungal community structure and diversity in response to long-term fertilization","journalAbbreviation":"World J Microbiol Biotechnol","language":"en","author":[{"family":"Wang","given":"Fa Yuan"},{"family":"Hu","given":"Jun Li"},{"family":"Lin","given":"Xian Gui"},{"family":"Qin","given":"Sheng Wu"},{"family":"Wang","given":"Jun Hua"}],"issued":{"date-parts":[["2011",1,1]]}}}],"schema":"https://github.com/citation-style-language/schema/raw/master/csl-citation.json"} </w:instrText>
      </w:r>
      <w:r w:rsidRPr="001D72AB">
        <w:fldChar w:fldCharType="separate"/>
      </w:r>
      <w:r w:rsidR="00954B3D" w:rsidRPr="00954B3D">
        <w:rPr>
          <w:rFonts w:cs="Times New Roman"/>
          <w:szCs w:val="24"/>
        </w:rPr>
        <w:t>Wang</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2011)</w:t>
      </w:r>
      <w:r w:rsidRPr="001D72AB">
        <w:fldChar w:fldCharType="end"/>
      </w:r>
      <w:r w:rsidRPr="001D72AB">
        <w:t>. Similarly</w:t>
      </w:r>
      <w:r>
        <w:t>,</w:t>
      </w:r>
      <w:r w:rsidRPr="001D72AB">
        <w:t xml:space="preserve"> our study examined AMF across an area of predominantly clay-loam soil. The ability of clay to bind available P may explain less responsiveness to P addition as P rapidly becomes bound in unavailable forms due to the soil chemistry of clays</w:t>
      </w:r>
      <w:r>
        <w:t xml:space="preserve">. Similarly in a landscape scale study of AMF distribution across Ireland, Hazard </w:t>
      </w:r>
      <w:r w:rsidRPr="00710B0E">
        <w:rPr>
          <w:i/>
        </w:rPr>
        <w:t xml:space="preserve">et al </w:t>
      </w:r>
      <w:r w:rsidR="00556653">
        <w:rPr>
          <w:i/>
        </w:rPr>
        <w:t>(</w:t>
      </w:r>
      <w:r>
        <w:t>2013</w:t>
      </w:r>
      <w:r w:rsidR="00556653">
        <w:t>)</w:t>
      </w:r>
      <w:r>
        <w:t xml:space="preserve">., found that local environmental factors such as rainfall and soil pH filtered the AMF community more than land use despite sampling a wide range of land use types which included arable and pasture land  </w:t>
      </w:r>
      <w:r>
        <w:fldChar w:fldCharType="begin"/>
      </w:r>
      <w:r w:rsidR="00954B3D">
        <w:instrText xml:space="preserve"> ADDIN ZOTERO_ITEM CSL_CITATION {"citationID":"fm1921rpp","properties":{"formattedCitation":"{\\rtf (Hazard {\\i{}et al.}, 2013)}","plainCitation":"(Hazard et al., 2013)"},"citationItems":[{"id":668,"uris":["http://zotero.org/users/local/d1gJDEOw/items/J2ZXU9KD"],"uri":["http://zotero.org/users/local/d1gJDEOw/items/J2ZXU9KD"],"itemData":{"id":668,"type":"article-journal","title":"The role of local environment and geographical distance in determining community composition of arbuscular mycorrhizal fungi at the landscape scale","container-title":"The ISME journal","page":"498-508","volume":"7","issue":"3","source":"PubMed","abstract":"Arbuscular fungi have a major role in directing the functioning of terrestrial ecosystems yet little is known about their biogeographical distribution. The Baas-Becking hypothesis ('everything is everywhere, but, the environment selects') was tested by investigating the distribution of arbuscular mycorrhizal fungi (AMF) at the landscape scale and the influence of environmental factors and geographical distance in determining community composition. AMF communities in Trifolium repens and Lolium perenne roots were assessed in 40 geographically dispersed sites in Ireland representing different land uses and soil types. Field sampling and laboratory bioassays were used, with AMF communities characterised using 18S rRNA terminal-restriction fragment length polymorphism. Landscape-scale distribution of AMF was driven by the local environment. AMF community composition was influenced by abiotic variables (pH, rainfall and soil type), but not land use or geographical distance. Trifolium repens and L. perenne supported contrasting communities of AMF, and the communities colonising each plant species were consistent across pasture habitats and over distance. Furthermore, L. perenne AMF communities grouped by soil type within pasture habitats. This is the largest and most comprehensive study that has investigated the landscape-scale distribution of AMF. Our findings support the Baas-Becking hypothesis at the landscape scale and demonstrate the strong influence the local environment has on determining AMF community composition.","DOI":"10.1038/ismej.2012.127","ISSN":"1751-7370","note":"PMID: 23096401\nPMCID: PMC3578569","journalAbbreviation":"ISME J","language":"eng","author":[{"family":"Hazard","given":"Christina"},{"family":"Gosling","given":"Paul"},{"family":"Gast","given":"Christopher J.","non-dropping-particle":"van der"},{"family":"Mitchell","given":"Derek T."},{"family":"Doohan","given":"Fiona M."},{"family":"Bending","given":"Gary D."}],"issued":{"date-parts":[["2013",3]]}}}],"schema":"https://github.com/citation-style-language/schema/raw/master/csl-citation.json"} </w:instrText>
      </w:r>
      <w:r>
        <w:fldChar w:fldCharType="separate"/>
      </w:r>
      <w:r w:rsidR="00954B3D" w:rsidRPr="00954B3D">
        <w:rPr>
          <w:rFonts w:cs="Times New Roman"/>
          <w:szCs w:val="24"/>
        </w:rPr>
        <w:t xml:space="preserve">(Hazard </w:t>
      </w:r>
      <w:r w:rsidR="00954B3D" w:rsidRPr="00954B3D">
        <w:rPr>
          <w:rFonts w:cs="Times New Roman"/>
          <w:i/>
          <w:iCs/>
          <w:szCs w:val="24"/>
        </w:rPr>
        <w:t>et al.</w:t>
      </w:r>
      <w:r w:rsidR="00954B3D" w:rsidRPr="00954B3D">
        <w:rPr>
          <w:rFonts w:cs="Times New Roman"/>
          <w:szCs w:val="24"/>
        </w:rPr>
        <w:t>, 2013)</w:t>
      </w:r>
      <w:r>
        <w:fldChar w:fldCharType="end"/>
      </w:r>
      <w:r>
        <w:t>.</w:t>
      </w:r>
    </w:p>
    <w:p w:rsidR="002F645F" w:rsidRPr="00AC46E2" w:rsidRDefault="002F645F" w:rsidP="002F645F">
      <w:pPr>
        <w:pStyle w:val="Heading3"/>
      </w:pPr>
      <w:bookmarkStart w:id="474" w:name="_Toc469855073"/>
      <w:bookmarkStart w:id="475" w:name="_Toc469856073"/>
      <w:bookmarkStart w:id="476" w:name="_Toc469931982"/>
      <w:bookmarkStart w:id="477" w:name="_Toc469982303"/>
      <w:r w:rsidRPr="00AC46E2">
        <w:lastRenderedPageBreak/>
        <w:t xml:space="preserve">No </w:t>
      </w:r>
      <w:r>
        <w:t xml:space="preserve">relationships between tree yield, </w:t>
      </w:r>
      <w:r w:rsidRPr="00AC46E2">
        <w:t xml:space="preserve">AMF richness and </w:t>
      </w:r>
      <w:r>
        <w:t>composition</w:t>
      </w:r>
      <w:bookmarkEnd w:id="474"/>
      <w:bookmarkEnd w:id="475"/>
      <w:bookmarkEnd w:id="476"/>
      <w:bookmarkEnd w:id="477"/>
    </w:p>
    <w:p w:rsidR="002F645F" w:rsidRDefault="002F645F" w:rsidP="002F645F">
      <w:r>
        <w:t xml:space="preserve">This study showed no effect of AMF richness or taxa relative abundance upon fruit yield of apple trees. Our hypothesis that increased AMF diversity would improve yield was based on the premise that in more diverse AMF communities, complementarity between AM fungi which occupy different ecological niches and facilitative interactions between taxa will improve resource use efficiency and therefore improve plant productivity </w:t>
      </w:r>
      <w:r>
        <w:fldChar w:fldCharType="begin"/>
      </w:r>
      <w:r w:rsidR="00954B3D">
        <w:instrText xml:space="preserve"> ADDIN ZOTERO_ITEM CSL_CITATION {"citationID":"yw6pDIR7","properties":{"formattedCitation":"{\\rtf (van der Heijden {\\i{}et al.}, 1998; Loreau &amp; Hector, 2001; Wagg {\\i{}et al.}, 2015)}","plainCitation":"(van der Heijden et al., 1998; Loreau &amp; Hector, 2001; Wagg et al., 2015)"},"citationItems":[{"id":572,"uris":["http://zotero.org/users/local/d1gJDEOw/items/AF7B2VZ2"],"uri":["http://zotero.org/users/local/d1gJDEOw/items/AF7B2VZ2"],"itemData":{"id":572,"type":"article-journal","title":"Mycorrhizal fungal diversity determines plant biodiversity, ecosystem variability and productivity","container-title":"Nature","page":"69-72","volume":"396","issue":"6706","source":"Web of Science","abstract":"The functioning and stability of terrestrial ecosystems are determined by plant biodiversity and species composition(1-5). However. the ecological mechanisms by which plant biodiversity and species composition are regulated and maintained are not well understood. These mechanisms need to be identified to ensure successful management for conservation and restoration of diverse natural ecosystems. Here we show,by using two-independent, but complementary, ecological experiments, that below-ground diversity of arbuscular mycorrhizal fungi (AMF) is a major factor contributing to the maintenance of plant biodiversity and to ecosystem functioning. At low AMF diversity, the plant species composition and overall structure of microcosms that simulate European calcareous grassland fluctuate greatly when the AMF taxa that are present are changed. Plant biodiversity, nutrient capture and productivity in macrocosms that simulate North American old-fields increase significantly with increasing AMF-species richness. These results emphasize the need to protect AMF and to consider these fungi in future management practices in order to maintain diverse ecosystems. Our results also show that microbial interactions can drive ecosystem functions such as plant biodiversity, productivity and variability.","ISSN":"0028-0836","note":"WOS:000076852700054","journalAbbreviation":"Nature","language":"English","author":[{"family":"Heijden","given":"M. G. A.","non-dropping-particle":"van der"},{"family":"Klironomos","given":"J. N."},{"family":"Ursic","given":"M."},{"family":"Moutoglis","given":"P."},{"family":"Streitwolf-Engel","given":"R."},{"family":"Boller","given":"T."},{"family":"Wiemken","given":"A."},{"family":"Sanders","given":"I. R."}],"issued":{"date-parts":[["1998",11,5]]}}},{"id":588,"uris":["http://zotero.org/users/local/d1gJDEOw/items/M5WXUE23"],"uri":["http://zotero.org/users/local/d1gJDEOw/items/M5WXUE23"],"itemData":{"id":588,"type":"article-journal","title":"Partitioning selection and complementarity in biodiversity experiments","container-title":"Nature","page":"72-76","volume":"412","issue":"6842","source":"www.nature.com","abstract":"The impact of biodiversity loss on the functioning of ecosystems and their ability to provide ecological services has become a central issue in ecology. Several experiments have provided evidence that reduced species diversity may impair ecosystem processes such as plant biomass production. The interpretation of these experiments, however, has been controversial because two types of mechanism may operate in combination. In the 'selection effect', dominance by species with particular traits affects ecosystem processes. In the 'complementarity effect', resource partitioning or positive interactions lead to increased total resource use. Here we present a new approach to separate the two effects on the basis of an additive partitioning analogous to the Price equation in evolutionary genetics. Applying this method to data from the pan-European BIODEPTH experiment reveals that the selection effect is zero on average and varies from negative to positive in different localities, depending on whether species with lower- or higher-than-average biomass dominate communities. In contrast, the complementarity effect is positive overall, supporting the hypothesis that plant diversity influences primary production in European grasslands through niche differentiation or facilitation.","DOI":"10.1038/35083573","ISSN":"0028-0836","journalAbbreviation":"Nature","language":"en","author":[{"family":"Loreau","given":"Michel"},{"family":"Hector","given":"Andy"}],"issued":{"date-parts":[["2001",7,5]]}}},{"id":580,"uris":["http://zotero.org/users/local/d1gJDEOw/items/H7MMHNAF"],"uri":["http://zotero.org/users/local/d1gJDEOw/items/H7MMHNAF"],"itemData":{"id":580,"type":"article-journal","title":"Complementarity in both plant and mycorrhizal fungal communities are not necessarily increased by diversity in the other","container-title":"Journal of Ecology","page":"1233-1244","volume":"103","issue":"5","source":"Web of Science","abstract":"Higher species diversity can improve community performance within a species guild when different species complement each other in their use of the available niche, such as through resource partitioning. However, species in one guild of organisms may act as resources for another such that the diversity in one guild alters the realized niche for species in another. Yet, it remains largely untested as to whether diversity in one guild of organisms influences species complementarity in another. The productivity and diversity in plant and arbuscular mycorrhizal (AM) fungal communities can be positively associated with each other through their typically mutualistic exchange of resources. Here, we utilized these two interacting species guilds to determine whether greater diversity in one influences species complementarity in the other. This was performed by creating monocultures and a mixture of a grass, forb and legume in a full factorial design with monocultures and a mixture of four AM fungi. The presence of AM fungi reduced differences in the performance among plant species and greater diversity of fungi generally improved plant productivity over the average of the fungal monocultures. However, plant species complementarity was not greatest with a higher diversity of fungi and was only positive with a particular fungal monoculture. AM fungal abundance was not affected by plant diversity, but was greatly reduced in the grass monoculture compared to the other plant communities. Variation in fungal complementarity among plant communities was low overall and was little influenced by plant diversity.Synthesis. Using a model plant-mycorrhizal system, our results suggest that the composition rather than the diversity of species within one guild may be more influential in determining how species function within an associated species guild. However, our model system does not represent a broad gradient of diversity in either plant or fungal communities and only assesses the initial growth phase. Nonetheless, our results highlight that changes in species compositions in one species guild can affect the functioning of species diversity in another.","DOI":"10.1111/1365-2745.12452","ISSN":"0022-0477","note":"WOS:000360216400014","journalAbbreviation":"J. Ecol.","language":"English","author":[{"family":"Wagg","given":"Cameron"},{"family":"Barendregt","given":"Christoph"},{"family":"Jansa","given":"Jan"},{"family":"Heijden","given":"Marcel G. A.","non-dropping-particle":"van der"}],"issued":{"date-parts":[["2015",9]]}}}],"schema":"https://github.com/citation-style-language/schema/raw/master/csl-citation.json"} </w:instrText>
      </w:r>
      <w:r>
        <w:fldChar w:fldCharType="separate"/>
      </w:r>
      <w:r w:rsidR="00954B3D" w:rsidRPr="00954B3D">
        <w:rPr>
          <w:rFonts w:cs="Times New Roman"/>
          <w:szCs w:val="24"/>
        </w:rPr>
        <w:t xml:space="preserve">(van der </w:t>
      </w:r>
      <w:proofErr w:type="spellStart"/>
      <w:r w:rsidR="00954B3D" w:rsidRPr="00954B3D">
        <w:rPr>
          <w:rFonts w:cs="Times New Roman"/>
          <w:szCs w:val="24"/>
        </w:rPr>
        <w:t>Heijden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1998; </w:t>
      </w:r>
      <w:proofErr w:type="spellStart"/>
      <w:r w:rsidR="00954B3D" w:rsidRPr="00954B3D">
        <w:rPr>
          <w:rFonts w:cs="Times New Roman"/>
          <w:szCs w:val="24"/>
        </w:rPr>
        <w:t>Loreau</w:t>
      </w:r>
      <w:proofErr w:type="spellEnd"/>
      <w:r w:rsidR="00954B3D" w:rsidRPr="00954B3D">
        <w:rPr>
          <w:rFonts w:cs="Times New Roman"/>
          <w:szCs w:val="24"/>
        </w:rPr>
        <w:t xml:space="preserve"> &amp; Hector, 2001; Wagg </w:t>
      </w:r>
      <w:r w:rsidR="00954B3D" w:rsidRPr="00954B3D">
        <w:rPr>
          <w:rFonts w:cs="Times New Roman"/>
          <w:i/>
          <w:iCs/>
          <w:szCs w:val="24"/>
        </w:rPr>
        <w:t>et al.</w:t>
      </w:r>
      <w:r w:rsidR="00954B3D" w:rsidRPr="00954B3D">
        <w:rPr>
          <w:rFonts w:cs="Times New Roman"/>
          <w:szCs w:val="24"/>
        </w:rPr>
        <w:t>, 2015)</w:t>
      </w:r>
      <w:r>
        <w:fldChar w:fldCharType="end"/>
      </w:r>
      <w:r>
        <w:t>.</w:t>
      </w:r>
      <w:r w:rsidRPr="003D5CE6">
        <w:t xml:space="preserve"> </w:t>
      </w:r>
      <w:r>
        <w:t xml:space="preserve">In our study system (apple orchards), increased diversity may therefore result in improved provision of nutrition and health to apple trees and consequently improved fruit production. However this hypothesis makes many assumptions which may explain why no effect of richness upon yield was observed. </w:t>
      </w:r>
    </w:p>
    <w:p w:rsidR="002F645F" w:rsidRDefault="002F645F" w:rsidP="002F645F">
      <w:r w:rsidRPr="0092647B">
        <w:t>Firstly</w:t>
      </w:r>
      <w:r>
        <w:t>,</w:t>
      </w:r>
      <w:r w:rsidRPr="0092647B">
        <w:t xml:space="preserve"> </w:t>
      </w:r>
      <w:r>
        <w:t xml:space="preserve">positive </w:t>
      </w:r>
      <w:r w:rsidRPr="0092647B">
        <w:t>AMF diversity – productivity</w:t>
      </w:r>
      <w:r>
        <w:t xml:space="preserve"> relationships</w:t>
      </w:r>
      <w:r w:rsidRPr="0092647B">
        <w:t xml:space="preserve"> are largely depende</w:t>
      </w:r>
      <w:r>
        <w:t>nt</w:t>
      </w:r>
      <w:r w:rsidRPr="0092647B">
        <w:t xml:space="preserve"> on the fact that higher diversity of AMF will improve acquisition of resources.</w:t>
      </w:r>
      <w:r>
        <w:t xml:space="preserve"> Van der </w:t>
      </w:r>
      <w:proofErr w:type="spellStart"/>
      <w:r>
        <w:t>Heijden</w:t>
      </w:r>
      <w:proofErr w:type="spellEnd"/>
      <w:r>
        <w:t xml:space="preserve"> </w:t>
      </w:r>
      <w:r w:rsidRPr="002F3635">
        <w:rPr>
          <w:i/>
        </w:rPr>
        <w:t>et al</w:t>
      </w:r>
      <w:r>
        <w:rPr>
          <w:i/>
        </w:rPr>
        <w:t>.</w:t>
      </w:r>
      <w:r w:rsidRPr="002F3635">
        <w:rPr>
          <w:i/>
        </w:rPr>
        <w:t>,</w:t>
      </w:r>
      <w:r>
        <w:t xml:space="preserve"> </w:t>
      </w:r>
      <w:r w:rsidR="00556653">
        <w:t>(</w:t>
      </w:r>
      <w:r>
        <w:t>2008</w:t>
      </w:r>
      <w:r w:rsidR="00556653">
        <w:t>)</w:t>
      </w:r>
      <w:r>
        <w:t xml:space="preserve"> hypothesised that the benefit of microbial diversity to plant productivity is greatest when resources are limited due to the ability of a diverse range of organisms to more efficiently obtain limiting nutrients from the soil for example by accessing different forms of nutrients. In contrast, under high nutrient levels, taxa can become functionally redundant and provide no additional benefit therefore increased diversity may not correspond with increased plant productivity.  Therefore, if nutrient availability was not limited within the orchards sampled for this study, benefits of diversity may be smaller. In addition, other studies which have examined relationships between AMF diversity and plant productivity at the landscape scale show that interactions are complex as many other biotic and abiotic factors may influence biodiversity productivity relationships in particular environmental differences such as nutrient availability and soil pH </w:t>
      </w:r>
      <w:r>
        <w:fldChar w:fldCharType="begin"/>
      </w:r>
      <w:r w:rsidR="00954B3D">
        <w:instrText xml:space="preserve"> ADDIN ZOTERO_ITEM CSL_CITATION {"citationID":"14li3jovnf","properties":{"formattedCitation":"{\\rtf (Holste {\\i{}et al.}, 2016)}","plainCitation":"(Holste et al., 2016)"},"citationItems":[{"id":582,"uris":["http://zotero.org/users/local/d1gJDEOw/items/PB6V6GEW"],"uri":["http://zotero.org/users/local/d1gJDEOw/items/PB6V6GEW"],"itemData":{"id":582,"type":"article-journal","title":"Reduced aboveground tree growth associated with higher arbuscular mycorrhizal fungal diversity in tropical forest restoration","container-title":"Ecology and Evolution","page":"7253-7262","volume":"6","issue":"20","source":"Web of Science","abstract":"Establishing diverse mycorrhizal fungal communities is considered important for forest recovery, yet mycorrhizae may have complex effects on tree growth depending on the composition of fungal species present. In an effort to understand the role of mycorrhizal fungi community in forest restoration in southern Costa Rica, we sampled the arbuscular mycorrhizal fungal (AMF) community across eight sites that were planted with the same species (Inga edulis, Erythrina poeppigiana, Terminalia amazonia, and Vochysia guatemalensis) but varied twofold to fourfold in overall tree growth rates. The AMF community was measured in multiple ways: as percent colonization of host tree roots, by DNA isolation of the fungal species associated with the roots, and through spore density, volume, and identity in both the wet and dry seasons. Consistent with prior tropical restoration research, the majority of fungal species belonged to the genus Glomus and genus Acaulospora, accounting for more than half of the species and relative abundance found on trees roots and over 95% of spore density across all sites. Greater AMF diversity correlated with lower soil organic matter, carbon, and nitrogen concentrations and longer durations of prior pasture use across sites. Contrary to previous literature findings, AMF species diversity and spore densities were inversely related to tree growth, which may have arisen from trees facultatively increasing their associations with AMF in lower soil fertility sites. Changes to AMF community composition also may have led to variation in disturbance susceptibility, host tree nutrient acquisition, and tree growth. These results highlight the potential importance of fungal-tree-soil interactions in forest recovery and suggest that fungal community -dynamics could have important implications for tree growth in disturbed soils.","DOI":"10.1002/ece3.2487","ISSN":"2045-7758","note":"WOS:000386429200009","journalAbbreviation":"Ecol. Evol.","language":"English","author":[{"family":"Holste","given":"Ellen K."},{"family":"Holl","given":"Karen D."},{"family":"Zahawi","given":"Rakan A."},{"family":"Kobe","given":"Richard K."}],"issued":{"date-parts":[["2016",10]]}}}],"schema":"https://github.com/citation-style-language/schema/raw/master/csl-citation.json"}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Holste</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2016)</w:t>
      </w:r>
      <w:r>
        <w:fldChar w:fldCharType="end"/>
      </w:r>
      <w:r>
        <w:t xml:space="preserve">. </w:t>
      </w:r>
    </w:p>
    <w:p w:rsidR="002F645F" w:rsidRDefault="002F645F" w:rsidP="002F645F">
      <w:r>
        <w:t xml:space="preserve">Functional differences between AMF and taxa identity may also explain why in some cases diversity does not improve productivity. </w:t>
      </w:r>
      <w:proofErr w:type="spellStart"/>
      <w:r>
        <w:t>Vogelsang</w:t>
      </w:r>
      <w:proofErr w:type="spellEnd"/>
      <w:r>
        <w:t xml:space="preserve"> </w:t>
      </w:r>
      <w:r w:rsidRPr="00A92B86">
        <w:rPr>
          <w:i/>
        </w:rPr>
        <w:t>et al</w:t>
      </w:r>
      <w:r>
        <w:t xml:space="preserve">., </w:t>
      </w:r>
      <w:r w:rsidR="00556653">
        <w:t>(</w:t>
      </w:r>
      <w:r>
        <w:t>2006</w:t>
      </w:r>
      <w:r w:rsidR="00556653">
        <w:t>)</w:t>
      </w:r>
      <w:r>
        <w:t xml:space="preserve"> demonstrated using a microcosm experiment that diverse communities containing the single most productive species may be equally as productive as the single most productive species in monoculture. Similarly other studies have shown the importance of taxa identity rather than richness for driving ecosystem functions </w:t>
      </w:r>
      <w:r>
        <w:fldChar w:fldCharType="begin"/>
      </w:r>
      <w:r w:rsidR="00954B3D">
        <w:instrText xml:space="preserve"> ADDIN ZOTERO_ITEM CSL_CITATION {"citationID":"oZIGCcnk","properties":{"formattedCitation":"{\\rtf (Klironomos, 2003; Cavagnaro {\\i{}et al.}, 2005)}","plainCitation":"(Klironomos, 2003; Cavagnaro et al., 2005)"},"citationItems":[{"id":696,"uris":["http://zotero.org/users/local/d1gJDEOw/items/5GJ64IJP"],"uri":["http://zotero.org/users/local/d1gJDEOw/items/5GJ64IJP"],"itemData":{"id":696,"type":"article-journal","title":"Variation in Plant Response to Native and Exotic Arbuscular Mycorrhizal Fungi","container-title":"Ecology","page":"2292-2301","volume":"84","issue":"9","source":"Wiley Online Library","abstract":"High variability in plant-growth response to the presence of different mycorrhizal fungi can be a major determinant of local plant species diversity. Multiple species of arbuscular mycorrhizal fungi can coexist in terrestrial ecosystems, and co-occurring plants can differ in their response to colonization by these different fungi. However, the range of mycorrhizal plant-growth responses that can occur within communities has not been determined. In the present study, I crossed a large number of plant and fungal species that co-occur to determine the range of responses that can exist within an ecosystem. I also crossed exotic fungal isolates vs. local plant isolates and local fungal isolates vs. exotic plant isolates to determine whether the range of plant growth responses differs when using foreign genotypes. The data indicate that plant growth responses to mycorrhizal inoculation within an ecosystem can range from highly parasitic to highly mutualistic. In this study, the direction and magnitude of the response depended on the combination of plant and fungal species. No plant did best with the same fungal isolate. The range of responses was greatest when using local plants and fungi. Whereas parasitic and mutualistic responses were also detected when using foreign plant or fungal genotypes, the range of responses was significantly reduced, as was the relative frequency of positive responses. Overall, this study suggests that, within ecosystems, arbuscular mycorrhizal fungi can function along a continuum from parasitism to mutualism, and that extreme responses are more common when using locally adapted plants and fungi. This high variation in plant growth response may be a large contributor to plant species coexistence and the structure of plant communities.","DOI":"10.1890/02-0413","ISSN":"1939-9170","language":"en","author":[{"family":"Klironomos","given":"John N."}],"issued":{"date-parts":[["2003",9,1]]}}},{"id":181,"uris":["http://zotero.org/users/local/d1gJDEOw/items/2TR2BZ8A"],"uri":["http://zotero.org/users/local/d1gJDEOw/items/2TR2BZ8A"],"itemData":{"id":181,"type":"article-journal","title":"Functional diversity in arbuscular mycorrhizas: exploitation of soil patches with different phosphate enrichment differs among fungal species","container-title":"Plant Cell and Environment","page":"642-650","volume":"28","issue":"5","source":"Web of Science","abstract":"Most terrestrial plant species form associations with arbuscular mycorrhizal fungi (AMF) that transfer soil P to the plant via their external hyphae. The distribution of nutrients in soils is typically patchy (heterogeneous) but little is known about the ability of AMF to exploit P patches in soil. This was studied by growing symbioses of Linum usitatissimum and three AMF (Glomus intraradices, G. mosseae and Gigaspora margarita) in pots with two side-arms, which were accessible to hyphae, but not to roots. Soil in one side-arm was either unamended (P0) or enriched with P; simultaneous labelling of this soil with P-32 revealed that G. intraradices responded to P enrichment both in terms of hyphal proliferation and P uptake, whereas the other AMF did not. Labelling with P-33 of P0 soil in the other side arm revealed that the increased P uptake by G. intraradices from the P-enriched patch was paralleled by decreased P uptake by other parts of the mycelium. This is the first demonstration of variation in growth and nutrient uptake by an AMF as influenced by a localized P enrichment of the soil. The results are discussed in the context of functional diversity of AMF.","DOI":"10.1111/j.1365-3040.2005.01310.x","ISSN":"0140-7791","note":"WOS:000228488700008","shortTitle":"Functional diversity in arbuscular mycorrhizas","journalAbbreviation":"Plant Cell Environ.","language":"English","author":[{"family":"Cavagnaro","given":"T. R."},{"family":"Smith","given":"F. A."},{"family":"Smith","given":"S. E."},{"family":"Jakobsen","given":"I."}],"issued":{"date-parts":[["2005",5]]}}}],"schema":"https://github.com/citation-style-language/schema/raw/master/csl-citation.json"}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Klironomos</w:t>
      </w:r>
      <w:proofErr w:type="spellEnd"/>
      <w:r w:rsidR="00954B3D" w:rsidRPr="00954B3D">
        <w:rPr>
          <w:rFonts w:cs="Times New Roman"/>
          <w:szCs w:val="24"/>
        </w:rPr>
        <w:t xml:space="preserve">, 2003; </w:t>
      </w:r>
      <w:proofErr w:type="spellStart"/>
      <w:r w:rsidR="00954B3D" w:rsidRPr="00954B3D">
        <w:rPr>
          <w:rFonts w:cs="Times New Roman"/>
          <w:szCs w:val="24"/>
        </w:rPr>
        <w:t>Cavagnaro</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2005)</w:t>
      </w:r>
      <w:r>
        <w:fldChar w:fldCharType="end"/>
      </w:r>
      <w:r>
        <w:t>.</w:t>
      </w:r>
    </w:p>
    <w:p w:rsidR="002F645F" w:rsidRDefault="002F645F" w:rsidP="002F645F">
      <w:r>
        <w:t xml:space="preserve">A further consideration is that there are several reasons why improved nutrient acquisition by a more diverse AMF community may not result in increased fruit production. For example this may be the case if access to nutrients were not a limiting factor for fruit production or if nutrient uptake by the tree itself is down-regulated in response to mycorrhizal colonisation, leading to no net gain in nutrition (Smith, 2000). Furthermore, it is known that excessive supply of nutrients to apple trees may lead to increased </w:t>
      </w:r>
      <w:r w:rsidR="00334AAF">
        <w:t xml:space="preserve">vegetative </w:t>
      </w:r>
      <w:r>
        <w:t>growth but reduced allocation of resources to reproduction (</w:t>
      </w:r>
      <w:proofErr w:type="spellStart"/>
      <w:r>
        <w:t>i.e</w:t>
      </w:r>
      <w:proofErr w:type="spellEnd"/>
      <w:r>
        <w:t xml:space="preserve"> reduced fruit production) and therefore not be beneficial for improving yield </w:t>
      </w:r>
      <w:r>
        <w:fldChar w:fldCharType="begin"/>
      </w:r>
      <w:r w:rsidR="00954B3D">
        <w:instrText xml:space="preserve"> ADDIN ZOTERO_ITEM CSL_CITATION {"citationID":"190nc14gsp","properties":{"formattedCitation":"(Williams, 1996)","plainCitation":"(Williams, 1996)"},"citationItems":[{"id":625,"uris":["http://zotero.org/users/local/d1gJDEOw/items/DTKWXZGH"],"uri":["http://zotero.org/users/local/d1gJDEOw/items/DTKWXZGH"],"itemData":{"id":625,"type":"book","title":"Cider and Juice Apples: Growing and Processing","publisher":"Unviersity of Bristol Printing Unit","author":[{"family":"Williams","given":"R.R"}],"issued":{"date-parts":[["1996"]]}}}],"schema":"https://github.com/citation-style-language/schema/raw/master/csl-citation.json"} </w:instrText>
      </w:r>
      <w:r>
        <w:fldChar w:fldCharType="separate"/>
      </w:r>
      <w:r w:rsidR="00954B3D" w:rsidRPr="00954B3D">
        <w:rPr>
          <w:rFonts w:cs="Times New Roman"/>
        </w:rPr>
        <w:t>(Williams, 1996)</w:t>
      </w:r>
      <w:r>
        <w:fldChar w:fldCharType="end"/>
      </w:r>
      <w:r>
        <w:t xml:space="preserve">. </w:t>
      </w:r>
    </w:p>
    <w:p w:rsidR="002F645F" w:rsidRDefault="002F645F" w:rsidP="002F645F">
      <w:r>
        <w:lastRenderedPageBreak/>
        <w:t xml:space="preserve">Finally, annual apple yields are known to be affected by a range of environmental and biological factors over the course of the growing season. These include environmental factors such as rainfall, temperature and wind in addition to biological factors such as pollination effects and pathogen incidence </w:t>
      </w:r>
      <w:r>
        <w:fldChar w:fldCharType="begin"/>
      </w:r>
      <w:r w:rsidR="00954B3D">
        <w:instrText xml:space="preserve"> ADDIN ZOTERO_ITEM CSL_CITATION {"citationID":"TYCsgecs","properties":{"formattedCitation":"(Williams, 1996; Beresford &amp; Kim, 2010)","plainCitation":"(Williams, 1996; Beresford &amp; Kim, 2010)"},"citationItems":[{"id":625,"uris":["http://zotero.org/users/local/d1gJDEOw/items/DTKWXZGH"],"uri":["http://zotero.org/users/local/d1gJDEOw/items/DTKWXZGH"],"itemData":{"id":625,"type":"book","title":"Cider and Juice Apples: Growing and Processing","publisher":"Unviersity of Bristol Printing Unit","author":[{"family":"Williams","given":"R.R"}],"issued":{"date-parts":[["1996"]]}}},{"id":46,"uris":["http://zotero.org/users/local/d1gJDEOw/items/BE5KW4ZK"],"uri":["http://zotero.org/users/local/d1gJDEOw/items/BE5KW4ZK"],"itemData":{"id":46,"type":"article-journal","title":"Identification of Regional Climatic Conditions Favorable for Development of European Canker of Apple","container-title":"Phytopathology","page":"135-146","volume":"101","issue":"1","source":"apsjournals.apsnet.org (Atypon)","abstract":"Months of the year with high risk of European canker (Neonectria galligena) development in areas of the United States, Chile, England, and Northern Ireland were determined from published data. Moving-window analysis of long-term climatic data was used to classify disease risk in these areas in relation to rainfall and temperature conditions using the degree of agreement statistic. Greatest agreement occurred when it both rained on &gt;30% of days/month and there was an average of &gt;8 h/day with temperature of 11 to 16°C. When these thresholds were applied in eight validation areas in New Zealand, Australia, the United States, The Netherlands, and Denmark, areas with reported higher risk of disease tended to be areas where the thresholds were exceeded more often and by greater amounts. Areas at higher latitudes (&gt;52°) with frequent summer rainfall appeared to be most prone to European canker, including the fruit rot phase of the disease, probably because summer temperatures were more favorable than at lower latitudes. The climatic thresholds derived for European canker could be useful for studies of disease establishment risk, surveillance, eradication, climate change impact assessment, and, possibly, for disease risk forecasting. The methods used in this study allowed conditions favorable for disease development to be identified even though quantitative regional disease data were lacking, and they could be useful for similar geoclimatic studies of other diseases.","DOI":"10.1094/PHYTO-05-10-0137","ISSN":"0031-949X","journalAbbreviation":"Phytopathology","author":[{"family":"Beresford","given":"Robert M."},{"family":"Kim","given":"Kwang Soo"}],"issued":{"date-parts":[["2010",8,26]]}}}],"schema":"https://github.com/citation-style-language/schema/raw/master/csl-citation.json"} </w:instrText>
      </w:r>
      <w:r>
        <w:fldChar w:fldCharType="separate"/>
      </w:r>
      <w:r w:rsidR="00954B3D" w:rsidRPr="00954B3D">
        <w:rPr>
          <w:rFonts w:cs="Times New Roman"/>
        </w:rPr>
        <w:t>(Williams, 1996; Beresford &amp; Kim, 2010)</w:t>
      </w:r>
      <w:r>
        <w:fldChar w:fldCharType="end"/>
      </w:r>
      <w:r>
        <w:t xml:space="preserve">. Particularly at specific times of the season such as during flowering and fruit set, variance in conditions can have a large effect upon the annual crop. In comparison to these factors, minor effects of AMF upon productivity may be difficult to detect. </w:t>
      </w:r>
    </w:p>
    <w:p w:rsidR="002F645F" w:rsidRDefault="002F645F" w:rsidP="002F645F">
      <w:pPr>
        <w:pStyle w:val="Heading2"/>
      </w:pPr>
      <w:bookmarkStart w:id="478" w:name="_Toc469855074"/>
      <w:bookmarkStart w:id="479" w:name="_Toc469856074"/>
      <w:bookmarkStart w:id="480" w:name="_Toc469931983"/>
      <w:bookmarkStart w:id="481" w:name="_Toc469982304"/>
      <w:r>
        <w:t>Conclusions</w:t>
      </w:r>
      <w:bookmarkEnd w:id="478"/>
      <w:bookmarkEnd w:id="479"/>
      <w:bookmarkEnd w:id="480"/>
      <w:bookmarkEnd w:id="481"/>
    </w:p>
    <w:p w:rsidR="002F645F" w:rsidRDefault="002F645F" w:rsidP="002F645F">
      <w:pPr>
        <w:rPr>
          <w:rFonts w:cs="Times New Roman"/>
        </w:rPr>
      </w:pPr>
      <w:r>
        <w:rPr>
          <w:rFonts w:cs="Times New Roman"/>
        </w:rPr>
        <w:t>This study aimed to test the following hypothesis:</w:t>
      </w:r>
    </w:p>
    <w:p w:rsidR="002F645F" w:rsidRPr="00456DAB" w:rsidRDefault="002F645F" w:rsidP="005D6985">
      <w:pPr>
        <w:pStyle w:val="ListParagraph"/>
        <w:numPr>
          <w:ilvl w:val="0"/>
          <w:numId w:val="16"/>
        </w:numPr>
      </w:pPr>
      <w:r w:rsidRPr="00456DAB">
        <w:t>Intensive orchard management reduces AMF richness and Simpson’s diversity and alters community composition (presence/absence of taxa present and their relative abundance).</w:t>
      </w:r>
    </w:p>
    <w:p w:rsidR="002F645F" w:rsidRPr="00456DAB" w:rsidRDefault="002F645F" w:rsidP="005D6985">
      <w:pPr>
        <w:pStyle w:val="ListParagraph"/>
        <w:numPr>
          <w:ilvl w:val="0"/>
          <w:numId w:val="16"/>
        </w:numPr>
      </w:pPr>
      <w:r w:rsidRPr="00456DAB">
        <w:t>Increased inorganic fertiliser application is associated with reduced AMF richness and changes in community composition of the fungal taxa colonising apple trees.</w:t>
      </w:r>
    </w:p>
    <w:p w:rsidR="002F645F" w:rsidRPr="00456DAB" w:rsidRDefault="002F645F" w:rsidP="005D6985">
      <w:pPr>
        <w:pStyle w:val="ListParagraph"/>
        <w:numPr>
          <w:ilvl w:val="0"/>
          <w:numId w:val="16"/>
        </w:numPr>
      </w:pPr>
      <w:r w:rsidRPr="00456DAB">
        <w:t>There is a positive relationship between AMF richness and abundance with tree fruit yield.</w:t>
      </w:r>
    </w:p>
    <w:p w:rsidR="002F645F" w:rsidRDefault="002F645F" w:rsidP="002F645F">
      <w:r>
        <w:t>The results of this study do not support hypothesis one, two or three which must therefore be rejected. The lack of response of AMF communities colonising apple trees to management practices and the high richness of AMF colonising apple trees suggests that orchard management practices have little impact on AMF communities.  Lack of relationship between the AMF community and tree yield suggests that AMF are not one of the main drivers of tree productivity.</w:t>
      </w:r>
    </w:p>
    <w:p w:rsidR="00D33359" w:rsidRDefault="00D33359" w:rsidP="00E95851">
      <w:pPr>
        <w:sectPr w:rsidR="00D33359" w:rsidSect="00D33359">
          <w:pgSz w:w="11906" w:h="16838" w:code="9"/>
          <w:pgMar w:top="1134" w:right="1134" w:bottom="1134" w:left="2268" w:header="709" w:footer="709" w:gutter="0"/>
          <w:cols w:space="708"/>
          <w:docGrid w:linePitch="360"/>
        </w:sectPr>
      </w:pPr>
    </w:p>
    <w:p w:rsidR="00D33359" w:rsidRDefault="00D33359" w:rsidP="00E0076D">
      <w:pPr>
        <w:pStyle w:val="Heading1"/>
        <w:tabs>
          <w:tab w:val="left" w:pos="1985"/>
        </w:tabs>
      </w:pPr>
      <w:bookmarkStart w:id="482" w:name="_Toc469855075"/>
      <w:bookmarkStart w:id="483" w:name="_Toc469856075"/>
      <w:bookmarkStart w:id="484" w:name="_Toc469931984"/>
      <w:bookmarkStart w:id="485" w:name="_Toc469982305"/>
      <w:r>
        <w:lastRenderedPageBreak/>
        <w:t>General discussion</w:t>
      </w:r>
      <w:bookmarkEnd w:id="482"/>
      <w:bookmarkEnd w:id="483"/>
      <w:bookmarkEnd w:id="484"/>
      <w:bookmarkEnd w:id="485"/>
    </w:p>
    <w:p w:rsidR="00D33359" w:rsidRPr="00843A4D" w:rsidRDefault="00D33359" w:rsidP="00D33359">
      <w:pPr>
        <w:pStyle w:val="Heading2"/>
      </w:pPr>
      <w:bookmarkStart w:id="486" w:name="_Toc469855076"/>
      <w:bookmarkStart w:id="487" w:name="_Toc469856076"/>
      <w:bookmarkStart w:id="488" w:name="_Toc469931985"/>
      <w:bookmarkStart w:id="489" w:name="_Toc469982306"/>
      <w:r>
        <w:t>Overall thesis aims</w:t>
      </w:r>
      <w:bookmarkEnd w:id="486"/>
      <w:bookmarkEnd w:id="487"/>
      <w:bookmarkEnd w:id="488"/>
      <w:bookmarkEnd w:id="489"/>
    </w:p>
    <w:p w:rsidR="00D33359" w:rsidRPr="00AA22EE" w:rsidRDefault="00D33359" w:rsidP="00D33359">
      <w:pPr>
        <w:rPr>
          <w:rFonts w:cs="Times New Roman"/>
        </w:rPr>
      </w:pPr>
      <w:r w:rsidRPr="00AA22EE">
        <w:rPr>
          <w:rFonts w:cs="Times New Roman"/>
        </w:rPr>
        <w:t>The o</w:t>
      </w:r>
      <w:r>
        <w:rPr>
          <w:rFonts w:cs="Times New Roman"/>
        </w:rPr>
        <w:t>verarching aim of this thesis was</w:t>
      </w:r>
      <w:r w:rsidRPr="00AA22EE">
        <w:rPr>
          <w:rFonts w:cs="Times New Roman"/>
        </w:rPr>
        <w:t xml:space="preserve"> to assess the potential of arbuscular mycorrhizal fungi </w:t>
      </w:r>
      <w:r>
        <w:rPr>
          <w:rFonts w:cs="Times New Roman"/>
        </w:rPr>
        <w:t xml:space="preserve">(AMF) </w:t>
      </w:r>
      <w:r w:rsidRPr="00AA22EE">
        <w:rPr>
          <w:rFonts w:cs="Times New Roman"/>
        </w:rPr>
        <w:t>for improving sustainability of apple orchards.</w:t>
      </w:r>
    </w:p>
    <w:p w:rsidR="00D33359" w:rsidRPr="00AA22EE" w:rsidRDefault="00D33359" w:rsidP="00D33359">
      <w:pPr>
        <w:rPr>
          <w:rFonts w:cs="Times New Roman"/>
        </w:rPr>
      </w:pPr>
      <w:r w:rsidRPr="00AA22EE">
        <w:rPr>
          <w:rFonts w:cs="Times New Roman"/>
        </w:rPr>
        <w:t xml:space="preserve">More specifically, this research </w:t>
      </w:r>
      <w:r>
        <w:rPr>
          <w:rFonts w:cs="Times New Roman"/>
        </w:rPr>
        <w:t>addressed</w:t>
      </w:r>
      <w:r w:rsidRPr="00AA22EE">
        <w:rPr>
          <w:rFonts w:cs="Times New Roman"/>
        </w:rPr>
        <w:t xml:space="preserve"> the following questions:</w:t>
      </w:r>
    </w:p>
    <w:p w:rsidR="00D33359" w:rsidRPr="00E0076D" w:rsidRDefault="00D33359" w:rsidP="00E0076D">
      <w:pPr>
        <w:pStyle w:val="ListParagraph"/>
        <w:numPr>
          <w:ilvl w:val="0"/>
          <w:numId w:val="21"/>
        </w:numPr>
      </w:pPr>
      <w:r w:rsidRPr="00E0076D">
        <w:t>To what extent can symbiosis with AMF improve the health, growth and productivity of cider apple trees?</w:t>
      </w:r>
    </w:p>
    <w:p w:rsidR="00D33359" w:rsidRPr="00E0076D" w:rsidRDefault="00D33359" w:rsidP="00E0076D">
      <w:pPr>
        <w:pStyle w:val="ListParagraph"/>
        <w:numPr>
          <w:ilvl w:val="0"/>
          <w:numId w:val="21"/>
        </w:numPr>
      </w:pPr>
      <w:r w:rsidRPr="00E0076D">
        <w:t>What are the AMF communities naturally found within cider apple orchards and how are they impacted by orchard management?</w:t>
      </w:r>
    </w:p>
    <w:p w:rsidR="00D33359" w:rsidRDefault="00D33359" w:rsidP="00D33359">
      <w:r>
        <w:t>The findings of this thesis in relation to these aims are discussed below.</w:t>
      </w:r>
    </w:p>
    <w:p w:rsidR="00D33359" w:rsidRDefault="00D33359" w:rsidP="00D33359">
      <w:pPr>
        <w:pStyle w:val="Heading3"/>
      </w:pPr>
      <w:bookmarkStart w:id="490" w:name="_Toc469855077"/>
      <w:bookmarkStart w:id="491" w:name="_Toc469856077"/>
      <w:bookmarkStart w:id="492" w:name="_Toc469931986"/>
      <w:bookmarkStart w:id="493" w:name="_Toc469982307"/>
      <w:r>
        <w:t>Can AMF improve growth, health and productivity of cider apple trees?</w:t>
      </w:r>
      <w:bookmarkEnd w:id="490"/>
      <w:bookmarkEnd w:id="491"/>
      <w:bookmarkEnd w:id="492"/>
      <w:bookmarkEnd w:id="493"/>
    </w:p>
    <w:p w:rsidR="00D33359" w:rsidRDefault="00D33359" w:rsidP="0057058E">
      <w:pPr>
        <w:pStyle w:val="Heading4"/>
      </w:pPr>
      <w:r>
        <w:t>Tree health</w:t>
      </w:r>
    </w:p>
    <w:p w:rsidR="00D33359" w:rsidRDefault="00D33359" w:rsidP="00D33359">
      <w:r>
        <w:t xml:space="preserve">The data from this thesis have demonstrated a positive effect of mycorrhizal inoculation with </w:t>
      </w:r>
      <w:proofErr w:type="spellStart"/>
      <w:r w:rsidRPr="00B73AD1">
        <w:rPr>
          <w:i/>
        </w:rPr>
        <w:t>Fun</w:t>
      </w:r>
      <w:r>
        <w:rPr>
          <w:i/>
        </w:rPr>
        <w:t>n</w:t>
      </w:r>
      <w:r w:rsidRPr="00B73AD1">
        <w:rPr>
          <w:i/>
        </w:rPr>
        <w:t>eliformis</w:t>
      </w:r>
      <w:proofErr w:type="spellEnd"/>
      <w:r w:rsidRPr="00B73AD1">
        <w:rPr>
          <w:i/>
        </w:rPr>
        <w:t xml:space="preserve"> </w:t>
      </w:r>
      <w:proofErr w:type="spellStart"/>
      <w:r w:rsidRPr="00B73AD1">
        <w:rPr>
          <w:i/>
        </w:rPr>
        <w:t>mosseae</w:t>
      </w:r>
      <w:proofErr w:type="spellEnd"/>
      <w:r w:rsidRPr="00B73AD1">
        <w:rPr>
          <w:i/>
        </w:rPr>
        <w:t xml:space="preserve"> </w:t>
      </w:r>
      <w:r>
        <w:t xml:space="preserve">and </w:t>
      </w:r>
      <w:proofErr w:type="spellStart"/>
      <w:r w:rsidR="00CC66C9">
        <w:rPr>
          <w:i/>
        </w:rPr>
        <w:t>Rhizophagus</w:t>
      </w:r>
      <w:proofErr w:type="spellEnd"/>
      <w:r w:rsidR="00CC66C9">
        <w:rPr>
          <w:i/>
        </w:rPr>
        <w:t xml:space="preserve"> </w:t>
      </w:r>
      <w:proofErr w:type="spellStart"/>
      <w:r w:rsidR="00CC66C9">
        <w:rPr>
          <w:i/>
        </w:rPr>
        <w:t>irregularis</w:t>
      </w:r>
      <w:proofErr w:type="spellEnd"/>
      <w:r>
        <w:t xml:space="preserve"> for resistance to the fungal pathogen </w:t>
      </w:r>
      <w:r w:rsidRPr="00B73AD1">
        <w:rPr>
          <w:i/>
        </w:rPr>
        <w:t>Neonectria ditissima</w:t>
      </w:r>
      <w:r>
        <w:t xml:space="preserve"> (apple canker) for young trees. This is the first study to report the benefit of mycorrhizal inoculation for defence against this pathogen which is a major production limiting pathogen of apple orchards globally. This result is in accord with  a growing body of literature reporting beneficial effects of AMF for plant disease resistance </w:t>
      </w:r>
      <w:r>
        <w:fldChar w:fldCharType="begin"/>
      </w:r>
      <w:r w:rsidR="00954B3D">
        <w:instrText xml:space="preserve"> ADDIN ZOTERO_ITEM CSL_CITATION {"citationID":"1n47s40i4i","properties":{"formattedCitation":"{\\rtf (Jung {\\i{}et al.}, 2012; Cameron {\\i{}et al.}, 2013)}","plainCitation":"(Jung et al., 2012; Cameron et al., 2013)"},"citationItems":[{"id":73,"uris":["http://zotero.org/users/local/d1gJDEOw/items/CIKUHM33"],"uri":["http://zotero.org/users/local/d1gJDEOw/items/CIKUHM33"],"itemData":{"id":73,"type":"article-journal","title":"Mycorrhiza-Induced Resistance and Priming of Plant Defenses","container-title":"Journal of Chemical Ecology","page":"651-664","volume":"38","issue":"6","abstract":"Symbioses between plants and beneficial soil microorganisms like arbuscular-mycorrhizal fungi (AMF) are known to promote plant growth and help plants to cope with biotic and abiotic stresses. Profound physiological changes take place in the host plant upon root colonization by AMF affecting the interactions with a wide range of organisms below- and above-ground. Protective effects of the symbiosis against pathogens, pests, and parasitic plants have been described for many plant species, including agriculturally important crop varieties. Besides mechanisms such as improved plant nutrition and competition, experimental evidence supports a major role of plant defenses in the observed protection. During mycorrhiza establishment, modulation of plant defense responses occurs thus achieving a functional symbiosis. As a consequence of this modulation, a mild, but effective activation of the plant immune responses seems to occur, not only locally but also systemically. This activation leads to a primed state of the plant that allows a more efficient activation of defense mechanisms in response to attack by potential enemies. Here, we give an overview of the impact on interactions between mycorrhizal plants and pathogens, herbivores, and parasitic plants, and we summarize the current knowledge of the underlying mechanisms. We focus on the priming of jasmonate-regulated plant defense mechanisms that play a central role in the induction of resistance by arbuscular mycorrhizas.","DOI":"10.1007/s10886-012-0134-6","ISSN":"1573-1561","journalAbbreviation":"Journal of Chemical Ecology","author":[{"family":"Jung","given":"Sabine C."},{"family":"Martinez-Medina","given":"Ainhoa"},{"family":"Lopez-Raez","given":"Juan A."},{"family":"Pozo","given":"Maria J."}],"issued":{"date-parts":[["2012"]]}}},{"id":3,"uris":["http://zotero.org/users/local/d1gJDEOw/items/T4PEQX3U"],"uri":["http://zotero.org/users/local/d1gJDEOw/items/T4PEQX3U"],"itemData":{"id":3,"type":"article-journal","title":"Mycorrhiza-induced resistance: more than the sum of its parts?","container-title":"Trends in Plant Science","page":"539-545","volume":"18","issue":"10","source":"Web of Science","abstract":"Plants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mycorrhizosphere.","DOI":"10.1016/j.tplants.2013.06.004","ISSN":"1360-1385","note":"WOS:000325597200003","shortTitle":"Mycorrhiza-induced resistance","journalAbbreviation":"Trends Plant Sci.","language":"English","author":[{"family":"Cameron","given":"Duncan D."},{"family":"Neal","given":"Andrew L."},{"family":"Wees","given":"Saskia C. M.","non-dropping-particle":"van"},{"family":"Ton","given":"Jurriaan"}],"issued":{"date-parts":[["2013",10]]}}}],"schema":"https://github.com/citation-style-language/schema/raw/master/csl-citation.json"} </w:instrText>
      </w:r>
      <w:r>
        <w:fldChar w:fldCharType="separate"/>
      </w:r>
      <w:r w:rsidR="00954B3D" w:rsidRPr="00954B3D">
        <w:rPr>
          <w:rFonts w:cs="Times New Roman"/>
          <w:szCs w:val="24"/>
        </w:rPr>
        <w:t xml:space="preserve">(Jung </w:t>
      </w:r>
      <w:r w:rsidR="00954B3D" w:rsidRPr="00954B3D">
        <w:rPr>
          <w:rFonts w:cs="Times New Roman"/>
          <w:i/>
          <w:iCs/>
          <w:szCs w:val="24"/>
        </w:rPr>
        <w:t>et al.</w:t>
      </w:r>
      <w:r w:rsidR="00954B3D" w:rsidRPr="00954B3D">
        <w:rPr>
          <w:rFonts w:cs="Times New Roman"/>
          <w:szCs w:val="24"/>
        </w:rPr>
        <w:t xml:space="preserve">, 2012; Cameron </w:t>
      </w:r>
      <w:r w:rsidR="00954B3D" w:rsidRPr="00954B3D">
        <w:rPr>
          <w:rFonts w:cs="Times New Roman"/>
          <w:i/>
          <w:iCs/>
          <w:szCs w:val="24"/>
        </w:rPr>
        <w:t>et al.</w:t>
      </w:r>
      <w:r w:rsidR="00954B3D" w:rsidRPr="00954B3D">
        <w:rPr>
          <w:rFonts w:cs="Times New Roman"/>
          <w:szCs w:val="24"/>
        </w:rPr>
        <w:t>, 2013)</w:t>
      </w:r>
      <w:r>
        <w:fldChar w:fldCharType="end"/>
      </w:r>
      <w:r>
        <w:t xml:space="preserve">. Interestingly a relationship between colonisation of plants colonised with both these species and reduced pathogen incidence has previously been reported </w:t>
      </w:r>
      <w:r>
        <w:fldChar w:fldCharType="begin"/>
      </w:r>
      <w:r w:rsidR="0054501B">
        <w:instrText xml:space="preserve"> ADDIN ZOTERO_ITEM CSL_CITATION {"citationID":"2rFRnfir","properties":{"formattedCitation":"(Maherali &amp; Klironomos, 2007)","plainCitation":"(Maherali &amp; Klironomos, 2007)"},"citationItems":[{"id":573,"uris":["http://zotero.org/users/local/d1gJDEOw/items/I7SQ23TH"],"uri":["http://zotero.org/users/local/d1gJDEOw/items/I7SQ23TH"],"itemData":{"id":573,"type":"article-journal","title":"Influence of Phylogeny on fungal community assembly and ecosystem functioning","container-title":"Science","page":"1746-1748","volume":"316","issue":"5832","source":"Web of Science","abstract":"Ecology seeks to explain species coexistence and its functional consequences, but experimental tests of mechanisms that simultaneously account for both processes are difficult. We used an experimental mycorrhizal plant system to test whether functional similarity among closely related species (phylogenetic conservatism) can drive community assembly and ecosystem functioning. Communities were constructed with the same number of fungal species, but after 1 year of growth, realized species richness was highest where the starting species were more distantly related to each other. Communities with high realized species richness also stimulated plant productivity more than those with low realized species richness. Our findings suggest that phylogenetic trait conservatism can promote coexistence because of reduced competition between distinct evolutionary lineages and enhance ecosystem function because of functional complementarity among those same lineages.","DOI":"10.1126/science.1143082","ISSN":"0036-8075","note":"WOS:000247400500047","journalAbbreviation":"Science","language":"English","author":[{"family":"Maherali","given":"Hafiz"},{"family":"Klironomos","given":"John N."}],"issued":{"date-parts":[["2007",6,22]]}}}],"schema":"https://github.com/citation-style-language/schema/raw/master/csl-citation.json"} </w:instrText>
      </w:r>
      <w:r>
        <w:fldChar w:fldCharType="separate"/>
      </w:r>
      <w:r w:rsidR="0054501B" w:rsidRPr="0054501B">
        <w:rPr>
          <w:rFonts w:cs="Times New Roman"/>
        </w:rPr>
        <w:t>(</w:t>
      </w:r>
      <w:proofErr w:type="spellStart"/>
      <w:r w:rsidR="0054501B" w:rsidRPr="0054501B">
        <w:rPr>
          <w:rFonts w:cs="Times New Roman"/>
        </w:rPr>
        <w:t>Maherali</w:t>
      </w:r>
      <w:proofErr w:type="spellEnd"/>
      <w:r w:rsidR="0054501B" w:rsidRPr="0054501B">
        <w:rPr>
          <w:rFonts w:cs="Times New Roman"/>
        </w:rPr>
        <w:t xml:space="preserve"> &amp; </w:t>
      </w:r>
      <w:proofErr w:type="spellStart"/>
      <w:r w:rsidR="0054501B" w:rsidRPr="0054501B">
        <w:rPr>
          <w:rFonts w:cs="Times New Roman"/>
        </w:rPr>
        <w:t>Klironomos</w:t>
      </w:r>
      <w:proofErr w:type="spellEnd"/>
      <w:r w:rsidR="0054501B" w:rsidRPr="0054501B">
        <w:rPr>
          <w:rFonts w:cs="Times New Roman"/>
        </w:rPr>
        <w:t>, 2007)</w:t>
      </w:r>
      <w:r>
        <w:fldChar w:fldCharType="end"/>
      </w:r>
      <w:r>
        <w:t xml:space="preserve"> for protection of </w:t>
      </w:r>
      <w:proofErr w:type="spellStart"/>
      <w:r w:rsidRPr="00791AB3">
        <w:rPr>
          <w:i/>
        </w:rPr>
        <w:t>Plantago</w:t>
      </w:r>
      <w:proofErr w:type="spellEnd"/>
      <w:r w:rsidRPr="00791AB3">
        <w:rPr>
          <w:i/>
        </w:rPr>
        <w:t xml:space="preserve"> </w:t>
      </w:r>
      <w:proofErr w:type="spellStart"/>
      <w:r w:rsidRPr="00791AB3">
        <w:rPr>
          <w:i/>
        </w:rPr>
        <w:t>lanceolata</w:t>
      </w:r>
      <w:proofErr w:type="spellEnd"/>
      <w:r>
        <w:t xml:space="preserve"> against root rot pathogen </w:t>
      </w:r>
      <w:r w:rsidRPr="00791AB3">
        <w:rPr>
          <w:i/>
        </w:rPr>
        <w:t xml:space="preserve">Pythium </w:t>
      </w:r>
      <w:proofErr w:type="spellStart"/>
      <w:r w:rsidRPr="00791AB3">
        <w:rPr>
          <w:i/>
        </w:rPr>
        <w:t>sp</w:t>
      </w:r>
      <w:proofErr w:type="spellEnd"/>
      <w:r>
        <w:t xml:space="preserve"> suggesting that these AMF species may also function in plant protection against other fungal pathogens. The role of AMF in protection against this pathogen may be particularly useful for organic orchard systems where chemical control of </w:t>
      </w:r>
      <w:r w:rsidRPr="007A051B">
        <w:rPr>
          <w:i/>
        </w:rPr>
        <w:t>N.</w:t>
      </w:r>
      <w:r>
        <w:rPr>
          <w:i/>
        </w:rPr>
        <w:t xml:space="preserve"> </w:t>
      </w:r>
      <w:r w:rsidRPr="007A051B">
        <w:rPr>
          <w:i/>
        </w:rPr>
        <w:t>ditissima</w:t>
      </w:r>
      <w:r>
        <w:t xml:space="preserve"> is prohibited.</w:t>
      </w:r>
    </w:p>
    <w:p w:rsidR="00D33359" w:rsidRDefault="00D33359" w:rsidP="00D33359">
      <w:pPr>
        <w:pStyle w:val="Heading4"/>
      </w:pPr>
      <w:r>
        <w:t>Growth and productivity</w:t>
      </w:r>
    </w:p>
    <w:p w:rsidR="00D33359" w:rsidRPr="00B40B45" w:rsidRDefault="00D33359" w:rsidP="00D33359">
      <w:r>
        <w:rPr>
          <w:rFonts w:cstheme="minorHAnsi"/>
        </w:rPr>
        <w:t>This study has found no</w:t>
      </w:r>
      <w:r w:rsidRPr="007D631B">
        <w:rPr>
          <w:rFonts w:cstheme="minorHAnsi"/>
        </w:rPr>
        <w:t xml:space="preserve"> evidence of improved</w:t>
      </w:r>
      <w:r>
        <w:rPr>
          <w:rFonts w:cstheme="minorHAnsi"/>
        </w:rPr>
        <w:t xml:space="preserve"> yield</w:t>
      </w:r>
      <w:r w:rsidRPr="007D631B">
        <w:rPr>
          <w:rFonts w:cstheme="minorHAnsi"/>
        </w:rPr>
        <w:t xml:space="preserve"> </w:t>
      </w:r>
      <w:r>
        <w:rPr>
          <w:rFonts w:cstheme="minorHAnsi"/>
        </w:rPr>
        <w:t xml:space="preserve">of </w:t>
      </w:r>
      <w:r w:rsidRPr="007D631B">
        <w:rPr>
          <w:rFonts w:cstheme="minorHAnsi"/>
        </w:rPr>
        <w:t xml:space="preserve">experimental trees </w:t>
      </w:r>
      <w:r>
        <w:rPr>
          <w:rFonts w:cstheme="minorHAnsi"/>
        </w:rPr>
        <w:t xml:space="preserve">inoculated with two AMF taxa </w:t>
      </w:r>
      <w:r w:rsidRPr="007D631B">
        <w:rPr>
          <w:rFonts w:cstheme="minorHAnsi"/>
        </w:rPr>
        <w:t>(Chapter 2)</w:t>
      </w:r>
      <w:r>
        <w:rPr>
          <w:rFonts w:cstheme="minorHAnsi"/>
        </w:rPr>
        <w:t xml:space="preserve"> although it is important to note that the immaturity of the trees used for this experiment (1 year) meant that trees had not reached yet reached full cropping. Similarly the observed lack of relationship between the AMF community and tree yield from our landscape scale study suggests that AMF communities are not a main driver of tree productivity </w:t>
      </w:r>
      <w:r w:rsidRPr="007D631B">
        <w:rPr>
          <w:rFonts w:cstheme="minorHAnsi"/>
        </w:rPr>
        <w:t>(Chapter 4).</w:t>
      </w:r>
      <w:r>
        <w:rPr>
          <w:rFonts w:cstheme="minorHAnsi"/>
        </w:rPr>
        <w:t xml:space="preserve">  Inoculation of experimental trees (Chapter 2) showed no clear benefit of improved nutrition (indicated by improved leaf tissue concentration of either N or P) or any measure of above or belowground growth. </w:t>
      </w:r>
    </w:p>
    <w:p w:rsidR="00D33359" w:rsidRDefault="00D33359" w:rsidP="00D33359">
      <w:pPr>
        <w:pStyle w:val="Heading4"/>
      </w:pPr>
      <w:r w:rsidRPr="00724C3F">
        <w:lastRenderedPageBreak/>
        <w:t>Scion and rootstock AMF interactions</w:t>
      </w:r>
    </w:p>
    <w:p w:rsidR="00D33359" w:rsidRPr="00D53374" w:rsidRDefault="00D33359" w:rsidP="00D33359">
      <w:r>
        <w:t xml:space="preserve">Both MM111 and MM106 rootstocks which are the among the most widely planted for cider apple trees, were capable of being well colonised by AMF (up to 48% root colonisation) thus demonstrating that selective breeding of these rootstocks has not reduced the ability to form AMF symbiosis as has been observed in some crop varieties </w:t>
      </w:r>
      <w:r>
        <w:rPr>
          <w:highlight w:val="yellow"/>
        </w:rPr>
        <w:fldChar w:fldCharType="begin"/>
      </w:r>
      <w:r w:rsidR="00954B3D">
        <w:rPr>
          <w:highlight w:val="yellow"/>
        </w:rPr>
        <w:instrText xml:space="preserve"> ADDIN ZOTERO_ITEM CSL_CITATION {"citationID":"nj5k6msna","properties":{"formattedCitation":"{\\rtf (Hetrick {\\i{}et al.}, 1996; Zhu {\\i{}et al.}, 2001)}","plainCitation":"(Hetrick et al., 1996; Zhu et al., 2001)"},"citationItems":[{"id":172,"uris":["http://zotero.org/users/local/d1gJDEOw/items/R5CTA8PV"],"uri":["http://zotero.org/users/local/d1gJDEOw/items/R5CTA8PV"],"itemData":{"id":172,"type":"article-journal","title":"Mycorrhizal response in wheat cultivars: Relationship to phosphorus","container-title":"Canadian Journal of Botany-Revue Canadienne De Botanique","page":"19-25","volume":"74","issue":"1","source":"Web of Science","abstract":"The effect of five mycorrhizal fungi on the growth of 10 wheat cultivars under three phosphorus regimes was assessed in a greenhouse study. Six of the cultivars responded positively, while four responded negatively or were nonresponsive to mycorrhizal inoculation. The responses of the individual cultivars were consistent regardless of inoculum source, suggesting that mycorrhizal responsiveness is an inherited trait rather than a response to individual fungi. Mycorrhizal responsiveness decreased with P fertilization for cultivars that were dependent on the symbiosis, but it was unaffected by P fertilization in cultivars that were negatively impacted by the mycorrhizae. Mycorrhizal and P responsiveness of each cultivar were highly correlated (r = 0.94), suggesting that P responsiveness may be a good predictor of the mycorrhizal dependence of selected wheat cultivars. The relationship between wheat biomass production and percentage root colonization was positive for cultivars, which responded favorably to the symbiosis, and negative for cultivars, which responded negatively or were nonresponsive to mycorrhizal inoculation. Amendment with P did not significantly affect these relationships. To determine whether differences in mycorrhizal responsiveness are related to nutrient uptake by the fungus, P-32 uptake of Turkey (responsive cultivar) and Newton (nonresponsive cultivar) was controlled by severing the mycorrhizal hyphae in a split-pot experiment. Plants with intact hyphae absorbed more P-32 than those with severed hyphae for both cultivars, and significantly more counts per minute of P-32 were evident in Newton than in Turkey, suggesting that mycorrhizal function is not impaired even in cultivars that do not display a biomass increase in response to mycorrhizal symbiosis.","ISSN":"0008-4026","note":"WOS:A1996TU24100003","shortTitle":"Mycorrhizal response in wheat cultivars","journalAbbreviation":"Can. J. Bot.-Rev. Can. Bot.","language":"English","author":[{"family":"Hetrick","given":"B. a. D."},{"family":"Wilson","given":"G. W. T."},{"family":"Todd","given":"T. C."}],"issued":{"date-parts":[["1996",1]]}}},{"id":168,"uris":["http://zotero.org/users/local/d1gJDEOw/items/EEH5AMWP"],"uri":["http://zotero.org/users/local/d1gJDEOw/items/EEH5AMWP"],"itemData":{"id":168,"type":"article-journal","title":"Phosphorus (P) efficiencies and mycorrhizal responsiveness of old and modern wheat cultivars","container-title":"Plant and Soil","page":"249-255","volume":"237","issue":"2","source":"Web of Science","abstract":"A pot experiment was carried out in a growth chamber to investigate P efficiencies and mycorrhizal responsiveness of modern (Krichauff and Excalibur) and old (Khapstein, Bobin, Comeback and Purple Straw) wheat cultivars (Triticum aestivum). The arbuscular mycorrhizal fungus (AMF) used in this study was Glomus intraradices. The growth medium was a soil/sand mixture with NaHCO3-extractable P of 9.4 mg P kg(-1) and no extra P was added. Plant P efficiencies (uptake, utilisation and agronomic) were found to differ significantly between cultivars, but no general trends of changes with the year of release of the cultivar were found. AMF colonisation was found to decrease plant growth under our experimental conditions with low light intensity. Mycorrhizal responsiveness (MR) was measured in terms of the improvement in plant P nutrition (shoot P concentrations). MR was found to be generally lower in modern cultivars than in old cultivars, indicating that modern breeding programs may have reduced the responsiveness of modern wheat cultivars to arbuscular mycorrhizal fungi. MR was also found to decrease in general with increased plant P utilisation efficiency.","DOI":"10.1023/A:1013343811110","ISSN":"0032-079X","note":"WOS:000172862000006","journalAbbreviation":"Plant Soil","language":"English","author":[{"family":"Zhu","given":"Y. G."},{"family":"Smith","given":"S. E."},{"family":"Barritt","given":"A. R."},{"family":"Smith","given":"F. A."}],"issued":{"date-parts":[["2001",12]]}}}],"schema":"https://github.com/citation-style-language/schema/raw/master/csl-citation.json"} </w:instrText>
      </w:r>
      <w:r>
        <w:rPr>
          <w:highlight w:val="yellow"/>
        </w:rPr>
        <w:fldChar w:fldCharType="separate"/>
      </w:r>
      <w:r w:rsidR="00954B3D" w:rsidRPr="00954B3D">
        <w:rPr>
          <w:rFonts w:cs="Times New Roman"/>
          <w:szCs w:val="24"/>
        </w:rPr>
        <w:t>(</w:t>
      </w:r>
      <w:proofErr w:type="spellStart"/>
      <w:r w:rsidR="00954B3D" w:rsidRPr="00954B3D">
        <w:rPr>
          <w:rFonts w:cs="Times New Roman"/>
          <w:szCs w:val="24"/>
        </w:rPr>
        <w:t>Hetrick</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1996; Zhu </w:t>
      </w:r>
      <w:r w:rsidR="00954B3D" w:rsidRPr="00954B3D">
        <w:rPr>
          <w:rFonts w:cs="Times New Roman"/>
          <w:i/>
          <w:iCs/>
          <w:szCs w:val="24"/>
        </w:rPr>
        <w:t>et al.</w:t>
      </w:r>
      <w:r w:rsidR="00954B3D" w:rsidRPr="00954B3D">
        <w:rPr>
          <w:rFonts w:cs="Times New Roman"/>
          <w:szCs w:val="24"/>
        </w:rPr>
        <w:t>, 2001)</w:t>
      </w:r>
      <w:r>
        <w:rPr>
          <w:highlight w:val="yellow"/>
        </w:rPr>
        <w:fldChar w:fldCharType="end"/>
      </w:r>
      <w:r>
        <w:t>. Interestingly our results show AMF colonisation of trees differs between scion types</w:t>
      </w:r>
      <w:r w:rsidRPr="002B028E">
        <w:t xml:space="preserve"> </w:t>
      </w:r>
      <w:r>
        <w:t xml:space="preserve">(Dabinett and Michelin), although both types were able to reach high colonisation levels of up to 48 and 54 % respectively. To our knowledge this is the first study to report the effects of scion type on AMF colonisation of apple trees. Our results support recent work in citrus which demonstrated scion genotypes have a greater effect upon AMF communities than rootstocks </w:t>
      </w:r>
      <w:r>
        <w:fldChar w:fldCharType="begin"/>
      </w:r>
      <w:r w:rsidR="00954B3D">
        <w:instrText xml:space="preserve"> ADDIN ZOTERO_ITEM CSL_CITATION {"citationID":"c763feqpc","properties":{"formattedCitation":"{\\rtf (Song {\\i{}et al.}, 2015)}","plainCitation":"(Song et al., 2015)"},"citationItems":[{"id":170,"uris":["http://zotero.org/users/local/d1gJDEOw/items/ZKU6FMRD"],"uri":["http://zotero.org/users/local/d1gJDEOw/items/ZKU6FMRD"],"itemData":{"id":170,"type":"article-journal","title":"The Scion/Rootstock Genotypes and Habitats Affect Arbuscular Mycorrhizal Fungal Community in Citrus","container-title":"Frontiers in Microbiology","volume":"6","source":"Web of Science","abstract":"Citrus roots have rare root hairs and thus heavily depend on arbuscular mycorrhizal fungi (AMF) for mineral nutrient uptake. However, the AMF community structure of citrus is largely unknown. By using 454-pyrosequencing of 18S rRNA gene fragment, we investigated the genetic diversity of AMF colonizing citrus roots, and evaluated the impact of habitats and rootstock and scion genotypes on the AMF community structure. Over 7,40,000 effective sequences were obtained from 77 citrus root samples. These sequences were assigned to 75 AMF virtual taxa, of which 66 belong to Glomus, highlighting an absolute dominance of this AMF genus in symbiosis with citrus roots. The citrus AMF community structure is significantly affected by habitats and host genotypes. Interestingly, our data suggests that the genotype of the scion exerts a greater impact on the AMF community structure than that of the rootstock where the physical root-AMF association occurs. This study not only provides a comprehensive assessment for the community composition of the AMF in citrus roots under different conditions, but also sheds novel insights into how the AMF community might be indirectly influenced by the spatially separated yet metabolically connected partner the scion of the grafted citrus tree.","DOI":"10.3389/fmicb.2015.01372","ISSN":"1664-302X","note":"WOS:000366554900001","journalAbbreviation":"Front. Microbiol.","language":"English","author":[{"family":"Song","given":"Fang"},{"family":"Pan","given":"Zhiyong"},{"family":"Bai","given":"Fuxi"},{"family":"An","given":"Jianyong"},{"family":"Liu","given":"Jihong"},{"family":"Guo","given":"Wenwu"},{"family":"Bisseling","given":"Ton"},{"family":"Deng","given":"Xiuxin"},{"family":"Xiao","given":"Shunyuan"}],"issued":{"date-parts":[["2015",12,1]]}}}],"schema":"https://github.com/citation-style-language/schema/raw/master/csl-citation.json"} </w:instrText>
      </w:r>
      <w:r>
        <w:fldChar w:fldCharType="separate"/>
      </w:r>
      <w:r w:rsidR="00954B3D" w:rsidRPr="00954B3D">
        <w:rPr>
          <w:rFonts w:cs="Times New Roman"/>
          <w:szCs w:val="24"/>
        </w:rPr>
        <w:t xml:space="preserve">(Song </w:t>
      </w:r>
      <w:r w:rsidR="00954B3D" w:rsidRPr="00954B3D">
        <w:rPr>
          <w:rFonts w:cs="Times New Roman"/>
          <w:i/>
          <w:iCs/>
          <w:szCs w:val="24"/>
        </w:rPr>
        <w:t>et al.</w:t>
      </w:r>
      <w:r w:rsidR="00954B3D" w:rsidRPr="00954B3D">
        <w:rPr>
          <w:rFonts w:cs="Times New Roman"/>
          <w:szCs w:val="24"/>
        </w:rPr>
        <w:t>, 2015)</w:t>
      </w:r>
      <w:r>
        <w:fldChar w:fldCharType="end"/>
      </w:r>
      <w:r>
        <w:t xml:space="preserve">. Although the mechanisms for below ground effects of scion genotypes are not fully understood it has been suggested that metabolites synthesised in the scion and transported to the rootstock could function as a chemical cue for AMF recruitment, thus affecting the AMF community colonising the rootstock </w:t>
      </w:r>
      <w:r>
        <w:fldChar w:fldCharType="begin"/>
      </w:r>
      <w:r w:rsidR="00954B3D">
        <w:instrText xml:space="preserve"> ADDIN ZOTERO_ITEM CSL_CITATION {"citationID":"d3k9h95h7","properties":{"formattedCitation":"{\\rtf (Song {\\i{}et al.}, 2015)}","plainCitation":"(Song et al., 2015)"},"citationItems":[{"id":170,"uris":["http://zotero.org/users/local/d1gJDEOw/items/ZKU6FMRD"],"uri":["http://zotero.org/users/local/d1gJDEOw/items/ZKU6FMRD"],"itemData":{"id":170,"type":"article-journal","title":"The Scion/Rootstock Genotypes and Habitats Affect Arbuscular Mycorrhizal Fungal Community in Citrus","container-title":"Frontiers in Microbiology","volume":"6","source":"Web of Science","abstract":"Citrus roots have rare root hairs and thus heavily depend on arbuscular mycorrhizal fungi (AMF) for mineral nutrient uptake. However, the AMF community structure of citrus is largely unknown. By using 454-pyrosequencing of 18S rRNA gene fragment, we investigated the genetic diversity of AMF colonizing citrus roots, and evaluated the impact of habitats and rootstock and scion genotypes on the AMF community structure. Over 7,40,000 effective sequences were obtained from 77 citrus root samples. These sequences were assigned to 75 AMF virtual taxa, of which 66 belong to Glomus, highlighting an absolute dominance of this AMF genus in symbiosis with citrus roots. The citrus AMF community structure is significantly affected by habitats and host genotypes. Interestingly, our data suggests that the genotype of the scion exerts a greater impact on the AMF community structure than that of the rootstock where the physical root-AMF association occurs. This study not only provides a comprehensive assessment for the community composition of the AMF in citrus roots under different conditions, but also sheds novel insights into how the AMF community might be indirectly influenced by the spatially separated yet metabolically connected partner the scion of the grafted citrus tree.","DOI":"10.3389/fmicb.2015.01372","ISSN":"1664-302X","note":"WOS:000366554900001","journalAbbreviation":"Front. Microbiol.","language":"English","author":[{"family":"Song","given":"Fang"},{"family":"Pan","given":"Zhiyong"},{"family":"Bai","given":"Fuxi"},{"family":"An","given":"Jianyong"},{"family":"Liu","given":"Jihong"},{"family":"Guo","given":"Wenwu"},{"family":"Bisseling","given":"Ton"},{"family":"Deng","given":"Xiuxin"},{"family":"Xiao","given":"Shunyuan"}],"issued":{"date-parts":[["2015",12,1]]}}}],"schema":"https://github.com/citation-style-language/schema/raw/master/csl-citation.json"} </w:instrText>
      </w:r>
      <w:r>
        <w:fldChar w:fldCharType="separate"/>
      </w:r>
      <w:r w:rsidR="00954B3D" w:rsidRPr="00954B3D">
        <w:rPr>
          <w:rFonts w:cs="Times New Roman"/>
          <w:szCs w:val="24"/>
        </w:rPr>
        <w:t xml:space="preserve">(Song </w:t>
      </w:r>
      <w:r w:rsidR="00954B3D" w:rsidRPr="00954B3D">
        <w:rPr>
          <w:rFonts w:cs="Times New Roman"/>
          <w:i/>
          <w:iCs/>
          <w:szCs w:val="24"/>
        </w:rPr>
        <w:t>et al.</w:t>
      </w:r>
      <w:r w:rsidR="00954B3D" w:rsidRPr="00954B3D">
        <w:rPr>
          <w:rFonts w:cs="Times New Roman"/>
          <w:szCs w:val="24"/>
        </w:rPr>
        <w:t>, 2015)</w:t>
      </w:r>
      <w:r>
        <w:fldChar w:fldCharType="end"/>
      </w:r>
      <w:r>
        <w:t xml:space="preserve">. </w:t>
      </w:r>
    </w:p>
    <w:p w:rsidR="00D33359" w:rsidRPr="00216E5B" w:rsidRDefault="00D33359" w:rsidP="00D33359">
      <w:pPr>
        <w:pStyle w:val="Heading3"/>
      </w:pPr>
      <w:bookmarkStart w:id="494" w:name="_Toc469855078"/>
      <w:bookmarkStart w:id="495" w:name="_Toc469856078"/>
      <w:bookmarkStart w:id="496" w:name="_Toc469931987"/>
      <w:bookmarkStart w:id="497" w:name="_Toc469982308"/>
      <w:r w:rsidRPr="00216E5B">
        <w:t xml:space="preserve">What are the AMF types found in orchards and does orchard management </w:t>
      </w:r>
      <w:r>
        <w:t>alter AMF communities</w:t>
      </w:r>
      <w:bookmarkEnd w:id="494"/>
      <w:bookmarkEnd w:id="495"/>
      <w:bookmarkEnd w:id="496"/>
      <w:r w:rsidR="002E0B65">
        <w:t>?</w:t>
      </w:r>
      <w:bookmarkEnd w:id="497"/>
    </w:p>
    <w:p w:rsidR="00D33359" w:rsidRDefault="00D33359" w:rsidP="00D33359">
      <w:pPr>
        <w:pStyle w:val="Heading4"/>
      </w:pPr>
      <w:r>
        <w:t xml:space="preserve">What AMF types were found </w:t>
      </w:r>
    </w:p>
    <w:p w:rsidR="00D33359" w:rsidRDefault="00D33359" w:rsidP="00D33359">
      <w:r>
        <w:t xml:space="preserve">Our results from Chapter 3 show apple orchards are able to host a diverse range of AMF with taxa from six genera identified from orchard soils: </w:t>
      </w:r>
      <w:proofErr w:type="spellStart"/>
      <w:r w:rsidRPr="00FF512F">
        <w:rPr>
          <w:i/>
        </w:rPr>
        <w:t>Acaulospora</w:t>
      </w:r>
      <w:proofErr w:type="spellEnd"/>
      <w:r w:rsidRPr="00FF512F">
        <w:rPr>
          <w:i/>
        </w:rPr>
        <w:t xml:space="preserve">, </w:t>
      </w:r>
      <w:proofErr w:type="spellStart"/>
      <w:r w:rsidRPr="00FF512F">
        <w:rPr>
          <w:i/>
        </w:rPr>
        <w:t>Ambispora</w:t>
      </w:r>
      <w:proofErr w:type="spellEnd"/>
      <w:r w:rsidRPr="00FF512F">
        <w:rPr>
          <w:i/>
        </w:rPr>
        <w:t xml:space="preserve">, </w:t>
      </w:r>
      <w:proofErr w:type="spellStart"/>
      <w:r w:rsidRPr="00FF512F">
        <w:rPr>
          <w:i/>
        </w:rPr>
        <w:t>Archeospora</w:t>
      </w:r>
      <w:proofErr w:type="spellEnd"/>
      <w:r w:rsidRPr="00FF512F">
        <w:rPr>
          <w:i/>
        </w:rPr>
        <w:t xml:space="preserve">, </w:t>
      </w:r>
      <w:proofErr w:type="spellStart"/>
      <w:r w:rsidRPr="00FF512F">
        <w:rPr>
          <w:i/>
        </w:rPr>
        <w:t>Claroideoglomus</w:t>
      </w:r>
      <w:proofErr w:type="spellEnd"/>
      <w:r w:rsidRPr="00FF512F">
        <w:rPr>
          <w:i/>
        </w:rPr>
        <w:t xml:space="preserve">, </w:t>
      </w:r>
      <w:proofErr w:type="spellStart"/>
      <w:r w:rsidRPr="00FF512F">
        <w:rPr>
          <w:i/>
        </w:rPr>
        <w:t>Diversispora</w:t>
      </w:r>
      <w:proofErr w:type="spellEnd"/>
      <w:r w:rsidRPr="00FF512F">
        <w:rPr>
          <w:i/>
        </w:rPr>
        <w:t xml:space="preserve"> </w:t>
      </w:r>
      <w:r w:rsidRPr="00FF512F">
        <w:t xml:space="preserve">and </w:t>
      </w:r>
      <w:r w:rsidRPr="00FF512F">
        <w:rPr>
          <w:i/>
        </w:rPr>
        <w:t>Glomus</w:t>
      </w:r>
      <w:r>
        <w:t xml:space="preserve">. In line with other studies of agricultural systems </w:t>
      </w:r>
      <w:r w:rsidRPr="00BC3E8B">
        <w:rPr>
          <w:i/>
        </w:rPr>
        <w:t>Glomus</w:t>
      </w:r>
      <w:r>
        <w:t xml:space="preserve"> taxa were most dominant within all orchard types.  Although it was not possible to identify the taxa found in apple root samples from the TRFLP analysis, seven TRFs found in apple roots were of sizes predicted from restriction of </w:t>
      </w:r>
      <w:r w:rsidRPr="005C6814">
        <w:rPr>
          <w:i/>
        </w:rPr>
        <w:t>Glomus</w:t>
      </w:r>
      <w:r>
        <w:t xml:space="preserve"> sequences from the orchard soil samples suggesting that </w:t>
      </w:r>
      <w:r w:rsidRPr="005C6814">
        <w:rPr>
          <w:i/>
        </w:rPr>
        <w:t>Glomus</w:t>
      </w:r>
      <w:r>
        <w:t xml:space="preserve"> types accounted for some of the A</w:t>
      </w:r>
      <w:r w:rsidR="004A22D7">
        <w:t>MF taxa colonising apple roots.</w:t>
      </w:r>
    </w:p>
    <w:p w:rsidR="00D33359" w:rsidRPr="00FF512F" w:rsidRDefault="00D33359" w:rsidP="00D33359">
      <w:r>
        <w:t xml:space="preserve">Both </w:t>
      </w:r>
      <w:proofErr w:type="spellStart"/>
      <w:r w:rsidRPr="00FF512F">
        <w:rPr>
          <w:i/>
        </w:rPr>
        <w:t>Rhizophagus</w:t>
      </w:r>
      <w:proofErr w:type="spellEnd"/>
      <w:r w:rsidRPr="00FF512F">
        <w:rPr>
          <w:i/>
        </w:rPr>
        <w:t xml:space="preserve"> </w:t>
      </w:r>
      <w:proofErr w:type="spellStart"/>
      <w:r w:rsidRPr="00FF512F">
        <w:rPr>
          <w:i/>
        </w:rPr>
        <w:t>irregularis</w:t>
      </w:r>
      <w:proofErr w:type="spellEnd"/>
      <w:r>
        <w:t xml:space="preserve"> and </w:t>
      </w:r>
      <w:proofErr w:type="spellStart"/>
      <w:r w:rsidRPr="00FF512F">
        <w:rPr>
          <w:i/>
        </w:rPr>
        <w:t>Funneliformis</w:t>
      </w:r>
      <w:proofErr w:type="spellEnd"/>
      <w:r w:rsidRPr="00FF512F">
        <w:rPr>
          <w:i/>
        </w:rPr>
        <w:t xml:space="preserve"> </w:t>
      </w:r>
      <w:proofErr w:type="spellStart"/>
      <w:r w:rsidRPr="00FF512F">
        <w:rPr>
          <w:i/>
        </w:rPr>
        <w:t>mosseae</w:t>
      </w:r>
      <w:proofErr w:type="spellEnd"/>
      <w:r>
        <w:t xml:space="preserve"> which were used to inoculate the experimental trees in our growth trial (Chapter 2) were also present in orchard soils. This was shown by putative identification of OTU6 and OTU5 from sequencing of leek bait plant trap cultures as </w:t>
      </w:r>
      <w:r>
        <w:rPr>
          <w:i/>
        </w:rPr>
        <w:t>R.</w:t>
      </w:r>
      <w:r w:rsidRPr="00FF512F">
        <w:rPr>
          <w:i/>
        </w:rPr>
        <w:t xml:space="preserve"> </w:t>
      </w:r>
      <w:proofErr w:type="spellStart"/>
      <w:r w:rsidRPr="00FF512F">
        <w:rPr>
          <w:i/>
        </w:rPr>
        <w:t>irregularis</w:t>
      </w:r>
      <w:proofErr w:type="spellEnd"/>
      <w:r>
        <w:t xml:space="preserve"> and </w:t>
      </w:r>
      <w:r w:rsidRPr="00FF512F">
        <w:rPr>
          <w:i/>
        </w:rPr>
        <w:t>F</w:t>
      </w:r>
      <w:r>
        <w:rPr>
          <w:i/>
        </w:rPr>
        <w:t>.</w:t>
      </w:r>
      <w:r w:rsidRPr="00FF512F">
        <w:rPr>
          <w:i/>
        </w:rPr>
        <w:t xml:space="preserve"> </w:t>
      </w:r>
      <w:proofErr w:type="spellStart"/>
      <w:r w:rsidRPr="00FF512F">
        <w:rPr>
          <w:i/>
        </w:rPr>
        <w:t>mosseae</w:t>
      </w:r>
      <w:proofErr w:type="spellEnd"/>
      <w:r>
        <w:rPr>
          <w:i/>
        </w:rPr>
        <w:t xml:space="preserve"> </w:t>
      </w:r>
      <w:r>
        <w:t xml:space="preserve">respectively (both virtual taxa were closest matches for these OTUs respectively although bootstrap support was low) and suggests that these taxa were naturally present in orchard soils with on average a relative abundance of </w:t>
      </w:r>
      <w:r w:rsidRPr="00A42468">
        <w:t>12% (</w:t>
      </w:r>
      <w:proofErr w:type="spellStart"/>
      <w:r w:rsidR="00CC66C9">
        <w:rPr>
          <w:i/>
        </w:rPr>
        <w:t>R.irregularis</w:t>
      </w:r>
      <w:proofErr w:type="spellEnd"/>
      <w:r>
        <w:t>) and 8</w:t>
      </w:r>
      <w:r w:rsidRPr="00A42468">
        <w:t>%</w:t>
      </w:r>
      <w:r>
        <w:t xml:space="preserve"> (</w:t>
      </w:r>
      <w:proofErr w:type="spellStart"/>
      <w:r w:rsidRPr="00B93BA1">
        <w:rPr>
          <w:i/>
        </w:rPr>
        <w:t>F.mosseae</w:t>
      </w:r>
      <w:proofErr w:type="spellEnd"/>
      <w:r>
        <w:t xml:space="preserve">). Diagnostic TRF sizes for </w:t>
      </w:r>
      <w:proofErr w:type="spellStart"/>
      <w:r w:rsidRPr="00EC7912">
        <w:rPr>
          <w:i/>
        </w:rPr>
        <w:t>Funelliformis</w:t>
      </w:r>
      <w:proofErr w:type="spellEnd"/>
      <w:r w:rsidRPr="00EC7912">
        <w:rPr>
          <w:i/>
        </w:rPr>
        <w:t xml:space="preserve"> </w:t>
      </w:r>
      <w:proofErr w:type="spellStart"/>
      <w:r w:rsidRPr="00EC7912">
        <w:rPr>
          <w:i/>
        </w:rPr>
        <w:t>mosseae</w:t>
      </w:r>
      <w:proofErr w:type="spellEnd"/>
      <w:r>
        <w:t xml:space="preserve"> (</w:t>
      </w:r>
      <w:proofErr w:type="spellStart"/>
      <w:r w:rsidRPr="005C6814">
        <w:rPr>
          <w:i/>
        </w:rPr>
        <w:t>Hinf</w:t>
      </w:r>
      <w:proofErr w:type="spellEnd"/>
      <w:r w:rsidRPr="005C6814">
        <w:rPr>
          <w:i/>
        </w:rPr>
        <w:t>-</w:t>
      </w:r>
      <w:r>
        <w:t xml:space="preserve">I 376 and </w:t>
      </w:r>
      <w:r w:rsidR="00DE1AD4">
        <w:rPr>
          <w:i/>
        </w:rPr>
        <w:t>HpyCH4-III</w:t>
      </w:r>
      <w:r>
        <w:t xml:space="preserve"> 393) were produced by apple root TRFLP analysis suggesting that this AMF type may also have been colonising apple. The peak predicted for </w:t>
      </w:r>
      <w:proofErr w:type="spellStart"/>
      <w:r w:rsidRPr="005C6814">
        <w:rPr>
          <w:i/>
        </w:rPr>
        <w:t>Rhizophagus</w:t>
      </w:r>
      <w:proofErr w:type="spellEnd"/>
      <w:r w:rsidRPr="005C6814">
        <w:rPr>
          <w:i/>
        </w:rPr>
        <w:t xml:space="preserve"> </w:t>
      </w:r>
      <w:proofErr w:type="spellStart"/>
      <w:r w:rsidRPr="005C6814">
        <w:rPr>
          <w:i/>
        </w:rPr>
        <w:t>irregularis</w:t>
      </w:r>
      <w:proofErr w:type="spellEnd"/>
      <w:r>
        <w:t xml:space="preserve"> using one sequence of this species found in the </w:t>
      </w:r>
      <w:proofErr w:type="spellStart"/>
      <w:r>
        <w:t>MaarjAM</w:t>
      </w:r>
      <w:proofErr w:type="spellEnd"/>
      <w:r>
        <w:t xml:space="preserve"> database was not detected in TRFLPs derived from apple roots. This may suggest that this species may have either been absent or was too rare to be detected by TRFLP analysis (relative abundance &lt;1%). However, there is known to be genetic variation within </w:t>
      </w:r>
      <w:proofErr w:type="spellStart"/>
      <w:r w:rsidRPr="00FF512F">
        <w:rPr>
          <w:i/>
        </w:rPr>
        <w:t>Rhizophagus</w:t>
      </w:r>
      <w:proofErr w:type="spellEnd"/>
      <w:r w:rsidRPr="00FF512F">
        <w:rPr>
          <w:i/>
        </w:rPr>
        <w:t xml:space="preserve"> </w:t>
      </w:r>
      <w:proofErr w:type="spellStart"/>
      <w:r w:rsidRPr="00FF512F">
        <w:rPr>
          <w:i/>
        </w:rPr>
        <w:t>irregularis</w:t>
      </w:r>
      <w:proofErr w:type="spellEnd"/>
      <w:r>
        <w:rPr>
          <w:i/>
        </w:rPr>
        <w:t xml:space="preserve">, </w:t>
      </w:r>
      <w:r w:rsidRPr="001C5DD9">
        <w:t>potentially</w:t>
      </w:r>
      <w:r>
        <w:rPr>
          <w:i/>
        </w:rPr>
        <w:t xml:space="preserve"> </w:t>
      </w:r>
      <w:r w:rsidRPr="00EE754B">
        <w:t xml:space="preserve">causing the production of multiple TRFs from this </w:t>
      </w:r>
      <w:r w:rsidRPr="00EE754B">
        <w:lastRenderedPageBreak/>
        <w:t xml:space="preserve">species </w:t>
      </w:r>
      <w:r>
        <w:fldChar w:fldCharType="begin"/>
      </w:r>
      <w:r w:rsidR="00954B3D">
        <w:instrText xml:space="preserve"> ADDIN ZOTERO_ITEM CSL_CITATION {"citationID":"2a00jc0rea","properties":{"formattedCitation":"{\\rtf (Cotton {\\i{}et al.}, 2015)}","plainCitation":"(Cotton et al., 2015)"},"citationItems":[{"id":301,"uris":["http://zotero.org/users/local/d1gJDEOw/items/U8JC5F8Q"],"uri":["http://zotero.org/users/local/d1gJDEOw/items/U8JC5F8Q"],"itemData":{"id":301,"type":"article-journal","title":"Fungi in the future: interannual variation and effects of atmospheric change on arbuscular mycorrhizal fungal communities","container-title":"New Phytologist","page":"1598-1607","volume":"205","issue":"4","source":"Web of Science","abstract":"Understanding the natural dynamics of arbuscular mycorrhizal (AM) fungi and their response to global environmental change is essential for the prediction of future plant growth and ecosystem functions. We investigated the long-term temporal dynamics and effect of elevated atmospheric carbon dioxide (CO2) and ozone (O-3) concentrations on AM fungal communities. Molecular methods were used to characterize the AM fungal communities of soybean (Glycine max) grown under elevated and ambient atmospheric concentrations of both CO2 and O-3 within a free air concentration enrichment experiment in three growing seasons over 5yr. Elevated CO2 altered the community composition of AM fungi, increasing the ratio of Glomeraceae to Gigasporaceae. By contrast, no effect of elevated O-3 on AM fungal communities was detected. However, the greatest compositional differences detected were between years, suggesting that, at least in the short term, large-scale interannual temporal dynamics are stronger mediators than atmospheric CO2 concentrations of AM fungal communities. We conclude that, although atmospheric change may significantly alter AM fungal communities, this effect may be masked by the influences of natural changes and successional patterns through time. We suggest that changes in carbon availability are important determinants of the community dynamics of AM fungi.","DOI":"10.1111/nph.13224","ISSN":"0028-646X","note":"WOS:000349386300029","shortTitle":"Fungi in the future","journalAbbreviation":"New Phytol.","language":"English","author":[{"family":"Cotton","given":"T. E. Anne"},{"family":"Fitter","given":"Alastair H."},{"family":"Miller","given":"R. Michael"},{"family":"Dumbrell","given":"Alex J."},{"family":"Helgason","given":"Thorunn"}],"issued":{"date-parts":[["2015",3]]}}}],"schema":"https://github.com/citation-style-language/schema/raw/master/csl-citation.json"} </w:instrText>
      </w:r>
      <w:r>
        <w:fldChar w:fldCharType="separate"/>
      </w:r>
      <w:r w:rsidR="00954B3D" w:rsidRPr="00954B3D">
        <w:rPr>
          <w:rFonts w:cs="Times New Roman"/>
          <w:szCs w:val="24"/>
        </w:rPr>
        <w:t xml:space="preserve">(Cotton </w:t>
      </w:r>
      <w:r w:rsidR="00954B3D" w:rsidRPr="00954B3D">
        <w:rPr>
          <w:rFonts w:cs="Times New Roman"/>
          <w:i/>
          <w:iCs/>
          <w:szCs w:val="24"/>
        </w:rPr>
        <w:t>et al.</w:t>
      </w:r>
      <w:r w:rsidR="00954B3D" w:rsidRPr="00954B3D">
        <w:rPr>
          <w:rFonts w:cs="Times New Roman"/>
          <w:szCs w:val="24"/>
        </w:rPr>
        <w:t>, 2015)</w:t>
      </w:r>
      <w:r>
        <w:fldChar w:fldCharType="end"/>
      </w:r>
      <w:r>
        <w:t xml:space="preserve"> </w:t>
      </w:r>
      <w:r w:rsidRPr="006F18C9">
        <w:t>so it</w:t>
      </w:r>
      <w:r w:rsidRPr="00EE754B">
        <w:t xml:space="preserve"> is also possible this species was present but not identified fr</w:t>
      </w:r>
      <w:r>
        <w:t>om the TRFLP analysis. S</w:t>
      </w:r>
      <w:r w:rsidRPr="00EE754B">
        <w:t>equencing of the apple roots would allow this to be investigated</w:t>
      </w:r>
      <w:r w:rsidRPr="000C1707">
        <w:t xml:space="preserve"> </w:t>
      </w:r>
      <w:r w:rsidRPr="00EE754B">
        <w:t xml:space="preserve">further. </w:t>
      </w:r>
    </w:p>
    <w:p w:rsidR="00D33359" w:rsidRDefault="00D33359" w:rsidP="00D33359">
      <w:pPr>
        <w:pStyle w:val="Heading4"/>
      </w:pPr>
      <w:r>
        <w:t>Orchard AMF communities and management effects</w:t>
      </w:r>
    </w:p>
    <w:p w:rsidR="00D33359" w:rsidRDefault="00D33359" w:rsidP="00D33359">
      <w:r>
        <w:t xml:space="preserve">Our results consistently showed similarity between AMF communities within the three orchard management types compared in this study. Firstly characterisation of the AMF communities within orchard soils from all three orchard types using a leek bait plant trap culture system and two molecular community fingerprinting techniques (TRFLP and Illumina sequencing) showed no differences in richness or Simpson’s diversity and only minor differences in taxa relative abundance and community composition (Chapter 3). Secondly the same pattern was shown when comparing the same measures of the AMF community (richness, Simpson’s diversity, </w:t>
      </w:r>
      <w:proofErr w:type="gramStart"/>
      <w:r>
        <w:t>taxa</w:t>
      </w:r>
      <w:proofErr w:type="gramEnd"/>
      <w:r>
        <w:t xml:space="preserve"> relative abundance and community composition) colonising apple roots colonising a total of 150 trees within the three study orchard types using TRFLP analysis (Chapter 4). Thirdly, analysis of the effect of individual management factors measured for all 75 orchard sites upon TRF richness and relative abundance showed no effect of any management measures we recorded (Chapter 4).</w:t>
      </w:r>
    </w:p>
    <w:p w:rsidR="00D33359" w:rsidRDefault="00D33359" w:rsidP="00D33359">
      <w:r>
        <w:t xml:space="preserve">It is likely that the similarity between AMF communities found within both orchard soils (Chapter 3) and colonising apple roots (Chapter 4) is partly explained by low levels of soil disturbance within the orchard systems. Evidence of AMF sensitivity to soil disturbance is provided by several results from this thesis. Firstly comparison between AMF communities of orchard and woodland soils in Chapter 3 showed similarity in both richness and composition of the AMF in contrast to the AMF communities for arable sites. One of the main differences between arable sites in comparison to orchards and woodland is increased frequency and severity of soil disturbance through regular ploughing. Secondly the AMF communities colonising leek bait plant trap cultures from </w:t>
      </w:r>
      <w:r w:rsidRPr="00903924">
        <w:t>orchard soils (Chapter 3) show a distinctly reduced richness and difference</w:t>
      </w:r>
      <w:r>
        <w:t>s</w:t>
      </w:r>
      <w:r w:rsidRPr="00903924">
        <w:t xml:space="preserve"> in community composition when compared to the AMF communities colonising apple roots </w:t>
      </w:r>
      <w:r>
        <w:t xml:space="preserve">sampled </w:t>
      </w:r>
      <w:r w:rsidRPr="002642F8">
        <w:rPr>
          <w:i/>
        </w:rPr>
        <w:t>in situ</w:t>
      </w:r>
      <w:r>
        <w:t xml:space="preserve"> from the same soil </w:t>
      </w:r>
      <w:r w:rsidRPr="00903924">
        <w:t xml:space="preserve">(Chapter 4) (and see </w:t>
      </w:r>
      <w:r w:rsidRPr="00903924">
        <w:fldChar w:fldCharType="begin"/>
      </w:r>
      <w:r w:rsidRPr="00903924">
        <w:instrText xml:space="preserve"> REF _Ref469389848 \h  \* MERGEFORMAT </w:instrText>
      </w:r>
      <w:r w:rsidRPr="00903924">
        <w:fldChar w:fldCharType="separate"/>
      </w:r>
      <w:r w:rsidR="00E0714D" w:rsidRPr="003A0413">
        <w:t xml:space="preserve">Figure </w:t>
      </w:r>
      <w:r w:rsidR="00E0714D">
        <w:rPr>
          <w:noProof/>
        </w:rPr>
        <w:t>5.1</w:t>
      </w:r>
      <w:r w:rsidRPr="00903924">
        <w:fldChar w:fldCharType="end"/>
      </w:r>
      <w:r w:rsidRPr="00903924">
        <w:t xml:space="preserve"> and later discussion).</w:t>
      </w:r>
      <w:r>
        <w:t xml:space="preserve">  One of the main differences between these two systems is increased disturbance of the leek trap culture soils and relatively short time for AMF establishment following this disturbance. Finally, as discussed in Chapter 3 and Chapter 4 physical disturbance of soils is known to be one of the major factors affecting AMF communities as has been shown for several studies of agricultural environments </w:t>
      </w:r>
      <w:r>
        <w:fldChar w:fldCharType="begin"/>
      </w:r>
      <w:r w:rsidR="006B3935">
        <w:instrText xml:space="preserve"> ADDIN ZOTERO_ITEM CSL_CITATION {"citationID":"mtOWWdID","properties":{"formattedCitation":"{\\rtf (Jansa {\\i{}et al.}, 2003; Alguacil {\\i{}et al.}, 2008; S\\uc0\\u228{}le {\\i{}et al.}, 2015)}","plainCitation":"(Jansa et al., 2003; Alguacil et al., 2008; Säle et al., 2015)"},"citationItems":[{"id":603,"uris":["http://zotero.org/users/local/d1gJDEOw/items/NJXTB8E4"],"uri":["http://zotero.org/users/local/d1gJDEOw/items/NJXTB8E4"],"itemData":{"id":603,"type":"article-journal","title":"Soil Tillage Affects the Community Structure of Mycorrhizal Fungi in Maize Roots","container-title":"Ecological Applications","page":"1164-1176","volume":"13","issue":"4","source":"Wiley Online Library","abstract":"In this study we tested whether communities of arbuscular mycorrhizal fungi (AMF) colonizing the roots of maize (Zea mays L.) were affected by soil tillage practices (plowing, chiseling, and no-till) in a long-term field experiment carried out in Tänikon (Switzerland). AMF were identified in the roots using specific polymerase chain reaction (PCR) markers that had been developed for the AMF previously isolated from the soils of the studied site. A nested PCR procedure with primers of increased specificity (eukaryotic, then fungal, then AMF species or species-group specific) was used. Sequencing of amplified DNA confirmed that the DNA obtained from the maize roots was of AMF origin. Presence of particular AMF species or species-group was scored as a presence of a DNA product after PCR with specific primers. We also used single-strand conformation polymorphism analysis (SSCP) of amplified DNA samples to check if the amplification of the DNA from maize roots matched the expected profile for a particular AMF isolate with a given specific primer pair. Presence of the genus Scutellospora in maize roots was strongly reduced in plowed and chiseled soils. Fungi from the suborder Glomineae were more prevalent colonizers of maize roots growing in plowed soils, but were also present in the roots from other tillage treatments. These changes in community of AMF colonizing maize roots might be due to (1) the differences in tolerance to the tillage-induced disruption of the hyphae among the different AMF species, (2) changes in nutrient content of the soil, (3) changes in microbial activity, or (4) changes in weed populations in response to soil tillage. This is the first report on community composition of AMF in the roots of a field-grown crop plant (maize) as affected by soil tillage.","DOI":"10.1890/1051-0761(2003)13[1164:STATCS]2.0.CO;2","ISSN":"1939-5582","language":"en","author":[{"family":"Jansa","given":"J."},{"family":"Mozafar","given":"A."},{"family":"Kuhn","given":"G."},{"family":"Anken","given":"T."},{"family":"Ruh","given":"R."},{"family":"Sanders","given":"I. R."},{"family":"Frossard","given":"E."}],"issued":{"date-parts":[["2003",8,1]]}}},{"id":520,"uris":["http://zotero.org/users/local/d1gJDEOw/items/UMFRVB2I"],"uri":["http://zotero.org/users/local/d1gJDEOw/items/UMFRVB2I"],"itemData":{"id":520,"type":"article-journal","title":"The Impact of Tillage Practices on Arbuscular Mycorrhizal Fungal Diversity in Subtropical Crops","container-title":"Ecological Applications","page":"527-536","volume":"18","issue":"2","source":"Wiley Online Library","abstract":"Arbuscular mycorrhizal fungi (AMF) are a main component of soil microbiota in most agrosystems. As obligately mutualistic symbionts, they colonize the roots of the majority of plants, including crop plants. We used molecular techniques to investigate how different tillage systems (moldboard, shred-bedding, subsoil-bedding, and no tillage) can influence the AM fungal community colonizing maize, bean, and sorghum roots in an experimental site located in northern Tamaulipas, Mexico. Roots from 36 plants were analyzed using AM fungal-specific primers to partially amplify the small subunit (SSU) of the ribosomal DNA genes. More than 880 clones were screened for restriction fragment length polymorphism (RFLP) variation, and 173 of these were sequenced. Ten AM fungal types were identified and clustered into three AM fungal families: Gigasporaceae, Glomaceae, and Paraglomaceae. Glomus was the dominating taxon in all the samples. Four of the 10 identified types were distinct from any previously published sequences and could correspond to either known unsequenced species or unknown species. The fungal diversity was low in the four agriculture management systems, but the multidimensional scaling (MDS) analysis and log-linear-saturated model indicated that the composition of the AMF community was significantly affected by the tillage system. In conclusion, since some fungal types were treatment specific, agricultural practices could directly or indirectly influence AM biodiversity.","DOI":"10.1890/07-0521.1","ISSN":"1939-5582","language":"en","author":[{"family":"Alguacil","given":"M. M."},{"family":"Lumini","given":"E."},{"family":"Roldán","given":"A."},{"family":"Salinas-García","given":"J. R."},{"family":"Bonfante","given":"P."},{"family":"Bianciotto","given":"V."}],"issued":{"date-parts":[["2008",1,1]]}}},{"id":494,"uris":["http://zotero.org/users/local/d1gJDEOw/items/BX83XX4E"],"uri":["http://zotero.org/users/local/d1gJDEOw/items/BX83XX4E"],"itemData":{"id":494,"type":"article-journal","title":"Impact of conservation tillage and organic farming on the diversity of arbuscular mycorrhizal fungi","container-title":"Soil Biology &amp; Biochemistry","page":"38-52","volume":"84","source":"Web of Science","abstract":"Communities of arbuscular mycorrhizal fungi (AMF) are strongly affected by land use intensity and soil type. The impact of tillage practices on AMF communities is still poorly understood, especially in organic farming systems. Our objective was to investigate the impact of soil cultivation on AMF communities in organically managed clay soils of a long-term field experiment located in the Sissle valley (Frick, Switzerland) where two different tillage (reduced and conventional mouldboard plough tillage) and two different types of fertilization (farmyard manure &amp; slurry, or slurry only) have been applied since 2002. In addition, a permanent grassland and two conventionally managed croplands situated in the neighborhood of the experiment were analyzed as controls. Four different soil depths were studied including top-soils (0-10 and 10-20 cm) of different cultivation regimes and undisturbed sub-soils (20-30 and 30-40 cm). The fungi were directly isolated from field soil samples, and additionally spores were periodically collected from long-term trap culture (microcosm) systems. In total, &gt;50,000 AMF spores were identified on the species level, and 53 AMF species were found, with 38 species in the permanent grassland, 33 each in the two reduced till organic farming systems, 28-33 in the regularly plowed organic farming systems, and 28-33 in the non-organic conventional farming systems. AMF spore density and species richness increased in the top-soils under reduced tillage as compared to the ploughed plots. In 10-20 cm also the Shannon-Weaver AMF diversity index was higher under reduced tillage than in the ploughed plots. Our study demonstrates that AMF communities in clay soils were affected by land use type, farming system, tillage as well as fertilization strategy and varying with soil depth. Several AMF indicator species especially for different land use types and tillage strategies were identified from the large data set. (C) 2015 Elsevier Ltd. All rights reserved.","DOI":"10.1016/j.soilbio.2015.02.005","ISSN":"0038-0717","note":"WOS:000353087600005","journalAbbreviation":"Soil Biol. Biochem.","language":"English","author":[{"family":"Säle","given":"Verena"},{"family":"Aguilera","given":"Paula"},{"family":"Laczko","given":"Endre"},{"family":"Maeder","given":"Paul"},{"family":"Berner","given":"Alfred"},{"family":"Zihlmann","given":"Urs"},{"family":"Heijden","given":"Marcel G. A.","non-dropping-particle":"van der"},{"family":"Oehl","given":"Fritz"}],"issued":{"date-parts":[["2015",5]]}}}],"schema":"https://github.com/citation-style-language/schema/raw/master/csl-citation.json"} </w:instrText>
      </w:r>
      <w:r>
        <w:fldChar w:fldCharType="separate"/>
      </w:r>
      <w:r w:rsidR="006B3935" w:rsidRPr="006B3935">
        <w:rPr>
          <w:rFonts w:cs="Times New Roman"/>
          <w:szCs w:val="24"/>
        </w:rPr>
        <w:t>(</w:t>
      </w:r>
      <w:proofErr w:type="spellStart"/>
      <w:r w:rsidR="006B3935" w:rsidRPr="006B3935">
        <w:rPr>
          <w:rFonts w:cs="Times New Roman"/>
          <w:szCs w:val="24"/>
        </w:rPr>
        <w:t>Jansa</w:t>
      </w:r>
      <w:proofErr w:type="spellEnd"/>
      <w:r w:rsidR="006B3935" w:rsidRPr="006B3935">
        <w:rPr>
          <w:rFonts w:cs="Times New Roman"/>
          <w:szCs w:val="24"/>
        </w:rPr>
        <w:t xml:space="preserve"> </w:t>
      </w:r>
      <w:r w:rsidR="006B3935" w:rsidRPr="006B3935">
        <w:rPr>
          <w:rFonts w:cs="Times New Roman"/>
          <w:i/>
          <w:iCs/>
          <w:szCs w:val="24"/>
        </w:rPr>
        <w:t>et al.</w:t>
      </w:r>
      <w:r w:rsidR="006B3935" w:rsidRPr="006B3935">
        <w:rPr>
          <w:rFonts w:cs="Times New Roman"/>
          <w:szCs w:val="24"/>
        </w:rPr>
        <w:t xml:space="preserve">, 2003; </w:t>
      </w:r>
      <w:proofErr w:type="spellStart"/>
      <w:r w:rsidR="006B3935" w:rsidRPr="006B3935">
        <w:rPr>
          <w:rFonts w:cs="Times New Roman"/>
          <w:szCs w:val="24"/>
        </w:rPr>
        <w:t>Alguacil</w:t>
      </w:r>
      <w:proofErr w:type="spellEnd"/>
      <w:r w:rsidR="006B3935" w:rsidRPr="006B3935">
        <w:rPr>
          <w:rFonts w:cs="Times New Roman"/>
          <w:szCs w:val="24"/>
        </w:rPr>
        <w:t xml:space="preserve"> </w:t>
      </w:r>
      <w:r w:rsidR="006B3935" w:rsidRPr="006B3935">
        <w:rPr>
          <w:rFonts w:cs="Times New Roman"/>
          <w:i/>
          <w:iCs/>
          <w:szCs w:val="24"/>
        </w:rPr>
        <w:t>et al.</w:t>
      </w:r>
      <w:r w:rsidR="006B3935" w:rsidRPr="006B3935">
        <w:rPr>
          <w:rFonts w:cs="Times New Roman"/>
          <w:szCs w:val="24"/>
        </w:rPr>
        <w:t xml:space="preserve">, 2008; </w:t>
      </w:r>
      <w:proofErr w:type="spellStart"/>
      <w:r w:rsidR="006B3935" w:rsidRPr="006B3935">
        <w:rPr>
          <w:rFonts w:cs="Times New Roman"/>
          <w:szCs w:val="24"/>
        </w:rPr>
        <w:t>Säle</w:t>
      </w:r>
      <w:proofErr w:type="spellEnd"/>
      <w:r w:rsidR="006B3935" w:rsidRPr="006B3935">
        <w:rPr>
          <w:rFonts w:cs="Times New Roman"/>
          <w:szCs w:val="24"/>
        </w:rPr>
        <w:t xml:space="preserve"> </w:t>
      </w:r>
      <w:r w:rsidR="006B3935" w:rsidRPr="006B3935">
        <w:rPr>
          <w:rFonts w:cs="Times New Roman"/>
          <w:i/>
          <w:iCs/>
          <w:szCs w:val="24"/>
        </w:rPr>
        <w:t>et al.</w:t>
      </w:r>
      <w:r w:rsidR="006B3935" w:rsidRPr="006B3935">
        <w:rPr>
          <w:rFonts w:cs="Times New Roman"/>
          <w:szCs w:val="24"/>
        </w:rPr>
        <w:t>, 2015)</w:t>
      </w:r>
      <w:r>
        <w:fldChar w:fldCharType="end"/>
      </w:r>
      <w:r>
        <w:t xml:space="preserve">. This is largely due to taxa specific differences in ecology of AMF types particularly relating to their regeneration strategies and growth rates </w:t>
      </w:r>
      <w:r>
        <w:fldChar w:fldCharType="begin"/>
      </w:r>
      <w:r w:rsidR="006B3935">
        <w:instrText xml:space="preserve"> ADDIN ZOTERO_ITEM CSL_CITATION {"citationID":"FbS7diNB","properties":{"formattedCitation":"{\\rtf (Hart &amp; Reader, 2002; Maherali &amp; Klironomos, 2007; S\\uc0\\u253{}korov\\uc0\\u225{} {\\i{}et al.}, 2007)}","plainCitation":"(Hart &amp; Reader, 2002; Maherali &amp; Klironomos, 2007; Sýkorová et al., 2007)"},"citationItems":[{"id":388,"uris":["http://zotero.org/users/local/d1gJDEOw/items/FTCNN6QR"],"uri":["http://zotero.org/users/local/d1gJDEOw/items/FTCNN6QR"],"itemData":{"id":388,"type":"article-journal","title":"Host plant benefit from association with arbuscular mycorrhizal fungi: variation due to differences in size of mycelium","container-title":"Biology and Fertility of Soils","page":"357-366","volume":"36","issue":"5","source":"CrossRef","DOI":"10.1007/s00374-002-0539-4","ISSN":"0178-2762, 1432-0789","shortTitle":"Host plant benefit from association with arbuscular mycorrhizal fungi","author":[{"family":"Hart","given":"Miranda"},{"family":"Reader","given":"Richard"}],"issued":{"date-parts":[["2002",11,1]]}}},{"id":573,"uris":["http://zotero.org/users/local/d1gJDEOw/items/I7SQ23TH"],"uri":["http://zotero.org/users/local/d1gJDEOw/items/I7SQ23TH"],"itemData":{"id":573,"type":"article-journal","title":"Influence of Phylogeny on fungal community assembly and ecosystem functioning","container-title":"Science","page":"1746-1748","volume":"316","issue":"5832","source":"Web of Science","abstract":"Ecology seeks to explain species coexistence and its functional consequences, but experimental tests of mechanisms that simultaneously account for both processes are difficult. We used an experimental mycorrhizal plant system to test whether functional similarity among closely related species (phylogenetic conservatism) can drive community assembly and ecosystem functioning. Communities were constructed with the same number of fungal species, but after 1 year of growth, realized species richness was highest where the starting species were more distantly related to each other. Communities with high realized species richness also stimulated plant productivity more than those with low realized species richness. Our findings suggest that phylogenetic trait conservatism can promote coexistence because of reduced competition between distinct evolutionary lineages and enhance ecosystem function because of functional complementarity among those same lineages.","DOI":"10.1126/science.1143082","ISSN":"0036-8075","note":"WOS:000247400500047","journalAbbreviation":"Science","language":"English","author":[{"family":"Maherali","given":"Hafiz"},{"family":"Klironomos","given":"John N."}],"issued":{"date-parts":[["2007",6,22]]}}},{"id":412,"uris":["http://zotero.org/users/local/d1gJDEOw/items/AG2T3I7W"],"uri":["http://zotero.org/users/local/d1gJDEOw/items/AG2T3I7W"],"itemData":{"id":412,"type":"article-journal","title":"The cultivation bias: different communities of arbuscular mycorrhizal fungi detected in roots from the field, from bait plants transplanted to the field, and from a greenhouse trap experiment","container-title":"Mycorrhiza","page":"1-14","volume":"18","issue":"1","source":"PubMed","abstract":"The community composition of arbuscular mycorrhizal fungi (AMF) was investigated in roots of four different plant species (Inula salicina, Medicago sativa, Origanum vulgare, and Bromus erectus) sampled in (1) a plant species-rich calcareous grassland, (2) a bait plant bioassay conducted directly in that grassland, and (3) a greenhouse trap experiment using soil and a transplanted whole plant from that grassland as inoculum. Roots were analyzed by AMF-specific nested polymerase chain reaction, restriction fragment length polymorphism screening, and sequence analyses of rDNA small subunit and internal transcribed spacer regions. The AMF sequences were analyzed phylogenetically and used to define monophyletic phylotypes. Overall, 16 phylotypes from several lineages of AMF were detected. The community composition was strongly influenced by the experimental approach, with additional influence of cultivation duration, substrate, and host plant species in some experiments. Some fungal phylotypes, e.g., GLOM-A3 (Glomus mosseae) and several members of Glomus group B, appeared predominantly in the greenhouse experiment or in bait plants. Thus, these phylotypes can be considered r strategists, rapidly colonizing uncolonized ruderal habitats in early successional stages of the fungal community. In the greenhouse experiment, for instance, G. mosseae was abundant after 3 months, but could not be detected anymore after 10 months. In contrast, other phylotypes as GLOM-A17 (G. badium) and GLOM-A16 were detected almost exclusively in roots sampled from plants naturally growing in the grassland or from bait plants exposed in the field, indicating that they preferentially occur in late successional stages of fungal communities and thus represent the K strategy. The only phylotype found with high frequency in all three experimental approaches was GLOM A-1 (G. intraradices), which is known to be a generalist. These results indicate that, in greenhouse trap experiments, it is difficult to establish a root-colonizing AMF community reflecting the diversity of these fungi in the field roots because fungal succession in such artificial systems may bias the results. However, the field bait plant approach might be a convenient way to study the influence of different environmental factors on AMF community composition directly under the field conditions. For a better understanding of the dynamics of AMF communities, it will be necessary to classify AMF phylotypes and species according to their life history strategies.","DOI":"10.1007/s00572-007-0147-0","ISSN":"0940-6360","note":"PMID: 17879101","shortTitle":"The cultivation bias","journalAbbreviation":"Mycorrhiza","language":"eng","author":[{"family":"Sýkorová","given":"Zuzana"},{"family":"Ineichen","given":"Kurt"},{"family":"Wiemken","given":"Andres"},{"family":"Redecker","given":"Dirk"}],"issued":{"date-parts":[["2007",12]]}}}],"schema":"https://github.com/citation-style-language/schema/raw/master/csl-citation.json"} </w:instrText>
      </w:r>
      <w:r>
        <w:fldChar w:fldCharType="separate"/>
      </w:r>
      <w:r w:rsidR="006B3935" w:rsidRPr="006B3935">
        <w:rPr>
          <w:rFonts w:cs="Times New Roman"/>
          <w:szCs w:val="24"/>
        </w:rPr>
        <w:t xml:space="preserve">(Hart &amp; Reader, 2002; </w:t>
      </w:r>
      <w:proofErr w:type="spellStart"/>
      <w:r w:rsidR="006B3935" w:rsidRPr="006B3935">
        <w:rPr>
          <w:rFonts w:cs="Times New Roman"/>
          <w:szCs w:val="24"/>
        </w:rPr>
        <w:t>Maherali</w:t>
      </w:r>
      <w:proofErr w:type="spellEnd"/>
      <w:r w:rsidR="006B3935" w:rsidRPr="006B3935">
        <w:rPr>
          <w:rFonts w:cs="Times New Roman"/>
          <w:szCs w:val="24"/>
        </w:rPr>
        <w:t xml:space="preserve"> &amp; </w:t>
      </w:r>
      <w:proofErr w:type="spellStart"/>
      <w:r w:rsidR="006B3935" w:rsidRPr="006B3935">
        <w:rPr>
          <w:rFonts w:cs="Times New Roman"/>
          <w:szCs w:val="24"/>
        </w:rPr>
        <w:t>Klironomos</w:t>
      </w:r>
      <w:proofErr w:type="spellEnd"/>
      <w:r w:rsidR="006B3935" w:rsidRPr="006B3935">
        <w:rPr>
          <w:rFonts w:cs="Times New Roman"/>
          <w:szCs w:val="24"/>
        </w:rPr>
        <w:t xml:space="preserve">, 2007; </w:t>
      </w:r>
      <w:proofErr w:type="spellStart"/>
      <w:r w:rsidR="006B3935" w:rsidRPr="006B3935">
        <w:rPr>
          <w:rFonts w:cs="Times New Roman"/>
          <w:szCs w:val="24"/>
        </w:rPr>
        <w:t>Sýkorová</w:t>
      </w:r>
      <w:proofErr w:type="spellEnd"/>
      <w:r w:rsidR="006B3935" w:rsidRPr="006B3935">
        <w:rPr>
          <w:rFonts w:cs="Times New Roman"/>
          <w:szCs w:val="24"/>
        </w:rPr>
        <w:t xml:space="preserve"> </w:t>
      </w:r>
      <w:r w:rsidR="006B3935" w:rsidRPr="006B3935">
        <w:rPr>
          <w:rFonts w:cs="Times New Roman"/>
          <w:i/>
          <w:iCs/>
          <w:szCs w:val="24"/>
        </w:rPr>
        <w:t>et al.</w:t>
      </w:r>
      <w:r w:rsidR="006B3935" w:rsidRPr="006B3935">
        <w:rPr>
          <w:rFonts w:cs="Times New Roman"/>
          <w:szCs w:val="24"/>
        </w:rPr>
        <w:t>, 2007)</w:t>
      </w:r>
      <w:r>
        <w:fldChar w:fldCharType="end"/>
      </w:r>
    </w:p>
    <w:p w:rsidR="00D33359" w:rsidRDefault="00D33359" w:rsidP="00D33359">
      <w:r>
        <w:t xml:space="preserve">Our data from the Herefordshire orchards report no effect of the nutrient input to orchards upon AMF communities (Chapter 3 and Chapter 4). In contrast, </w:t>
      </w:r>
      <w:r w:rsidRPr="00541F4E">
        <w:t xml:space="preserve">application of inorganic fertilisers reduced colonisation of two fungal types on average from 42% </w:t>
      </w:r>
      <w:r>
        <w:t xml:space="preserve">when recommended levels were applied </w:t>
      </w:r>
      <w:r w:rsidRPr="00541F4E">
        <w:t>to 20%</w:t>
      </w:r>
      <w:r>
        <w:t xml:space="preserve"> when one tenth of this amount was applied (Chapter 2). This raises the question </w:t>
      </w:r>
      <w:r>
        <w:lastRenderedPageBreak/>
        <w:t xml:space="preserve">of whether colonisation was also reduced in bush orchards despite similarity in AMF community composition as we made no measure of fungal abundance between orchard types. Nutrient input did reduce colonisation significantly in experimental trees (Chapter 2) however this did not result in significantly reduced benefit to trees with regard to the lower incidence of </w:t>
      </w:r>
      <w:r w:rsidRPr="004E1B3C">
        <w:rPr>
          <w:i/>
        </w:rPr>
        <w:t>N.</w:t>
      </w:r>
      <w:r>
        <w:rPr>
          <w:i/>
        </w:rPr>
        <w:t xml:space="preserve"> </w:t>
      </w:r>
      <w:r w:rsidRPr="004E1B3C">
        <w:rPr>
          <w:i/>
        </w:rPr>
        <w:t>ditissima</w:t>
      </w:r>
      <w:r>
        <w:t xml:space="preserve"> in AMF inoculated trees. </w:t>
      </w:r>
    </w:p>
    <w:p w:rsidR="00D33359" w:rsidRPr="004009AF" w:rsidRDefault="00D33359" w:rsidP="00D33359">
      <w:pPr>
        <w:pStyle w:val="Heading4"/>
      </w:pPr>
      <w:bookmarkStart w:id="498" w:name="_Ref469491043"/>
      <w:r>
        <w:t>Explaining differences between AMF found in apple tree roots versus orchard soils</w:t>
      </w:r>
      <w:bookmarkEnd w:id="498"/>
    </w:p>
    <w:p w:rsidR="00D33359" w:rsidRDefault="00D33359" w:rsidP="00E0076D">
      <w:r>
        <w:t>Comparison of the AMF communities colonising leek bait plant roots and those of field sampled apple showed distinct differences in the AMF colonising each plant with 13 TRFs and 30 TRFs found uniquely in leek and apple roots respectively and only 7 TRFs found in both systems (</w:t>
      </w:r>
      <w:r>
        <w:fldChar w:fldCharType="begin"/>
      </w:r>
      <w:r>
        <w:instrText xml:space="preserve"> REF _Ref469389848 \h </w:instrText>
      </w:r>
      <w:r w:rsidR="00E0076D">
        <w:instrText xml:space="preserve"> \* MERGEFORMAT </w:instrText>
      </w:r>
      <w:r>
        <w:fldChar w:fldCharType="separate"/>
      </w:r>
      <w:r w:rsidR="00E0714D" w:rsidRPr="003A0413">
        <w:t xml:space="preserve">Figure </w:t>
      </w:r>
      <w:r w:rsidR="00E0714D">
        <w:rPr>
          <w:noProof/>
        </w:rPr>
        <w:t>5.1</w:t>
      </w:r>
      <w:r>
        <w:fldChar w:fldCharType="end"/>
      </w:r>
      <w:r>
        <w:t xml:space="preserve">). </w:t>
      </w:r>
      <w:r w:rsidRPr="00657229">
        <w:t xml:space="preserve">We expected that leek bait plant trap systems would select a subsample of the AMF shown in apple roots due to the nature of trap </w:t>
      </w:r>
      <w:r>
        <w:t>culturing which selects disturbance tolerant taxa with rapid colonisation and growth rates</w:t>
      </w:r>
      <w:r w:rsidRPr="00657229">
        <w:t>.</w:t>
      </w:r>
      <w:r>
        <w:t xml:space="preserve"> Only s</w:t>
      </w:r>
      <w:r w:rsidRPr="00657229">
        <w:t xml:space="preserve">even TRFs were found </w:t>
      </w:r>
      <w:r>
        <w:t>that</w:t>
      </w:r>
      <w:r w:rsidRPr="00657229">
        <w:t xml:space="preserve"> colonised both apple and leek. </w:t>
      </w:r>
      <w:r>
        <w:t xml:space="preserve"> </w:t>
      </w:r>
      <w:r w:rsidRPr="00657229">
        <w:t xml:space="preserve">By comparing the restriction sites to those of sequences </w:t>
      </w:r>
      <w:r>
        <w:t>it was possible</w:t>
      </w:r>
      <w:r w:rsidRPr="00657229">
        <w:t xml:space="preserve"> to identify these as belonging to the genera </w:t>
      </w:r>
      <w:r w:rsidRPr="00657229">
        <w:rPr>
          <w:i/>
        </w:rPr>
        <w:t>Glomus</w:t>
      </w:r>
      <w:r w:rsidRPr="00657229">
        <w:t xml:space="preserve"> which is known to be well represented in disturbed arable habitats</w:t>
      </w:r>
      <w:r>
        <w:t xml:space="preserve"> </w:t>
      </w:r>
      <w:r>
        <w:fldChar w:fldCharType="begin"/>
      </w:r>
      <w:r w:rsidR="00954B3D">
        <w:instrText xml:space="preserve"> ADDIN ZOTERO_ITEM CSL_CITATION {"citationID":"nJVUTB3H","properties":{"formattedCitation":"{\\rtf (Helgason {\\i{}et al.}, 1998; Daniell {\\i{}et al.}, 2001; Cotton {\\i{}et al.}, 2015)}","plainCitation":"(Helgason et al., 1998; Daniell et al., 2001; Cotton et al., 2015)"},"citationItems":[{"id":156,"uris":["http://zotero.org/users/local/d1gJDEOw/items/9I8TGD8S"],"uri":["http://zotero.org/users/local/d1gJDEOw/items/9I8TGD8S"],"itemData":{"id":156,"type":"article-journal","title":"Ploughing up the wood-wide web?","container-title":"Nature","page":"431-431","volume":"394","issue":"6692","source":"www.nature.com","abstract":"Key species groups that affect major ecological processes are vital components of community diversity. Many such key groups are found in the soil, including the mycorrhizal fungi that may connect plants into a functional \"wood-wide web\". Arbuscular mycorrhizal associations are formed by fungi of the order Glomales with 90% of land plant families, and many arbuscular mycorrhizal fungi are thought to have a broad host range. Here we show that, despite this broad host range, the diversity of arbuscular mycorrhizal fungi is strikingly low in arable sites compared with a woodland.","DOI":"10.1038/28764","ISSN":"0028-0836","journalAbbreviation":"Nature","language":"en","author":[{"family":"Helgason","given":"T."},{"family":"Daniell","given":"T. J."},{"family":"Husband","given":"R."},{"family":"Fitter","given":"A. H."},{"family":"Young","given":"J. P. W."}],"issued":{"date-parts":[["1998",7,30]]}}},{"id":198,"uris":["http://zotero.org/users/local/d1gJDEOw/items/EBZ8ZSX8"],"uri":["http://zotero.org/users/local/d1gJDEOw/items/EBZ8ZSX8"],"itemData":{"id":198,"type":"article-journal","title":"Molecular diversity of arbuscular mycorrhizal fungi colonising arable crops","container-title":"Fems Microbiology Ecology","page":"203-209","volume":"36","issue":"2-3","source":"Web of Science","abstract":"We used differences in small subunit ribosomal RNA genes to identify groups of arbuscular mycorrhizal fungi that are active in the colonisation of plant roots growing in arable fields around North Yorkshire, UK. Root samples were collected From four arable fields and four crop species, fungal sequences were amplified from individual plants by the polymerase chain reaction using primers NS31 and AM1. The products were cloned and 303 clones were classified by their restriction pattern with HinfI or RsaI; 72 were subsequently sequenced. Colonisation was dominated by Glomus species with a preponderance of only two sequence types. which are closely related. There is evidence Fur seasonal variation in colonisation in terms of both level of colonisation and sequence types present. Fungal diversity was much lower than that previously reported for a nearby woodland. (C) 2001 Federation of European Microbiological Societies. Published by Elsevier Science B.V. All rights rsserved.","DOI":"10.1111/j.1574-6941.2001.tb00841.x","ISSN":"0168-6496","note":"WOS:000170051100014","journalAbbreviation":"FEMS Microbiol. Ecol.","language":"English","author":[{"family":"Daniell","given":"T. J."},{"family":"Husband","given":"R."},{"family":"Fitter","given":"A. H."},{"family":"Young","given":"J. P. W."}],"issued":{"date-parts":[["2001",7]]}}},{"id":301,"uris":["http://zotero.org/users/local/d1gJDEOw/items/U8JC5F8Q"],"uri":["http://zotero.org/users/local/d1gJDEOw/items/U8JC5F8Q"],"itemData":{"id":301,"type":"article-journal","title":"Fungi in the future: interannual variation and effects of atmospheric change on arbuscular mycorrhizal fungal communities","container-title":"New Phytologist","page":"1598-1607","volume":"205","issue":"4","source":"Web of Science","abstract":"Understanding the natural dynamics of arbuscular mycorrhizal (AM) fungi and their response to global environmental change is essential for the prediction of future plant growth and ecosystem functions. We investigated the long-term temporal dynamics and effect of elevated atmospheric carbon dioxide (CO2) and ozone (O-3) concentrations on AM fungal communities. Molecular methods were used to characterize the AM fungal communities of soybean (Glycine max) grown under elevated and ambient atmospheric concentrations of both CO2 and O-3 within a free air concentration enrichment experiment in three growing seasons over 5yr. Elevated CO2 altered the community composition of AM fungi, increasing the ratio of Glomeraceae to Gigasporaceae. By contrast, no effect of elevated O-3 on AM fungal communities was detected. However, the greatest compositional differences detected were between years, suggesting that, at least in the short term, large-scale interannual temporal dynamics are stronger mediators than atmospheric CO2 concentrations of AM fungal communities. We conclude that, although atmospheric change may significantly alter AM fungal communities, this effect may be masked by the influences of natural changes and successional patterns through time. We suggest that changes in carbon availability are important determinants of the community dynamics of AM fungi.","DOI":"10.1111/nph.13224","ISSN":"0028-646X","note":"WOS:000349386300029","shortTitle":"Fungi in the future","journalAbbreviation":"New Phytol.","language":"English","author":[{"family":"Cotton","given":"T. E. Anne"},{"family":"Fitter","given":"Alastair H."},{"family":"Miller","given":"R. Michael"},{"family":"Dumbrell","given":"Alex J."},{"family":"Helgason","given":"Thorunn"}],"issued":{"date-parts":[["2015",3]]}}}],"schema":"https://github.com/citation-style-language/schema/raw/master/csl-citation.json"}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Helgason</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1998; </w:t>
      </w:r>
      <w:proofErr w:type="spellStart"/>
      <w:r w:rsidR="00954B3D" w:rsidRPr="00954B3D">
        <w:rPr>
          <w:rFonts w:cs="Times New Roman"/>
          <w:szCs w:val="24"/>
        </w:rPr>
        <w:t>Daniell</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2001; Cotton </w:t>
      </w:r>
      <w:r w:rsidR="00954B3D" w:rsidRPr="00954B3D">
        <w:rPr>
          <w:rFonts w:cs="Times New Roman"/>
          <w:i/>
          <w:iCs/>
          <w:szCs w:val="24"/>
        </w:rPr>
        <w:t>et al.</w:t>
      </w:r>
      <w:r w:rsidR="00954B3D" w:rsidRPr="00954B3D">
        <w:rPr>
          <w:rFonts w:cs="Times New Roman"/>
          <w:szCs w:val="24"/>
        </w:rPr>
        <w:t>, 2015)</w:t>
      </w:r>
      <w:r>
        <w:fldChar w:fldCharType="end"/>
      </w:r>
      <w:r>
        <w:t xml:space="preserve"> therefore fitting our expectation of the types that would be represented in both systems.</w:t>
      </w:r>
    </w:p>
    <w:p w:rsidR="00D33359" w:rsidRDefault="00D33359" w:rsidP="00E0076D">
      <w:r>
        <w:t xml:space="preserve">Interestingly many TRFs were only found in either leek or apple with few taxa found in both. We suggest that the differences in AMF types may partly be explained by differences in the ecology of these fungi. According to classic ecology theory, species may be classified into two general groups: R strategists which are typified by rapid colonisation rates, high growth rates and high reproductive output and K-strategist which are slow growing, competitive species able to persist in climax communities </w:t>
      </w:r>
      <w:r>
        <w:fldChar w:fldCharType="begin"/>
      </w:r>
      <w:r w:rsidR="00954B3D">
        <w:instrText xml:space="preserve"> ADDIN ZOTERO_ITEM CSL_CITATION {"citationID":"1mugkn0du9","properties":{"formattedCitation":"(MacArthur &amp; Wilson, 1967; Pianka, 1970)","plainCitation":"(MacArthur &amp; Wilson, 1967; Pianka, 1970)"},"citationItems":[{"id":701,"uris":["http://zotero.org/users/local/d1gJDEOw/items/BIB7TSUA"],"uri":["http://zotero.org/users/local/d1gJDEOw/items/BIB7TSUA"],"itemData":{"id":701,"type":"book","title":"The theory of island biogeography","publisher":"Princeton University Press","publisher-place":"Princeton","event-place":"Princeton","author":[{"family":"MacArthur","given":"R H"},{"family":"Wilson","given":"E O"}],"issued":{"date-parts":[["1967"]]}}},{"id":699,"uris":["http://zotero.org/users/local/d1gJDEOw/items/HTARTVWI"],"uri":["http://zotero.org/users/local/d1gJDEOw/items/HTARTVWI"],"itemData":{"id":699,"type":"article-journal","title":"On r- and K-Selection","container-title":"The American Naturalist","page":"592-597","volume":"104","issue":"940","source":"JSTOR","ISSN":"0003-0147","journalAbbreviation":"The American Naturalist","author":[{"family":"Pianka","given":"Eric R."}],"issued":{"date-parts":[["1970"]]}}}],"schema":"https://github.com/citation-style-language/schema/raw/master/csl-citation.json"} </w:instrText>
      </w:r>
      <w:r>
        <w:fldChar w:fldCharType="separate"/>
      </w:r>
      <w:r w:rsidR="00954B3D" w:rsidRPr="00954B3D">
        <w:rPr>
          <w:rFonts w:cs="Times New Roman"/>
        </w:rPr>
        <w:t xml:space="preserve">(MacArthur &amp; Wilson, 1967; </w:t>
      </w:r>
      <w:proofErr w:type="spellStart"/>
      <w:r w:rsidR="00954B3D" w:rsidRPr="00954B3D">
        <w:rPr>
          <w:rFonts w:cs="Times New Roman"/>
        </w:rPr>
        <w:t>Pianka</w:t>
      </w:r>
      <w:proofErr w:type="spellEnd"/>
      <w:r w:rsidR="00954B3D" w:rsidRPr="00954B3D">
        <w:rPr>
          <w:rFonts w:cs="Times New Roman"/>
        </w:rPr>
        <w:t>, 1970)</w:t>
      </w:r>
      <w:r>
        <w:fldChar w:fldCharType="end"/>
      </w:r>
      <w:r>
        <w:t xml:space="preserve">.  Applying this theory to our study system would predict the leek trap culture to particularly represent R selected species. In contrast due to far longer establishment time, the AMF communities within apple roots have undergone succession allowing the K selected strategists to become more dominant </w:t>
      </w:r>
      <w:r w:rsidRPr="00D7792A">
        <w:t>(</w:t>
      </w:r>
      <w:r w:rsidRPr="00D7792A">
        <w:fldChar w:fldCharType="begin"/>
      </w:r>
      <w:r w:rsidRPr="00D7792A">
        <w:instrText xml:space="preserve"> REF _Ref469394782 \h  \* MERGEFORMAT </w:instrText>
      </w:r>
      <w:r w:rsidRPr="00D7792A">
        <w:fldChar w:fldCharType="separate"/>
      </w:r>
      <w:r w:rsidR="00E0714D" w:rsidRPr="00D7792A">
        <w:t xml:space="preserve">Figure </w:t>
      </w:r>
      <w:r w:rsidR="00E0714D" w:rsidRPr="00D7792A">
        <w:rPr>
          <w:noProof/>
        </w:rPr>
        <w:t>5</w:t>
      </w:r>
      <w:r w:rsidR="00E0714D" w:rsidRPr="00F00459">
        <w:rPr>
          <w:noProof/>
        </w:rPr>
        <w:t>.</w:t>
      </w:r>
      <w:r w:rsidR="00E0714D" w:rsidRPr="00D7792A">
        <w:rPr>
          <w:noProof/>
        </w:rPr>
        <w:t>2</w:t>
      </w:r>
      <w:r w:rsidRPr="00D7792A">
        <w:fldChar w:fldCharType="end"/>
      </w:r>
      <w:r w:rsidRPr="00D7792A">
        <w:t xml:space="preserve">). </w:t>
      </w:r>
      <w:r>
        <w:t>It is possible that all taxa were present in both plants but that these were not detected due</w:t>
      </w:r>
      <w:r w:rsidRPr="005E58A6">
        <w:t xml:space="preserve"> to the TR</w:t>
      </w:r>
      <w:r>
        <w:t>FLP methodology where all TRFs</w:t>
      </w:r>
      <w:r w:rsidRPr="005E58A6">
        <w:t xml:space="preserve"> under 1% in relative abundance </w:t>
      </w:r>
      <w:r>
        <w:t>are excluded from further analysis.</w:t>
      </w:r>
    </w:p>
    <w:p w:rsidR="00D33359" w:rsidRDefault="00D33359" w:rsidP="00E0076D">
      <w:r>
        <w:t xml:space="preserve">There are a number of other reasons why AMF colonising apple and leek could be different which are not mutually exclusive with each other or the above explanation. Firstly although it is generally assumed that there is low specificity in plant-AM fungal symbiosis </w:t>
      </w:r>
      <w:r>
        <w:fldChar w:fldCharType="begin"/>
      </w:r>
      <w:r w:rsidR="006B3935">
        <w:instrText xml:space="preserve"> ADDIN ZOTERO_ITEM CSL_CITATION {"citationID":"10ulc1p82r","properties":{"formattedCitation":"(Smith &amp; Read, 2008)","plainCitation":"(Smith &amp; Read, 2008)"},"citationItems":[{"id":366,"uris":["http://zotero.org/users/local/d1gJDEOw/items/QCZ7TGSK"],"uri":["http://zotero.org/users/local/d1gJDEOw/items/QCZ7TGSK"],"itemData":{"id":366,"type":"book","title":"Mycorrhizal Symbiosis","publisher":"Academic Press","publisher-place":"London","source":"ScienceDirect","event-place":"London","URL":"http://www.sciencedirect.com/science/article/pii/B9780123705266500027","ISBN":"978-0-12-370526-6","author":[{"family":"Smith","given":"Sally E."},{"family":"Read","given":"David"}],"issued":{"date-parts":[["2008"]]},"accessed":{"date-parts":[["2016",9,27]]}}}],"schema":"https://github.com/citation-style-language/schema/raw/master/csl-citation.json"} </w:instrText>
      </w:r>
      <w:r>
        <w:fldChar w:fldCharType="separate"/>
      </w:r>
      <w:r w:rsidR="006B3935" w:rsidRPr="006B3935">
        <w:rPr>
          <w:rFonts w:cs="Times New Roman"/>
        </w:rPr>
        <w:t>(Smith &amp; Read, 2008)</w:t>
      </w:r>
      <w:r>
        <w:fldChar w:fldCharType="end"/>
      </w:r>
      <w:r>
        <w:t xml:space="preserve"> studies have shown evidence of preferences of plants in the fungal partners with which they form symbiosis </w:t>
      </w:r>
      <w:r>
        <w:fldChar w:fldCharType="begin"/>
      </w:r>
      <w:r w:rsidR="00954B3D">
        <w:instrText xml:space="preserve"> ADDIN ZOTERO_ITEM CSL_CITATION {"citationID":"1hici6auof","properties":{"formattedCitation":"{\\rtf (Vandenkoornhuyse {\\i{}et al.}, 2003; Uibopuu {\\i{}et al.}, 2012; Torrecillas {\\i{}et al.}, 2012)}","plainCitation":"(Vandenkoornhuyse et al., 2003; Uibopuu et al., 2012; Torrecillas et al., 2012)"},"citationItems":[{"id":705,"uris":["http://zotero.org/users/local/d1gJDEOw/items/XDV3VVBM"],"uri":["http://zotero.org/users/local/d1gJDEOw/items/XDV3VVBM"],"itemData":{"id":705,"type":"article-journal","title":"Co-existing grass species have distinctive arbuscular mycorrhizal communities","container-title":"Molecular Ecology","page":"3085-3095","volume":"12","issue":"11","source":"Wiley Online Library","abstract":"Arbuscular mycorrhizal (AM) fungi are biotrophic symbionts colonizing the majority of land plants, and are of major importance in plant nutrient supply. Their diversity is suggested to be an important determinant of plant community structure, but the influence of host-plant and environmental factors on AM fungal community in plant roots is poorly documented. Using the terminal restriction fragment length polymorphism (T-RFLP) strategy, the diversity of AM fungi was assessed in 89 roots of three grass species (Agrostis capillaris, Festuca rubra, Poa pratensis) that co-occurred in the same plots of a field experiment. The impact of different soil amendments (nitrogen, lime, nitrogen and lime) and insecticide application on AM fungal community was also studied. The level of diversity found in AM fungal communities using the T-RFLP strategy was consistent with previous studies based on clone libraries. Our results clearly confirm that an AM fungal host-plant preference exists, even between different grass species. AM communities colonizing A. capillaris were statistically different from the others (P &lt; 0.05). Although grass species evenness changed in amended soils, AM fungal community composition in roots of a given grass species remained stable. Conversely, in plots where insecticide was applied, we found higher AM fungal diversity and, in F. rubra roots, a statistically different AM fungal community.","DOI":"10.1046/j.1365-294X.2003.01967.x","ISSN":"1365-294X","language":"en","author":[{"family":"Vandenkoornhuyse","given":"P."},{"family":"Ridgway","given":"K. P."},{"family":"Watson","given":"I. J."},{"family":"Fitter","given":"A. H."},{"family":"Young","given":"J. P. W."}],"issued":{"date-parts":[["2003",11,1]]}}},{"id":350,"uris":["http://zotero.org/users/local/d1gJDEOw/items/MS3RJCAS"],"uri":["http://zotero.org/users/local/d1gJDEOw/items/MS3RJCAS"],"itemData":{"id":350,"type":"article-journal","title":"Temperate forest understorey species performance is altered by local arbuscular mycorrhizal fungal communities from stands of different successional stages","container-title":"Plant and Soil","page":"331-339","volume":"356","issue":"1-2","source":"link.springer.com","abstract":"Background and AimsArbuscular mycorrhizal (AM) fungal communities in plant roots vary in space and time. However, the effect of different fungal communities on plant performance and growth is poorly understood.MethodsWe test the effect of two AM fungal communities originating from successionally young and old forest stands on eight forest plant species.ResultsTwo plant species (Geranium pratense, Prunella vulgaris) showed greater positive mycorrhizal growth response to old forest than to young forest inoculum. Hypericum maculatum showed higher positive growth response to old forest inoculum with respect to shoot biomass and Veronica chamaedrys with respect to root biomass. Fragaria vesca, Plantago lanceolata and Primula veris showed no difference in response to old and young forest inoculum, Solidago virgaurea grew better with young forest inoculum. The naturally growing plant individuals of G. pratense and P. vulgaris were also significantly larger in old stands.ConclusionsThe effect of AM fungal communities from differently managed forests resulted in different growth of forest plant species; the old growth inoculum exhibited in general a more positive effect than inoculum from young forest. Because land use affects the composition of AM fungal communities, the response of plant communities to forest management intensity may be mediated by mycorrhizal interactions.","DOI":"10.1007/s11104-011-1116-0","ISSN":"0032-079X, 1573-5036","journalAbbreviation":"Plant Soil","language":"en","author":[{"family":"Uibopuu","given":"Annika"},{"family":"Moora","given":"Mari"},{"family":"Öpik","given":"Maarja"},{"family":"Zobel","given":"Martin"}],"issued":{"date-parts":[["2012",1,21]]}}},{"id":702,"uris":["http://zotero.org/users/local/d1gJDEOw/items/NPWFHWE9"],"uri":["http://zotero.org/users/local/d1gJDEOw/items/NPWFHWE9"],"itemData":{"id":702,"type":"article-journal","title":"Host Preferences of Arbuscular Mycorrhizal Fungi Colonizing Annual Herbaceous Plant Species in Semiarid Mediterranean Prairies","container-title":"Applied and Environmental Microbiology","page":"6180-6186","volume":"78","issue":"17","source":"PubMed Central","abstract":"In this study, we have analyzed and compared the diversities of the arbuscular mycorrhizal fungi (AMF) colonizing the roots of five annual herbaceous species (Hieracium vulgare, Stipa capensis, Anagallis arvensis, Carduus tenuiflorus, and Avena barbata) and a perennial herbaceous species (Brachypodium retusum). Our goal was to determine the differences in the communities of the AMF among these six plant species belonging to different families, using B. retusum as a reference. The AMF small-subunit rRNA genes (SSU) were subjected to nested PCR, cloning, sequencing, and phylogenetic analysis. Thirty-six AMF phylotypes, belonging to Glomus group A, Glomus group B, Diversispora, Paraglomus, and Ambispora, were identified. Five sequence groups identified in this study clustered to known glomalean species or isolates: group Glomus G27 to Glomus intraradices, group Glomus G19 to Glomus iranicum, group Glomus G10 to Glomus mosseae, group Glomus G1 to Glomus lamellosum/etunicatum/luteum, and group Ambispora 1 to Ambispora fennica. The six plant species studied hosted different AMF communities. A certain trend of AMF specificity was observed when grouping plant species by taxonomic families, highlighting the importance of protecting and even promoting the native annual vegetation in order to maintain the biodiversity and productivity of these extreme ecosystems.","DOI":"10.1128/AEM.01287-12","ISSN":"0099-2240","note":"PMID: 22752164\nPMCID: PMC3416610","journalAbbreviation":"Appl Environ Microbiol","author":[{"family":"Torrecillas","given":"E."},{"family":"Alguacil","given":"M. M."},{"family":"Roldán","given":"A."}],"issued":{"date-parts":[["2012",9]]}}}],"schema":"https://github.com/citation-style-language/schema/raw/master/csl-citation.json"} </w:instrText>
      </w:r>
      <w:r>
        <w:fldChar w:fldCharType="separate"/>
      </w:r>
      <w:r w:rsidR="00954B3D" w:rsidRPr="00954B3D">
        <w:rPr>
          <w:rFonts w:cs="Times New Roman"/>
          <w:szCs w:val="24"/>
        </w:rPr>
        <w:t>(</w:t>
      </w:r>
      <w:proofErr w:type="spellStart"/>
      <w:r w:rsidR="00954B3D" w:rsidRPr="00954B3D">
        <w:rPr>
          <w:rFonts w:cs="Times New Roman"/>
          <w:szCs w:val="24"/>
        </w:rPr>
        <w:t>Vandenkoornhuyse</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2003; </w:t>
      </w:r>
      <w:proofErr w:type="spellStart"/>
      <w:r w:rsidR="00954B3D" w:rsidRPr="00954B3D">
        <w:rPr>
          <w:rFonts w:cs="Times New Roman"/>
          <w:szCs w:val="24"/>
        </w:rPr>
        <w:t>Uibopuu</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xml:space="preserve">, 2012; </w:t>
      </w:r>
      <w:proofErr w:type="spellStart"/>
      <w:r w:rsidR="00954B3D" w:rsidRPr="00954B3D">
        <w:rPr>
          <w:rFonts w:cs="Times New Roman"/>
          <w:szCs w:val="24"/>
        </w:rPr>
        <w:t>Torrecillas</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2012)</w:t>
      </w:r>
      <w:r>
        <w:fldChar w:fldCharType="end"/>
      </w:r>
      <w:r>
        <w:t xml:space="preserve">.  For example </w:t>
      </w:r>
      <w:proofErr w:type="spellStart"/>
      <w:r>
        <w:t>Uibopuu</w:t>
      </w:r>
      <w:proofErr w:type="spellEnd"/>
      <w:r>
        <w:t xml:space="preserve"> </w:t>
      </w:r>
      <w:r w:rsidRPr="00FC0AFB">
        <w:rPr>
          <w:i/>
        </w:rPr>
        <w:t>et al.,</w:t>
      </w:r>
      <w:r>
        <w:t xml:space="preserve"> </w:t>
      </w:r>
      <w:r w:rsidR="00D7792A">
        <w:t>(</w:t>
      </w:r>
      <w:r>
        <w:t>2012</w:t>
      </w:r>
      <w:r w:rsidR="00D7792A">
        <w:t>)</w:t>
      </w:r>
      <w:r>
        <w:t xml:space="preserve"> found that different plants grown under controlled conditions with the same soil </w:t>
      </w:r>
      <w:proofErr w:type="spellStart"/>
      <w:r>
        <w:t>inocula</w:t>
      </w:r>
      <w:proofErr w:type="spellEnd"/>
      <w:r>
        <w:t xml:space="preserve"> became colonised by distinct communities of AMF. Therefore differences in host preferences of leek and apple plants could partially explain differences in AMF communities found.  Additionally factors such as lack of tolerance to greenhouse growth </w:t>
      </w:r>
      <w:r>
        <w:lastRenderedPageBreak/>
        <w:t xml:space="preserve">conditions (e.g. temperatures) could also explain differences in the communities colonising leek and apple plants </w:t>
      </w:r>
      <w:r>
        <w:fldChar w:fldCharType="begin"/>
      </w:r>
      <w:r w:rsidR="00954B3D">
        <w:instrText xml:space="preserve"> ADDIN ZOTERO_ITEM CSL_CITATION {"citationID":"1tni9njvgb","properties":{"formattedCitation":"(Heinemeyer &amp; Fitter, 2004)","plainCitation":"(Heinemeyer &amp; Fitter, 2004)"},"citationItems":[{"id":708,"uris":["http://zotero.org/users/local/d1gJDEOw/items/7NTMCIH6"],"uri":["http://zotero.org/users/local/d1gJDEOw/items/7NTMCIH6"],"itemData":{"id":708,"type":"article-journal","title":"Impact of temperature on the arbuscular mycorrhizal (AM) symbiosis: growth responses of the host plant and its AM fungal partner","container-title":"Journal of Experimental Botany","page":"525-534","volume":"55","issue":"396","source":"jxb.oxfordjournals.org","abstract":"The growth response of the hyphae of mycorrhizal fungi has been determined, both when plant and fungus together and when only the fungus was exposed to a temperature change. Two host plant species, Plantago lanceolata and Holcus lanatus, were grown separately in pots inoculated with the mycorrhizal fungus Glomus mosseae at 20/18 °C (day/night); half of the pots were then transferred to 12/10 °C. Plant and fungal growth were determined at six sequential destructive harvests. A second experiment investigated the direct effect of temperature on the length of the extra‐radical mycelium (ERM) of three mycorrhizal fungal species. Growth boxes were divided in two equal compartments by a 20 µm mesh, allowing only the ERM and not roots to grow into a fungal compartment, which was either heated (+8 °C) or kept at ambient temperature. ERM length (LERM) was determined on five sampling dates. Growth of H. lanatus was little affected by temperature, whereas growth of P. lanceolata increased with temperature, and both specific leaf area (SLA) and specific root length (SRL) increased independently of plant size. Percentage of colonized root (LRC) and LERM were positively correlated with temperature when in symbiosis with P. lanceolata, but differences in LRC were a function of plant biomass. Colonization was very low in H. lanatus roots and there was no significant temperature effect. In the fungal compartment LERM increased over time and was greatest for Glomus mosseae. Heating the fungal compartment significantly increased LERM in two of the three species but did not affect LRC. However, it significantly increased SRL of roots in the plant compartment, suggesting that the fungus plays a regulatory role in the growth dynamics of the symbiosis. These temperature responses have implications for modelling carbon dynamics under global climate change.","DOI":"10.1093/jxb/erh049","ISSN":"0022-0957, 1460-2431","note":"PMID: 14739273","shortTitle":"Impact of temperature on the arbuscular mycorrhizal (AM) symbiosis","journalAbbreviation":"J. Exp. Bot.","language":"en","author":[{"family":"Heinemeyer","given":"A."},{"family":"Fitter","given":"A. H."}],"issued":{"date-parts":[["2004",1,2]]}}}],"schema":"https://github.com/citation-style-language/schema/raw/master/csl-citation.json"} </w:instrText>
      </w:r>
      <w:r>
        <w:fldChar w:fldCharType="separate"/>
      </w:r>
      <w:r w:rsidR="00954B3D" w:rsidRPr="00954B3D">
        <w:rPr>
          <w:rFonts w:cs="Times New Roman"/>
        </w:rPr>
        <w:t>(</w:t>
      </w:r>
      <w:proofErr w:type="spellStart"/>
      <w:r w:rsidR="00954B3D" w:rsidRPr="00954B3D">
        <w:rPr>
          <w:rFonts w:cs="Times New Roman"/>
        </w:rPr>
        <w:t>Heinemeyer</w:t>
      </w:r>
      <w:proofErr w:type="spellEnd"/>
      <w:r w:rsidR="00954B3D" w:rsidRPr="00954B3D">
        <w:rPr>
          <w:rFonts w:cs="Times New Roman"/>
        </w:rPr>
        <w:t xml:space="preserve"> &amp; Fitter, 2004)</w:t>
      </w:r>
      <w:r>
        <w:fldChar w:fldCharType="end"/>
      </w:r>
      <w:r>
        <w:t>.</w:t>
      </w:r>
    </w:p>
    <w:p w:rsidR="00D33359" w:rsidRPr="00584BF6" w:rsidRDefault="00D33359" w:rsidP="00D33359">
      <w:pPr>
        <w:spacing w:after="0"/>
        <w:rPr>
          <w:rFonts w:cstheme="minorHAnsi"/>
        </w:rPr>
      </w:pPr>
      <w:r w:rsidRPr="002E7932">
        <w:rPr>
          <w:rFonts w:cstheme="minorHAnsi"/>
        </w:rPr>
        <w:t xml:space="preserve">Making the assumption that the main differences between AMF colonising leek and apple is due to their ecology, this raises the interesting question of whether communities of AMF colonising apple change over time and how this </w:t>
      </w:r>
      <w:r>
        <w:rPr>
          <w:rFonts w:cstheme="minorHAnsi"/>
        </w:rPr>
        <w:t>affects the host apple tree</w:t>
      </w:r>
      <w:r w:rsidRPr="002E7932">
        <w:rPr>
          <w:rFonts w:cstheme="minorHAnsi"/>
        </w:rPr>
        <w:t xml:space="preserve">. </w:t>
      </w:r>
      <w:r>
        <w:rPr>
          <w:rFonts w:cstheme="minorHAnsi"/>
        </w:rPr>
        <w:t xml:space="preserve">Data from Chapter 3 showed a negative relationship between tree age and AMF richness however all trees were over 10 years old. </w:t>
      </w:r>
      <w:r w:rsidRPr="002E7932">
        <w:rPr>
          <w:rFonts w:cstheme="minorHAnsi"/>
        </w:rPr>
        <w:t>Young trees may particularly benefit from AMF symbiosis due to less developed roots systems and greater nutrient requirement during early stages of growth</w:t>
      </w:r>
      <w:r>
        <w:rPr>
          <w:rFonts w:cstheme="minorHAnsi"/>
        </w:rPr>
        <w:t>. Therefore</w:t>
      </w:r>
      <w:r w:rsidRPr="002E7932">
        <w:rPr>
          <w:rFonts w:cstheme="minorHAnsi"/>
        </w:rPr>
        <w:t xml:space="preserve"> it would be interesting to see if the AMF which naturally colonise first are most beneficial.  This could be particularly of relevance to producing inoculum which is most</w:t>
      </w:r>
      <w:r>
        <w:rPr>
          <w:rFonts w:cstheme="minorHAnsi"/>
        </w:rPr>
        <w:t xml:space="preserve"> beneficial for young trees i.e. making sure we are inoculating with types that are (a) most beneficial (b) unlikely to already be in the soil in large amounts. </w:t>
      </w:r>
    </w:p>
    <w:p w:rsidR="00D33359" w:rsidRPr="00E9329A" w:rsidRDefault="00D33359" w:rsidP="00D33359">
      <w:pPr>
        <w:pStyle w:val="ListParagraph"/>
        <w:spacing w:after="0"/>
        <w:rPr>
          <w:rFonts w:cstheme="minorHAnsi"/>
        </w:rPr>
      </w:pPr>
      <w:r>
        <w:rPr>
          <w:noProof/>
          <w:lang w:eastAsia="en-GB"/>
        </w:rPr>
        <w:drawing>
          <wp:inline distT="0" distB="0" distL="0" distR="0" wp14:anchorId="099C53DF" wp14:editId="4D4A3C6C">
            <wp:extent cx="4911035" cy="3683276"/>
            <wp:effectExtent l="0" t="0" r="444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rchard v Bait TRFs Venn Diagram.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938325" cy="3703744"/>
                    </a:xfrm>
                    <a:prstGeom prst="rect">
                      <a:avLst/>
                    </a:prstGeom>
                  </pic:spPr>
                </pic:pic>
              </a:graphicData>
            </a:graphic>
          </wp:inline>
        </w:drawing>
      </w:r>
    </w:p>
    <w:p w:rsidR="00D33359" w:rsidRPr="00584BF6" w:rsidRDefault="00D33359" w:rsidP="000F2456">
      <w:pPr>
        <w:pStyle w:val="Caption"/>
      </w:pPr>
      <w:bookmarkStart w:id="499" w:name="_Ref469389848"/>
      <w:bookmarkStart w:id="500" w:name="_Toc469982795"/>
      <w:r w:rsidRPr="003A0413">
        <w:t xml:space="preserve">Figure </w:t>
      </w:r>
      <w:r w:rsidR="00C44EF5">
        <w:fldChar w:fldCharType="begin"/>
      </w:r>
      <w:r w:rsidR="00C44EF5">
        <w:instrText xml:space="preserve"> STYLEREF 1 \s </w:instrText>
      </w:r>
      <w:r w:rsidR="00C44EF5">
        <w:fldChar w:fldCharType="separate"/>
      </w:r>
      <w:r w:rsidR="00E0714D">
        <w:rPr>
          <w:noProof/>
        </w:rPr>
        <w:t>5</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1</w:t>
      </w:r>
      <w:r w:rsidR="00C44EF5">
        <w:rPr>
          <w:noProof/>
        </w:rPr>
        <w:fldChar w:fldCharType="end"/>
      </w:r>
      <w:bookmarkEnd w:id="499"/>
      <w:r w:rsidRPr="003A0413">
        <w:t xml:space="preserve"> Venn diagram to show the total TRFs found in roots from both leek trap cultures and apple roots from the field (circle overlap) and the TRFs found in each system only (circle areas with no overlap). Diagram show (a) Total TRF numbers across all orchards (b), (c) and (d) totals per orchard type. TRFs are combined from restriction with both </w:t>
      </w:r>
      <w:r w:rsidR="00DE1AD4">
        <w:rPr>
          <w:i/>
        </w:rPr>
        <w:t>HpyCH4-III</w:t>
      </w:r>
      <w:r w:rsidRPr="003A0413">
        <w:t xml:space="preserve"> and </w:t>
      </w:r>
      <w:proofErr w:type="spellStart"/>
      <w:r w:rsidRPr="003A0413">
        <w:rPr>
          <w:i/>
        </w:rPr>
        <w:t>Hinf</w:t>
      </w:r>
      <w:proofErr w:type="spellEnd"/>
      <w:r w:rsidRPr="003A0413">
        <w:t xml:space="preserve">-I restriction enzymes. </w:t>
      </w:r>
      <w:r>
        <w:t>Circle sizes are proportional to TRF number.</w:t>
      </w:r>
      <w:bookmarkEnd w:id="500"/>
      <w:r>
        <w:t xml:space="preserve"> </w:t>
      </w:r>
      <w:r w:rsidRPr="003A0413">
        <w:t xml:space="preserve"> </w:t>
      </w:r>
    </w:p>
    <w:p w:rsidR="00D33359" w:rsidRDefault="00D33359" w:rsidP="00D33359">
      <w:pPr>
        <w:rPr>
          <w:lang w:eastAsia="en-GB"/>
        </w:rPr>
      </w:pPr>
      <w:r>
        <w:rPr>
          <w:noProof/>
          <w:lang w:eastAsia="en-GB"/>
        </w:rPr>
        <w:lastRenderedPageBreak/>
        <w:drawing>
          <wp:inline distT="0" distB="0" distL="0" distR="0" wp14:anchorId="33FCCDBB" wp14:editId="046D5841">
            <wp:extent cx="4555631" cy="2648103"/>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 and K selection fig.png"/>
                    <pic:cNvPicPr/>
                  </pic:nvPicPr>
                  <pic:blipFill rotWithShape="1">
                    <a:blip r:embed="rId72">
                      <a:extLst>
                        <a:ext uri="{28A0092B-C50C-407E-A947-70E740481C1C}">
                          <a14:useLocalDpi xmlns:a14="http://schemas.microsoft.com/office/drawing/2010/main" val="0"/>
                        </a:ext>
                      </a:extLst>
                    </a:blip>
                    <a:srcRect l="3387" t="4816" r="12218" b="7962"/>
                    <a:stretch/>
                  </pic:blipFill>
                  <pic:spPr bwMode="auto">
                    <a:xfrm>
                      <a:off x="0" y="0"/>
                      <a:ext cx="4557343" cy="2649098"/>
                    </a:xfrm>
                    <a:prstGeom prst="rect">
                      <a:avLst/>
                    </a:prstGeom>
                    <a:ln>
                      <a:noFill/>
                    </a:ln>
                    <a:extLst>
                      <a:ext uri="{53640926-AAD7-44D8-BBD7-CCE9431645EC}">
                        <a14:shadowObscured xmlns:a14="http://schemas.microsoft.com/office/drawing/2010/main"/>
                      </a:ext>
                    </a:extLst>
                  </pic:spPr>
                </pic:pic>
              </a:graphicData>
            </a:graphic>
          </wp:inline>
        </w:drawing>
      </w:r>
    </w:p>
    <w:p w:rsidR="00D33359" w:rsidRPr="00161C55" w:rsidRDefault="00D33359" w:rsidP="000F2456">
      <w:pPr>
        <w:pStyle w:val="Caption"/>
      </w:pPr>
      <w:bookmarkStart w:id="501" w:name="_Ref469394782"/>
      <w:bookmarkStart w:id="502" w:name="_Toc469982796"/>
      <w:r w:rsidRPr="003A0413">
        <w:t xml:space="preserve">Figure </w:t>
      </w:r>
      <w:r w:rsidR="00C44EF5">
        <w:fldChar w:fldCharType="begin"/>
      </w:r>
      <w:r w:rsidR="00C44EF5">
        <w:instrText xml:space="preserve"> STYLEREF 1 \s </w:instrText>
      </w:r>
      <w:r w:rsidR="00C44EF5">
        <w:fldChar w:fldCharType="separate"/>
      </w:r>
      <w:r w:rsidR="00E0714D">
        <w:rPr>
          <w:noProof/>
        </w:rPr>
        <w:t>5</w:t>
      </w:r>
      <w:r w:rsidR="00C44EF5">
        <w:rPr>
          <w:noProof/>
        </w:rPr>
        <w:fldChar w:fldCharType="end"/>
      </w:r>
      <w:r w:rsidR="00DC59CF">
        <w:t>.</w:t>
      </w:r>
      <w:r w:rsidR="00C44EF5">
        <w:fldChar w:fldCharType="begin"/>
      </w:r>
      <w:r w:rsidR="00C44EF5">
        <w:instrText xml:space="preserve"> SEQ Figure \* ARABIC \s 1 </w:instrText>
      </w:r>
      <w:r w:rsidR="00C44EF5">
        <w:fldChar w:fldCharType="separate"/>
      </w:r>
      <w:r w:rsidR="00E0714D">
        <w:rPr>
          <w:noProof/>
        </w:rPr>
        <w:t>2</w:t>
      </w:r>
      <w:r w:rsidR="00C44EF5">
        <w:rPr>
          <w:noProof/>
        </w:rPr>
        <w:fldChar w:fldCharType="end"/>
      </w:r>
      <w:bookmarkEnd w:id="501"/>
      <w:r w:rsidRPr="003A0413">
        <w:t xml:space="preserve"> Diagram</w:t>
      </w:r>
      <w:r w:rsidRPr="00C14B42">
        <w:t xml:space="preserve"> to </w:t>
      </w:r>
      <w:r>
        <w:t xml:space="preserve">explain </w:t>
      </w:r>
      <w:r w:rsidRPr="00C14B42">
        <w:t>how differences in colonisation strategy and fungal succession could ex</w:t>
      </w:r>
      <w:r>
        <w:t xml:space="preserve">plain observed differences in </w:t>
      </w:r>
      <w:r w:rsidRPr="00C14B42">
        <w:t>AMF colonising leek bait plant trap cultures and</w:t>
      </w:r>
      <w:r>
        <w:t xml:space="preserve"> apple roots. </w:t>
      </w:r>
      <w:proofErr w:type="gramStart"/>
      <w:r>
        <w:t>r</w:t>
      </w:r>
      <w:proofErr w:type="gramEnd"/>
      <w:r>
        <w:t xml:space="preserve"> selected species are classified as rapid colonisers with high </w:t>
      </w:r>
      <w:r w:rsidRPr="000F2456">
        <w:t>growth</w:t>
      </w:r>
      <w:r>
        <w:t xml:space="preserve"> rates, K selected species are slower growing species which are suited to competition for resources in an established community.  At sampling time A, only the r selected species is above 1% relative abundance within host plant roots and therefore able to be detected by TRFLP. At sampling time B, only the k selected taxa is abundant enough to be detected by TRFLP. Diagram based on r and K selection theory   </w:t>
      </w:r>
      <w:r w:rsidRPr="00C14B42">
        <w:fldChar w:fldCharType="begin"/>
      </w:r>
      <w:r w:rsidR="00954B3D">
        <w:instrText xml:space="preserve"> ADDIN ZOTERO_ITEM CSL_CITATION {"citationID":"1vacld2pg","properties":{"formattedCitation":"(MacArthur &amp; Wilson, 1967; Pianka, 1970)","plainCitation":"(MacArthur &amp; Wilson, 1967; Pianka, 1970)"},"citationItems":[{"id":701,"uris":["http://zotero.org/users/local/d1gJDEOw/items/BIB7TSUA"],"uri":["http://zotero.org/users/local/d1gJDEOw/items/BIB7TSUA"],"itemData":{"id":701,"type":"book","title":"The theory of island biogeography","publisher":"Princeton University Press","publisher-place":"Princeton","event-place":"Princeton","author":[{"family":"MacArthur","given":"R H"},{"family":"Wilson","given":"E O"}],"issued":{"date-parts":[["1967"]]}}},{"id":699,"uris":["http://zotero.org/users/local/d1gJDEOw/items/HTARTVWI"],"uri":["http://zotero.org/users/local/d1gJDEOw/items/HTARTVWI"],"itemData":{"id":699,"type":"article-journal","title":"On r- and K-Selection","container-title":"The American Naturalist","page":"592-597","volume":"104","issue":"940","source":"JSTOR","ISSN":"0003-0147","journalAbbreviation":"The American Naturalist","author":[{"family":"Pianka","given":"Eric R."}],"issued":{"date-parts":[["1970"]]}}}],"schema":"https://github.com/citation-style-language/schema/raw/master/csl-citation.json"} </w:instrText>
      </w:r>
      <w:r w:rsidRPr="00C14B42">
        <w:fldChar w:fldCharType="separate"/>
      </w:r>
      <w:r w:rsidR="00954B3D" w:rsidRPr="00954B3D">
        <w:rPr>
          <w:rFonts w:cs="Times New Roman"/>
        </w:rPr>
        <w:t xml:space="preserve">(MacArthur &amp; Wilson, 1967; </w:t>
      </w:r>
      <w:proofErr w:type="spellStart"/>
      <w:r w:rsidR="00954B3D" w:rsidRPr="00954B3D">
        <w:rPr>
          <w:rFonts w:cs="Times New Roman"/>
        </w:rPr>
        <w:t>Pianka</w:t>
      </w:r>
      <w:proofErr w:type="spellEnd"/>
      <w:r w:rsidR="00954B3D" w:rsidRPr="00954B3D">
        <w:rPr>
          <w:rFonts w:cs="Times New Roman"/>
        </w:rPr>
        <w:t>, 1970)</w:t>
      </w:r>
      <w:bookmarkEnd w:id="502"/>
      <w:r w:rsidRPr="00C14B42">
        <w:fldChar w:fldCharType="end"/>
      </w:r>
    </w:p>
    <w:p w:rsidR="00D33359" w:rsidRDefault="00D33359" w:rsidP="00D33359">
      <w:pPr>
        <w:pStyle w:val="Heading2"/>
      </w:pPr>
      <w:bookmarkStart w:id="503" w:name="_Toc469855079"/>
      <w:bookmarkStart w:id="504" w:name="_Toc469856079"/>
      <w:bookmarkStart w:id="505" w:name="_Toc469931988"/>
      <w:bookmarkStart w:id="506" w:name="_Toc469982309"/>
      <w:r>
        <w:t>Broader implications</w:t>
      </w:r>
      <w:bookmarkEnd w:id="503"/>
      <w:bookmarkEnd w:id="504"/>
      <w:bookmarkEnd w:id="505"/>
      <w:bookmarkEnd w:id="506"/>
    </w:p>
    <w:p w:rsidR="00D33359" w:rsidRDefault="00D33359" w:rsidP="00D33359">
      <w:pPr>
        <w:pStyle w:val="Heading4"/>
      </w:pPr>
      <w:r>
        <w:t>Applied findings relevant to apple growers</w:t>
      </w:r>
    </w:p>
    <w:p w:rsidR="00D33359" w:rsidRDefault="00D33359" w:rsidP="00D33359">
      <w:r>
        <w:t xml:space="preserve">This study provides evidence that care should be taken to ensure trees are not supplied with excess fertiliser application. Our results from Chapter 2 show a clear effect of inorganic fertiliser application upon tree root development with a 17% reduction in root biomass of trees receiving recommended chemical inputs in comparison to low input fertiliser treatment. This is particularly important given that trees with smaller root systems are likely to be more susceptible to stress during drought events which are predicted to increase in frequency and severity with future climate change </w:t>
      </w:r>
      <w:r>
        <w:fldChar w:fldCharType="begin"/>
      </w:r>
      <w:r w:rsidR="00954B3D">
        <w:instrText xml:space="preserve"> ADDIN ZOTERO_ITEM CSL_CITATION {"citationID":"2h48h8sfga","properties":{"formattedCitation":"(IPCC, 2014)","plainCitation":"(IPCC, 2014)"},"citationItems":[{"id":714,"uris":["http://zotero.org/users/local/d1gJDEOw/items/67S6NS2M"],"uri":["http://zotero.org/users/local/d1gJDEOw/items/67S6NS2M"],"itemData":{"id":714,"type":"book","title":"Climate Change 2014: Synthesis Report. Contribution of Working Groups I, II and III to the Fifth Assessment Report of the Intergovernmental Panel on Climate Change","publisher":"Core Writing Team R.K. Pachauri and L.A. Meyer (eds.)","publisher-place":"Geneva, Switzerland","event-place":"Geneva, Switzerland","author":[{"family":"IPCC","given":""}],"issued":{"date-parts":[["2014"]]}}}],"schema":"https://github.com/citation-style-language/schema/raw/master/csl-citation.json"} </w:instrText>
      </w:r>
      <w:r>
        <w:fldChar w:fldCharType="separate"/>
      </w:r>
      <w:r w:rsidR="00954B3D" w:rsidRPr="00954B3D">
        <w:rPr>
          <w:rFonts w:cs="Times New Roman"/>
        </w:rPr>
        <w:t>(IPCC, 2014)</w:t>
      </w:r>
      <w:r>
        <w:fldChar w:fldCharType="end"/>
      </w:r>
      <w:r>
        <w:t xml:space="preserve">. </w:t>
      </w:r>
      <w:r w:rsidRPr="00F673B0">
        <w:t>Nutrient applications to newly planted trees should be particularly carefully considered due to negative effects upon AMF colonisation and root development. Young trees are more vulnerable to drought stress and effects of nutrient limitation due to less developed root systems and higher growth rates.</w:t>
      </w:r>
    </w:p>
    <w:p w:rsidR="00D33359" w:rsidRDefault="00D33359" w:rsidP="00D33359">
      <w:r>
        <w:t xml:space="preserve">Data from this thesis demonstrates inoculation with AMF was able to provide benefits to tree health. However there are important differences between out experimental study system and that of apple orchards in the field. Both of the species used in this study are common of agricultural habitats and therefore are likely to be rapid colonisers of newly planted trees, therefore adding additional inoculum may not improve colonisation. Inoculation of newly planted trees may be beneficial in sites which have undergone periods of fallow, high levels of disturbance or been planted in monoculture with a non AMF plant crop e.g. Brassica </w:t>
      </w:r>
      <w:proofErr w:type="spellStart"/>
      <w:r>
        <w:t>sp</w:t>
      </w:r>
      <w:proofErr w:type="spellEnd"/>
      <w:r>
        <w:t xml:space="preserve">, all of which are known to </w:t>
      </w:r>
      <w:r>
        <w:lastRenderedPageBreak/>
        <w:t>reduce AMF inoculum potential of soils. Minimising soil disturbance prior to planting may also allow more rapid colonisation of disturbance sensitive taxa.</w:t>
      </w:r>
    </w:p>
    <w:p w:rsidR="00D33359" w:rsidRDefault="00FA5B18" w:rsidP="00D33359">
      <w:r>
        <w:rPr>
          <w:rFonts w:cs="Times New Roman"/>
        </w:rPr>
        <w:t>The results from this thesis suggest that</w:t>
      </w:r>
      <w:r w:rsidR="00697350">
        <w:rPr>
          <w:rFonts w:cs="Times New Roman"/>
        </w:rPr>
        <w:t xml:space="preserve"> apple</w:t>
      </w:r>
      <w:r>
        <w:rPr>
          <w:rFonts w:cs="Times New Roman"/>
        </w:rPr>
        <w:t xml:space="preserve"> orchard</w:t>
      </w:r>
      <w:r w:rsidR="00697350">
        <w:rPr>
          <w:rFonts w:cs="Times New Roman"/>
        </w:rPr>
        <w:t>s</w:t>
      </w:r>
      <w:r>
        <w:rPr>
          <w:rFonts w:cs="Times New Roman"/>
        </w:rPr>
        <w:t xml:space="preserve"> </w:t>
      </w:r>
      <w:r w:rsidR="00697350">
        <w:rPr>
          <w:rFonts w:cs="Times New Roman"/>
        </w:rPr>
        <w:t>are</w:t>
      </w:r>
      <w:r>
        <w:rPr>
          <w:rFonts w:cs="Times New Roman"/>
        </w:rPr>
        <w:t xml:space="preserve"> able to support a similar level of soil microbial diversity to that of </w:t>
      </w:r>
      <w:r w:rsidR="00E42158">
        <w:rPr>
          <w:rFonts w:cs="Times New Roman"/>
        </w:rPr>
        <w:t xml:space="preserve">woodland habitats. Furthermore this study shows </w:t>
      </w:r>
      <w:r w:rsidR="00D33359" w:rsidRPr="007F4C27">
        <w:rPr>
          <w:rFonts w:cs="Times New Roman"/>
        </w:rPr>
        <w:t>that</w:t>
      </w:r>
      <w:r w:rsidR="00E42158">
        <w:rPr>
          <w:rFonts w:cs="Times New Roman"/>
        </w:rPr>
        <w:t xml:space="preserve"> cider apple</w:t>
      </w:r>
      <w:r w:rsidR="00D33359" w:rsidRPr="007F4C27">
        <w:rPr>
          <w:rFonts w:cs="Times New Roman"/>
        </w:rPr>
        <w:t xml:space="preserve"> orchard</w:t>
      </w:r>
      <w:r w:rsidR="000836C7">
        <w:rPr>
          <w:rFonts w:cs="Times New Roman"/>
        </w:rPr>
        <w:t xml:space="preserve"> cultivation</w:t>
      </w:r>
      <w:r w:rsidR="00D33359" w:rsidRPr="007F4C27">
        <w:rPr>
          <w:rFonts w:cs="Times New Roman"/>
        </w:rPr>
        <w:t xml:space="preserve"> </w:t>
      </w:r>
      <w:r w:rsidR="000836C7">
        <w:rPr>
          <w:rFonts w:cs="Times New Roman"/>
        </w:rPr>
        <w:t>is</w:t>
      </w:r>
      <w:r w:rsidR="00D33359" w:rsidRPr="007F4C27">
        <w:rPr>
          <w:rFonts w:cs="Times New Roman"/>
        </w:rPr>
        <w:t xml:space="preserve"> better for maintaining </w:t>
      </w:r>
      <w:r w:rsidR="00D33359">
        <w:rPr>
          <w:rFonts w:cs="Times New Roman"/>
        </w:rPr>
        <w:t xml:space="preserve">diverse </w:t>
      </w:r>
      <w:r w:rsidR="00D33359" w:rsidRPr="007F4C27">
        <w:rPr>
          <w:rFonts w:cs="Times New Roman"/>
        </w:rPr>
        <w:t xml:space="preserve">AMF </w:t>
      </w:r>
      <w:r w:rsidR="00D33359">
        <w:rPr>
          <w:rFonts w:cs="Times New Roman"/>
        </w:rPr>
        <w:t xml:space="preserve">communities </w:t>
      </w:r>
      <w:r w:rsidR="00D33359" w:rsidRPr="007F4C27">
        <w:rPr>
          <w:rFonts w:cs="Times New Roman"/>
        </w:rPr>
        <w:t>than th</w:t>
      </w:r>
      <w:r w:rsidR="000836C7">
        <w:rPr>
          <w:rFonts w:cs="Times New Roman"/>
        </w:rPr>
        <w:t>at</w:t>
      </w:r>
      <w:r w:rsidR="00D33359" w:rsidRPr="007F4C27">
        <w:rPr>
          <w:rFonts w:cs="Times New Roman"/>
        </w:rPr>
        <w:t xml:space="preserve"> of other</w:t>
      </w:r>
      <w:r w:rsidR="00D33359">
        <w:rPr>
          <w:rFonts w:cs="Times New Roman"/>
        </w:rPr>
        <w:t xml:space="preserve"> intensive agricultural system</w:t>
      </w:r>
      <w:r w:rsidR="00697350">
        <w:rPr>
          <w:rFonts w:cs="Times New Roman"/>
        </w:rPr>
        <w:t xml:space="preserve">s in particular the conventional cereal cultivation with which </w:t>
      </w:r>
      <w:r w:rsidR="000836C7">
        <w:rPr>
          <w:rFonts w:cs="Times New Roman"/>
        </w:rPr>
        <w:t>orchards</w:t>
      </w:r>
      <w:r w:rsidR="00697350">
        <w:rPr>
          <w:rFonts w:cs="Times New Roman"/>
        </w:rPr>
        <w:t xml:space="preserve"> were compared in this study. S</w:t>
      </w:r>
      <w:r w:rsidR="00AD19FE">
        <w:rPr>
          <w:rFonts w:cs="Times New Roman"/>
        </w:rPr>
        <w:t xml:space="preserve">imilarity in AMF communities between </w:t>
      </w:r>
      <w:r w:rsidR="00697350">
        <w:rPr>
          <w:rFonts w:cs="Times New Roman"/>
        </w:rPr>
        <w:t xml:space="preserve">apple </w:t>
      </w:r>
      <w:r w:rsidR="00AD19FE">
        <w:rPr>
          <w:rFonts w:cs="Times New Roman"/>
        </w:rPr>
        <w:t xml:space="preserve">orchards </w:t>
      </w:r>
      <w:r w:rsidR="00EC4E93">
        <w:rPr>
          <w:rFonts w:cs="Times New Roman"/>
        </w:rPr>
        <w:t>which range</w:t>
      </w:r>
      <w:r w:rsidR="00697350">
        <w:rPr>
          <w:rFonts w:cs="Times New Roman"/>
        </w:rPr>
        <w:t>d</w:t>
      </w:r>
      <w:r w:rsidR="00EC4E93">
        <w:rPr>
          <w:rFonts w:cs="Times New Roman"/>
        </w:rPr>
        <w:t xml:space="preserve"> </w:t>
      </w:r>
      <w:r w:rsidR="00AD19FE">
        <w:rPr>
          <w:rFonts w:cs="Times New Roman"/>
        </w:rPr>
        <w:t>in intensity of management with regard to chemical inputs and fertiliser application but</w:t>
      </w:r>
      <w:r w:rsidR="00EC4E93">
        <w:rPr>
          <w:rFonts w:cs="Times New Roman"/>
        </w:rPr>
        <w:t xml:space="preserve"> </w:t>
      </w:r>
      <w:r w:rsidR="00697350">
        <w:rPr>
          <w:rFonts w:cs="Times New Roman"/>
        </w:rPr>
        <w:t>were</w:t>
      </w:r>
      <w:r w:rsidR="00AD19FE">
        <w:rPr>
          <w:rFonts w:cs="Times New Roman"/>
        </w:rPr>
        <w:t xml:space="preserve"> consistent in level</w:t>
      </w:r>
      <w:r w:rsidR="00EC4E93">
        <w:rPr>
          <w:rFonts w:cs="Times New Roman"/>
        </w:rPr>
        <w:t>s of</w:t>
      </w:r>
      <w:r w:rsidR="00AD19FE">
        <w:rPr>
          <w:rFonts w:cs="Times New Roman"/>
        </w:rPr>
        <w:t xml:space="preserve"> soil disturbance, suggests that perennial nature of orchards (particular</w:t>
      </w:r>
      <w:r w:rsidR="00EC4E93">
        <w:rPr>
          <w:rFonts w:cs="Times New Roman"/>
        </w:rPr>
        <w:t>ly</w:t>
      </w:r>
      <w:r w:rsidR="00AD19FE">
        <w:rPr>
          <w:rFonts w:cs="Times New Roman"/>
        </w:rPr>
        <w:t xml:space="preserve"> the low soil disturbance and long term nature of thes</w:t>
      </w:r>
      <w:r w:rsidR="00697350">
        <w:rPr>
          <w:rFonts w:cs="Times New Roman"/>
        </w:rPr>
        <w:t>e production systems) ma</w:t>
      </w:r>
      <w:r w:rsidR="000836C7">
        <w:rPr>
          <w:rFonts w:cs="Times New Roman"/>
        </w:rPr>
        <w:t>y make</w:t>
      </w:r>
      <w:r w:rsidR="00697350">
        <w:rPr>
          <w:rFonts w:cs="Times New Roman"/>
        </w:rPr>
        <w:t xml:space="preserve"> these systems</w:t>
      </w:r>
      <w:r w:rsidR="00AD19FE">
        <w:rPr>
          <w:rFonts w:cs="Times New Roman"/>
        </w:rPr>
        <w:t xml:space="preserve"> better at preserving soil microbial diversity than </w:t>
      </w:r>
      <w:r w:rsidR="00697350">
        <w:rPr>
          <w:rFonts w:cs="Times New Roman"/>
        </w:rPr>
        <w:t>those</w:t>
      </w:r>
      <w:r w:rsidR="00AD19FE">
        <w:rPr>
          <w:rFonts w:cs="Times New Roman"/>
        </w:rPr>
        <w:t xml:space="preserve"> with higher soil disturbance. </w:t>
      </w:r>
      <w:r w:rsidR="00EC4E93">
        <w:rPr>
          <w:rFonts w:cs="Times New Roman"/>
        </w:rPr>
        <w:t>These findings</w:t>
      </w:r>
      <w:r>
        <w:rPr>
          <w:rFonts w:cs="Times New Roman"/>
        </w:rPr>
        <w:t xml:space="preserve"> </w:t>
      </w:r>
      <w:r w:rsidR="00D33359">
        <w:rPr>
          <w:rFonts w:cs="Times New Roman"/>
        </w:rPr>
        <w:t>suppor</w:t>
      </w:r>
      <w:r w:rsidR="00AD19FE">
        <w:rPr>
          <w:rFonts w:cs="Times New Roman"/>
        </w:rPr>
        <w:t>t</w:t>
      </w:r>
      <w:r w:rsidR="00D33359">
        <w:rPr>
          <w:rFonts w:cs="Times New Roman"/>
        </w:rPr>
        <w:t xml:space="preserve"> other </w:t>
      </w:r>
      <w:r w:rsidR="00EC4E93">
        <w:rPr>
          <w:rFonts w:cs="Times New Roman"/>
        </w:rPr>
        <w:t>studies</w:t>
      </w:r>
      <w:r w:rsidR="00D33359">
        <w:rPr>
          <w:rFonts w:cs="Times New Roman"/>
        </w:rPr>
        <w:t xml:space="preserve"> demonstrating the </w:t>
      </w:r>
      <w:r w:rsidR="00EC4E93">
        <w:rPr>
          <w:rFonts w:cs="Times New Roman"/>
        </w:rPr>
        <w:t xml:space="preserve">improved </w:t>
      </w:r>
      <w:r w:rsidR="00D33359">
        <w:rPr>
          <w:rFonts w:cs="Times New Roman"/>
        </w:rPr>
        <w:t>sustainability of tree based crop systems due to</w:t>
      </w:r>
      <w:r w:rsidR="00EC4E93">
        <w:rPr>
          <w:rFonts w:cs="Times New Roman"/>
        </w:rPr>
        <w:t xml:space="preserve"> </w:t>
      </w:r>
      <w:r w:rsidR="00D33359">
        <w:rPr>
          <w:rFonts w:cs="Times New Roman"/>
        </w:rPr>
        <w:t xml:space="preserve">reduced impact on beneficial soil organisms </w:t>
      </w:r>
      <w:r w:rsidR="00D33359">
        <w:rPr>
          <w:rFonts w:cs="Times New Roman"/>
        </w:rPr>
        <w:fldChar w:fldCharType="begin"/>
      </w:r>
      <w:r w:rsidR="00EC4E93">
        <w:rPr>
          <w:rFonts w:cs="Times New Roman"/>
        </w:rPr>
        <w:instrText xml:space="preserve"> ADDIN ZOTERO_ITEM CSL_CITATION {"citationID":"zFnQJobY","properties":{"formattedCitation":"{\\rtf (Chifflot {\\i{}et al.}, 2009; Lacombe {\\i{}et al.}, 2009; Bainard {\\i{}et al.}, 2011)}","plainCitation":"(Chifflot et al., 2009; Lacombe et al., 2009; Bainard et al., 2011)"},"citationItems":[{"id":893,"uris":["http://zotero.org/users/local/d1gJDEOw/items/AHGVIXMQ"],"uri":["http://zotero.org/users/local/d1gJDEOw/items/AHGVIXMQ"],"itemData":{"id":893,"type":"article-journal","title":"Molecular analysis of arbuscular mycorrhizal community structure and spores distribution in tree-based intercropping and forest systems","container-title":"Agriculture Ecosystems &amp; Environment","page":"32-39","volume":"131","issue":"1-2","archive_location":"WOS:000264998100006","abstract":"Due to their potential to enhance soil biodiversity and fertility, tree-based intercropping (TBI) systems are recognized as promising agrotechnologies. However, few studies have examined the effects of TBI on the diversity of arbuscular mycorrhizal (AM) fungi. To investigate this aspect, and to compare TBI with a more typical forest plantation (FO) system, a field experiment using soybean (Glycine max (L.) Merr. cv. SO3-W4) and poplar (Populus nigra L. x A maximowiczii cv. A. Henry 'Max 5') was conducted on an arable field site in southwestern Quebec. The species of AM fungi colonizing the roots were assessed by PCR-RFLP and DNA sequence analyses of SSU rRNA genes. A total of 13 different phylotypes were identified. Phylogenetic analyses demonstrated that these belonged to the genera Glomus (11), Acaulospora (1) and Scutellospora (1). The AM fungal diversity, as expressed by the Shannon-Wiener indices, were 0.82 +/- 0.08 for the soybean and 0.70 +/- 0.11 for poplar under the TBI system. and 0.53 +/- 0.08 for poplar under the FO system. The study also investigated the distribution of AM fungal spores in the soil, and this differed in the two systems. Under the TBI system, spore abundance increased with increasing distance from the poplar trunk, while it remained relatively constant under the FO system. Our results also show that neighbouring trees and soybean plants hosted different AM fungal communities, suggesting that TBI systems may enhance AM fungal richness compared to monocultures. (C) 2008 Elsevier B.V. All rights reserved.","DOI":"10.1016/j.agee.2008.11.010","ISSN":"0167-8809","shortTitle":"Molecular analysis of arbuscular mycorrhizal community structure and spores distribution in tree-based intercropping and forest systems","language":"English","author":[{"family":"Chifflot","given":"V."},{"family":"Rivest","given":"D."},{"family":"Olivier","given":"A."},{"family":"Cogliastro","given":"A."},{"family":"Khasa","given":"D."}],"issued":{"date-parts":[["2009",5]]}}},{"id":1394,"uris":["http://zotero.org/users/local/d1gJDEOw/items/8SKZ8Z4T"],"uri":["http://zotero.org/users/local/d1gJDEOw/items/8SKZ8Z4T"],"itemData":{"id":1394,"type":"article-journal","title":"Do tree-based intercropping systems increase the diversity and stability of soil microbial communities?","container-title":"Agriculture, Ecosystems &amp; Environment","collection-title":"Temperate agroforestry: When trees and crops get together","page":"25-31","volume":"131","issue":"1–2","source":"ScienceDirect","abstract":"There is a need for research projects to provide scientific arguments favouring a greater implementation of tree-based intercropping (TBI) systems in Canada’s rural landscape. We tested the hypothesis that TBI increases the beta-diversity and stability of soil microbial communities compared to conventional monocropping (CM) systems. Soil from TBI research plots in St-Rémi (Québec) and Guelph (Ontario) were intensively sampled along 56-point grid patterns and compared to soil sampled in a similar manner in adjacent CM systems. Phospholipid fatty acids (PLFAs) were extracted from each sample, purified and methylated, and subsequently analyzed by gas chromatography. The spatial heterogeneity (i.e., microbial beta-diversity) of whole PLFA profiles from each field were analyzed using multivariate statistical procedures (PCA and PERMDISP), and those of individual PLFAs were analyzed using Levene’s and Moses’ tests. Microbial beta-diversity, based on a measure of dispersion among PLFA profiles within each sampling grid, was significantly higher in the TBI than in the CM system at the St-Rémi site only. Multivariate multiple regression analyses failed to reveal any significant relationship between soil physico-chemical variables and shifts in soil PLFA profiles. We compared the concentrations of broad microbial groups in both cropping systems using Tukey’s test and found a higher incidence of arbuscular mycorrhizal fungi (AMF) in TBI systems at both sites, and a greater ratio of gram positive-to-gram negative bacteria in the TBI system at the St-Rémi site only. In order to determine microbial stability, we monitored changes in microbial biomass of bulked soil samples from the sampling grids after these had been exposed to varying concentrations of a heavy metal (Cu) contaminant. Data were then fitted to decreasing exponential functions and model parameters were used to derive an index of microbial stability. Higher microbial stability was found in the TBI than in the CM system at the St-Rémi site only. Because our hypotheses regarding soil microbial beta-diversity and stability were confirmed at only one of two sites, our conclusions warrant prudence and discretion. Future research should explore the possible role of tree roots in maintaining AMF and other beneficial soil organisms for alley crops.","DOI":"10.1016/j.agee.2008.08.010","ISSN":"0167-8809","journalAbbreviation":"Agriculture, Ecosystems &amp; Environment","author":[{"family":"Lacombe","given":"Simon"},{"family":"Bradley","given":"Robert L."},{"family":"Hamel","given":"Chantal"},{"family":"Beaulieu","given":"Carole"}],"issued":{"date-parts":[["2009",5]]}}},{"id":420,"uris":["http://zotero.org/users/local/d1gJDEOw/items/5V7SNQ86"],"uri":["http://zotero.org/users/local/d1gJDEOw/items/5V7SNQ86"],"itemData":{"id":420,"type":"article-journal","title":"Arbuscular mycorrhizal fungi in tree-based intercropping systems: A review of their abundance and diversity","container-title":"Pedobiologia","page":"57-61","volume":"54","issue":"2","source":"ScienceDirect","abstract":"Arbuscular mycorrhizal (AM) fungi are important components of agroecosystems as they form symbiotic associations with the majority of agricultural crops. The mycorrhizal association is normally mutualistic and can provide a number of benefits to the host plant including increased nutrient uptake, improved water relations, and protection from pathogens. However, conventional agricultural practices have been shown to have a negative impact on the abundance and diversity of AM fungi. The use of more diverse and sustainable land use practices such as tree-based intercropping can have the potential to reduce the negative impact of agricultural practices on AM fungi. This paper reviews the literature to investigate the effect of temperate and tropical tree-based intercropping systems on the abundance and diversity of AM fungi. Evidence from these studies suggests that tree-based intercropping systems support a more abundant and diverse AM fungal community compared to conventionally managed systems. However, there are studies that observed zero or negative significant effects on the AM fungal community as a result of incorporating trees into agricultural systems. The variable effect of tree-based intercropping systems on AM fungi observed may be a function of the different cultivation techniques, climatic variation, or diverse tree–crop combinations used within the different tree-based intercropping systems. To further our understanding of AM fungal dynamics in tree-based intercropping systems, future research should focus on the influence of tree species with varying mycorrhizal associations and the functional role of common mycelial networks in these systems, while utilizing applicable molecular techniques.","DOI":"10.1016/j.pedobi.2010.11.001","ISSN":"0031-4056","shortTitle":"Arbuscular mycorrhizal fungi in tree-based intercropping systems","journalAbbreviation":"Pedobiologia","author":[{"family":"Bainard","given":"Luke D."},{"family":"Klironomos","given":"John N."},{"family":"Gordon","given":"Andrew M."}],"issued":{"date-parts":[["2011",3,10]]}}}],"schema":"https://github.com/citation-style-language/schema/raw/master/csl-citation.json"} </w:instrText>
      </w:r>
      <w:r w:rsidR="00D33359">
        <w:rPr>
          <w:rFonts w:cs="Times New Roman"/>
        </w:rPr>
        <w:fldChar w:fldCharType="separate"/>
      </w:r>
      <w:r w:rsidR="00EC4E93" w:rsidRPr="00F00459">
        <w:rPr>
          <w:rFonts w:cs="Times New Roman"/>
          <w:szCs w:val="24"/>
        </w:rPr>
        <w:t>(</w:t>
      </w:r>
      <w:proofErr w:type="spellStart"/>
      <w:r w:rsidR="00EC4E93" w:rsidRPr="00F00459">
        <w:rPr>
          <w:rFonts w:cs="Times New Roman"/>
          <w:szCs w:val="24"/>
        </w:rPr>
        <w:t>Chifflot</w:t>
      </w:r>
      <w:proofErr w:type="spellEnd"/>
      <w:r w:rsidR="00EC4E93" w:rsidRPr="00F00459">
        <w:rPr>
          <w:rFonts w:cs="Times New Roman"/>
          <w:szCs w:val="24"/>
        </w:rPr>
        <w:t xml:space="preserve"> </w:t>
      </w:r>
      <w:r w:rsidR="00EC4E93" w:rsidRPr="00F00459">
        <w:rPr>
          <w:rFonts w:cs="Times New Roman"/>
          <w:i/>
          <w:iCs/>
          <w:szCs w:val="24"/>
        </w:rPr>
        <w:t>et al.</w:t>
      </w:r>
      <w:r w:rsidR="00EC4E93" w:rsidRPr="00F00459">
        <w:rPr>
          <w:rFonts w:cs="Times New Roman"/>
          <w:szCs w:val="24"/>
        </w:rPr>
        <w:t xml:space="preserve">, 2009; Lacombe </w:t>
      </w:r>
      <w:r w:rsidR="00EC4E93" w:rsidRPr="00F00459">
        <w:rPr>
          <w:rFonts w:cs="Times New Roman"/>
          <w:i/>
          <w:iCs/>
          <w:szCs w:val="24"/>
        </w:rPr>
        <w:t>et al.</w:t>
      </w:r>
      <w:r w:rsidR="00EC4E93" w:rsidRPr="00F00459">
        <w:rPr>
          <w:rFonts w:cs="Times New Roman"/>
          <w:szCs w:val="24"/>
        </w:rPr>
        <w:t xml:space="preserve">, 2009; </w:t>
      </w:r>
      <w:proofErr w:type="spellStart"/>
      <w:r w:rsidR="00EC4E93" w:rsidRPr="00F00459">
        <w:rPr>
          <w:rFonts w:cs="Times New Roman"/>
          <w:szCs w:val="24"/>
        </w:rPr>
        <w:t>Bainard</w:t>
      </w:r>
      <w:proofErr w:type="spellEnd"/>
      <w:r w:rsidR="00EC4E93" w:rsidRPr="00F00459">
        <w:rPr>
          <w:rFonts w:cs="Times New Roman"/>
          <w:szCs w:val="24"/>
        </w:rPr>
        <w:t xml:space="preserve"> </w:t>
      </w:r>
      <w:r w:rsidR="00EC4E93" w:rsidRPr="00F00459">
        <w:rPr>
          <w:rFonts w:cs="Times New Roman"/>
          <w:i/>
          <w:iCs/>
          <w:szCs w:val="24"/>
        </w:rPr>
        <w:t>et al.</w:t>
      </w:r>
      <w:r w:rsidR="00EC4E93" w:rsidRPr="00F00459">
        <w:rPr>
          <w:rFonts w:cs="Times New Roman"/>
          <w:szCs w:val="24"/>
        </w:rPr>
        <w:t>, 2011)</w:t>
      </w:r>
      <w:r w:rsidR="00D33359">
        <w:rPr>
          <w:rFonts w:cs="Times New Roman"/>
        </w:rPr>
        <w:fldChar w:fldCharType="end"/>
      </w:r>
      <w:r w:rsidR="00D33359">
        <w:rPr>
          <w:rFonts w:cs="Times New Roman"/>
        </w:rPr>
        <w:t>.</w:t>
      </w:r>
      <w:r w:rsidR="00D33359">
        <w:t xml:space="preserve"> On a broader scale, the findings of this work support the growing body of research demonstrating how soil disturbance may impact beneficial soil organisms such as AMF. This highlights</w:t>
      </w:r>
      <w:r>
        <w:t xml:space="preserve"> benefit of low perennial cropping </w:t>
      </w:r>
      <w:r w:rsidR="00EC4E93">
        <w:t>systems</w:t>
      </w:r>
      <w:r w:rsidR="00697350">
        <w:t xml:space="preserve"> such as apple orchards</w:t>
      </w:r>
      <w:r>
        <w:t xml:space="preserve"> for maintaining soil microbial diversity and</w:t>
      </w:r>
      <w:r w:rsidR="00D33359">
        <w:t xml:space="preserve"> the importance of developing agricultural systems where soil disturbance is kept to a minimum</w:t>
      </w:r>
      <w:r>
        <w:t>,</w:t>
      </w:r>
      <w:r w:rsidR="00D33359">
        <w:t xml:space="preserve"> to avoid detrimental effects on AMF and other beneficial soil organisms such as earthworms. </w:t>
      </w:r>
    </w:p>
    <w:p w:rsidR="00D33359" w:rsidRDefault="00D33359" w:rsidP="00D33359">
      <w:pPr>
        <w:pStyle w:val="Heading2"/>
      </w:pPr>
      <w:bookmarkStart w:id="507" w:name="_Toc469855080"/>
      <w:bookmarkStart w:id="508" w:name="_Toc469856080"/>
      <w:bookmarkStart w:id="509" w:name="_Toc469931989"/>
      <w:bookmarkStart w:id="510" w:name="_Toc469982310"/>
      <w:r w:rsidRPr="00216E5B">
        <w:t>Further work</w:t>
      </w:r>
      <w:bookmarkEnd w:id="507"/>
      <w:bookmarkEnd w:id="508"/>
      <w:bookmarkEnd w:id="509"/>
      <w:bookmarkEnd w:id="510"/>
    </w:p>
    <w:p w:rsidR="00D33359" w:rsidRDefault="00D33359" w:rsidP="00D33359">
      <w:pPr>
        <w:rPr>
          <w:rFonts w:cs="Times New Roman"/>
        </w:rPr>
      </w:pPr>
      <w:r w:rsidRPr="001968FA">
        <w:rPr>
          <w:rFonts w:cs="Times New Roman"/>
        </w:rPr>
        <w:t>This study has shown intriguing results relating to effects of orchard age on AMF richness and also differences i</w:t>
      </w:r>
      <w:r>
        <w:rPr>
          <w:rFonts w:cs="Times New Roman"/>
        </w:rPr>
        <w:t xml:space="preserve">n AMF tolerance to disturbance. This paves the way for several areas of future research. </w:t>
      </w:r>
    </w:p>
    <w:p w:rsidR="00D33359" w:rsidRDefault="00D33359" w:rsidP="00D33359">
      <w:pPr>
        <w:rPr>
          <w:rFonts w:cs="Times New Roman"/>
        </w:rPr>
      </w:pPr>
      <w:r>
        <w:rPr>
          <w:rFonts w:cs="Times New Roman"/>
        </w:rPr>
        <w:t>Firstly, relating to differences in richness between orchards of different ages, further work could investigate the difference in AMF communities colonising apple over time. This could be done using a sampling approach similar to the design for this study</w:t>
      </w:r>
      <w:r w:rsidRPr="001968FA">
        <w:rPr>
          <w:rFonts w:cs="Times New Roman"/>
        </w:rPr>
        <w:t xml:space="preserve"> </w:t>
      </w:r>
      <w:r>
        <w:rPr>
          <w:rFonts w:cs="Times New Roman"/>
        </w:rPr>
        <w:t>to sample apple roots and to characterise the AMF communities colonising them</w:t>
      </w:r>
      <w:r w:rsidRPr="001968FA">
        <w:rPr>
          <w:rFonts w:cs="Times New Roman"/>
        </w:rPr>
        <w:t xml:space="preserve"> across a range of ages from newly planted to the oldest age range sampled here (120 years).</w:t>
      </w:r>
      <w:r>
        <w:rPr>
          <w:rFonts w:cs="Times New Roman"/>
        </w:rPr>
        <w:t xml:space="preserve"> Understanding the rate at which taxa are able to naturally colonise trees within apple orchards could be particularly useful for informing which species would be most beneficial to increase in abundance artificially though application of inoculum. Currently commercial inoculum types available include readily cultured species such as </w:t>
      </w:r>
      <w:proofErr w:type="spellStart"/>
      <w:r w:rsidRPr="001968FA">
        <w:rPr>
          <w:rFonts w:cs="Times New Roman"/>
          <w:i/>
        </w:rPr>
        <w:t>Funneliformis</w:t>
      </w:r>
      <w:proofErr w:type="spellEnd"/>
      <w:r w:rsidRPr="001968FA">
        <w:rPr>
          <w:rFonts w:cs="Times New Roman"/>
          <w:i/>
        </w:rPr>
        <w:t xml:space="preserve"> </w:t>
      </w:r>
      <w:proofErr w:type="spellStart"/>
      <w:r w:rsidRPr="001968FA">
        <w:rPr>
          <w:rFonts w:cs="Times New Roman"/>
          <w:i/>
        </w:rPr>
        <w:t>mosseae</w:t>
      </w:r>
      <w:proofErr w:type="spellEnd"/>
      <w:r>
        <w:rPr>
          <w:rFonts w:cs="Times New Roman"/>
        </w:rPr>
        <w:t xml:space="preserve"> and </w:t>
      </w:r>
      <w:proofErr w:type="spellStart"/>
      <w:r w:rsidR="00CC66C9">
        <w:rPr>
          <w:rFonts w:cs="Times New Roman"/>
          <w:i/>
        </w:rPr>
        <w:t>Rhizophagus</w:t>
      </w:r>
      <w:proofErr w:type="spellEnd"/>
      <w:r w:rsidR="00CC66C9">
        <w:rPr>
          <w:rFonts w:cs="Times New Roman"/>
          <w:i/>
        </w:rPr>
        <w:t xml:space="preserve"> </w:t>
      </w:r>
      <w:proofErr w:type="spellStart"/>
      <w:r w:rsidR="00CC66C9">
        <w:rPr>
          <w:rFonts w:cs="Times New Roman"/>
          <w:i/>
        </w:rPr>
        <w:t>irregularis</w:t>
      </w:r>
      <w:proofErr w:type="spellEnd"/>
      <w:r>
        <w:rPr>
          <w:rFonts w:cs="Times New Roman"/>
        </w:rPr>
        <w:t xml:space="preserve">, however these are likely to be R selected species which are able to naturally colonise rapidly. Furthermore they are likely to already be present in soils which have previously been under agricultural land use </w:t>
      </w:r>
      <w:r w:rsidRPr="001C387C">
        <w:rPr>
          <w:rFonts w:cs="Times New Roman"/>
          <w:szCs w:val="24"/>
        </w:rPr>
        <w:t>(</w:t>
      </w:r>
      <w:proofErr w:type="spellStart"/>
      <w:r w:rsidRPr="001C387C">
        <w:rPr>
          <w:rFonts w:cs="Times New Roman"/>
          <w:szCs w:val="24"/>
        </w:rPr>
        <w:t>Helgason</w:t>
      </w:r>
      <w:proofErr w:type="spellEnd"/>
      <w:r w:rsidRPr="001C387C">
        <w:rPr>
          <w:rFonts w:cs="Times New Roman"/>
          <w:szCs w:val="24"/>
        </w:rPr>
        <w:t xml:space="preserve"> </w:t>
      </w:r>
      <w:r w:rsidRPr="001C387C">
        <w:rPr>
          <w:rFonts w:cs="Times New Roman"/>
          <w:i/>
          <w:iCs/>
          <w:szCs w:val="24"/>
        </w:rPr>
        <w:t>et al.</w:t>
      </w:r>
      <w:r w:rsidRPr="001C387C">
        <w:rPr>
          <w:rFonts w:cs="Times New Roman"/>
          <w:szCs w:val="24"/>
        </w:rPr>
        <w:t xml:space="preserve">, 1998; </w:t>
      </w:r>
      <w:proofErr w:type="spellStart"/>
      <w:r w:rsidRPr="001C387C">
        <w:rPr>
          <w:rFonts w:cs="Times New Roman"/>
          <w:szCs w:val="24"/>
        </w:rPr>
        <w:t>Daniell</w:t>
      </w:r>
      <w:proofErr w:type="spellEnd"/>
      <w:r w:rsidRPr="001C387C">
        <w:rPr>
          <w:rFonts w:cs="Times New Roman"/>
          <w:szCs w:val="24"/>
        </w:rPr>
        <w:t xml:space="preserve"> </w:t>
      </w:r>
      <w:r w:rsidRPr="001C387C">
        <w:rPr>
          <w:rFonts w:cs="Times New Roman"/>
          <w:i/>
          <w:iCs/>
          <w:szCs w:val="24"/>
        </w:rPr>
        <w:t>et al.</w:t>
      </w:r>
      <w:r w:rsidRPr="001C387C">
        <w:rPr>
          <w:rFonts w:cs="Times New Roman"/>
          <w:szCs w:val="24"/>
        </w:rPr>
        <w:t>, 2001</w:t>
      </w:r>
      <w:r w:rsidR="00556653">
        <w:rPr>
          <w:rFonts w:cs="Times New Roman"/>
          <w:szCs w:val="24"/>
        </w:rPr>
        <w:t xml:space="preserve">) </w:t>
      </w:r>
      <w:r>
        <w:rPr>
          <w:rFonts w:cs="Times New Roman"/>
        </w:rPr>
        <w:t>which is often the previous land use for orchard planting sites.</w:t>
      </w:r>
    </w:p>
    <w:p w:rsidR="00D33359" w:rsidRDefault="00D33359" w:rsidP="00D33359">
      <w:pPr>
        <w:rPr>
          <w:rFonts w:cs="Times New Roman"/>
        </w:rPr>
      </w:pPr>
      <w:r>
        <w:rPr>
          <w:rFonts w:cs="Times New Roman"/>
        </w:rPr>
        <w:lastRenderedPageBreak/>
        <w:t xml:space="preserve">Following from this, a screening program to investigate the functional differences of taxa colonising apple with the aim of identifying species which are able to provide the greatest benefit to young apple trees could be used to develop work which has demonstrated functional differences between AMF taxa </w:t>
      </w:r>
      <w:r>
        <w:rPr>
          <w:rFonts w:cs="Times New Roman"/>
        </w:rPr>
        <w:fldChar w:fldCharType="begin"/>
      </w:r>
      <w:r w:rsidR="0054501B">
        <w:rPr>
          <w:rFonts w:cs="Times New Roman"/>
        </w:rPr>
        <w:instrText xml:space="preserve"> ADDIN ZOTERO_ITEM CSL_CITATION {"citationID":"KcMFEF0x","properties":{"formattedCitation":"(Maherali &amp; Klironomos, 2007)","plainCitation":"(Maherali &amp; Klironomos, 2007)"},"citationItems":[{"id":573,"uris":["http://zotero.org/users/local/d1gJDEOw/items/I7SQ23TH"],"uri":["http://zotero.org/users/local/d1gJDEOw/items/I7SQ23TH"],"itemData":{"id":573,"type":"article-journal","title":"Influence of Phylogeny on fungal community assembly and ecosystem functioning","container-title":"Science","page":"1746-1748","volume":"316","issue":"5832","source":"Web of Science","abstract":"Ecology seeks to explain species coexistence and its functional consequences, but experimental tests of mechanisms that simultaneously account for both processes are difficult. We used an experimental mycorrhizal plant system to test whether functional similarity among closely related species (phylogenetic conservatism) can drive community assembly and ecosystem functioning. Communities were constructed with the same number of fungal species, but after 1 year of growth, realized species richness was highest where the starting species were more distantly related to each other. Communities with high realized species richness also stimulated plant productivity more than those with low realized species richness. Our findings suggest that phylogenetic trait conservatism can promote coexistence because of reduced competition between distinct evolutionary lineages and enhance ecosystem function because of functional complementarity among those same lineages.","DOI":"10.1126/science.1143082","ISSN":"0036-8075","note":"WOS:000247400500047","journalAbbreviation":"Science","language":"English","author":[{"family":"Maherali","given":"Hafiz"},{"family":"Klironomos","given":"John N."}],"issued":{"date-parts":[["2007",6,22]]}}}],"schema":"https://github.com/citation-style-language/schema/raw/master/csl-citation.json"} </w:instrText>
      </w:r>
      <w:r>
        <w:rPr>
          <w:rFonts w:cs="Times New Roman"/>
        </w:rPr>
        <w:fldChar w:fldCharType="separate"/>
      </w:r>
      <w:r w:rsidR="0054501B" w:rsidRPr="0054501B">
        <w:rPr>
          <w:rFonts w:cs="Times New Roman"/>
        </w:rPr>
        <w:t>(</w:t>
      </w:r>
      <w:proofErr w:type="spellStart"/>
      <w:r w:rsidR="0054501B" w:rsidRPr="0054501B">
        <w:rPr>
          <w:rFonts w:cs="Times New Roman"/>
        </w:rPr>
        <w:t>Maherali</w:t>
      </w:r>
      <w:proofErr w:type="spellEnd"/>
      <w:r w:rsidR="0054501B" w:rsidRPr="0054501B">
        <w:rPr>
          <w:rFonts w:cs="Times New Roman"/>
        </w:rPr>
        <w:t xml:space="preserve"> &amp; </w:t>
      </w:r>
      <w:proofErr w:type="spellStart"/>
      <w:r w:rsidR="0054501B" w:rsidRPr="0054501B">
        <w:rPr>
          <w:rFonts w:cs="Times New Roman"/>
        </w:rPr>
        <w:t>Klironomos</w:t>
      </w:r>
      <w:proofErr w:type="spellEnd"/>
      <w:r w:rsidR="0054501B" w:rsidRPr="0054501B">
        <w:rPr>
          <w:rFonts w:cs="Times New Roman"/>
        </w:rPr>
        <w:t>, 2007)</w:t>
      </w:r>
      <w:r>
        <w:rPr>
          <w:rFonts w:cs="Times New Roman"/>
        </w:rPr>
        <w:fldChar w:fldCharType="end"/>
      </w:r>
      <w:r>
        <w:rPr>
          <w:rFonts w:cs="Times New Roman"/>
        </w:rPr>
        <w:t xml:space="preserve">. Given that AMF vary in their benefit to different host plants </w:t>
      </w:r>
      <w:r>
        <w:rPr>
          <w:rFonts w:cs="Times New Roman"/>
        </w:rPr>
        <w:fldChar w:fldCharType="begin"/>
      </w:r>
      <w:r w:rsidR="00954B3D">
        <w:rPr>
          <w:rFonts w:cs="Times New Roman"/>
        </w:rPr>
        <w:instrText xml:space="preserve"> ADDIN ZOTERO_ITEM CSL_CITATION {"citationID":"qvcit3slt","properties":{"formattedCitation":"{\\rtf (Hart &amp; Reader, 2002; Uibopuu {\\i{}et al.}, 2012)}","plainCitation":"(Hart &amp; Reader, 2002; Uibopuu et al., 2012)"},"citationItems":[{"id":388,"uris":["http://zotero.org/users/local/d1gJDEOw/items/FTCNN6QR"],"uri":["http://zotero.org/users/local/d1gJDEOw/items/FTCNN6QR"],"itemData":{"id":388,"type":"article-journal","title":"Host plant benefit from association with arbuscular mycorrhizal fungi: variation due to differences in size of mycelium","container-title":"Biology and Fertility of Soils","page":"357-366","volume":"36","issue":"5","source":"CrossRef","DOI":"10.1007/s00374-002-0539-4","ISSN":"0178-2762, 1432-0789","shortTitle":"Host plant benefit from association with arbuscular mycorrhizal fungi","author":[{"family":"Hart","given":"Miranda"},{"family":"Reader","given":"Richard"}],"issued":{"date-parts":[["2002",11,1]]}}},{"id":350,"uris":["http://zotero.org/users/local/d1gJDEOw/items/MS3RJCAS"],"uri":["http://zotero.org/users/local/d1gJDEOw/items/MS3RJCAS"],"itemData":{"id":350,"type":"article-journal","title":"Temperate forest understorey species performance is altered by local arbuscular mycorrhizal fungal communities from stands of different successional stages","container-title":"Plant and Soil","page":"331-339","volume":"356","issue":"1-2","source":"link.springer.com","abstract":"Background and AimsArbuscular mycorrhizal (AM) fungal communities in plant roots vary in space and time. However, the effect of different fungal communities on plant performance and growth is poorly understood.MethodsWe test the effect of two AM fungal communities originating from successionally young and old forest stands on eight forest plant species.ResultsTwo plant species (Geranium pratense, Prunella vulgaris) showed greater positive mycorrhizal growth response to old forest than to young forest inoculum. Hypericum maculatum showed higher positive growth response to old forest inoculum with respect to shoot biomass and Veronica chamaedrys with respect to root biomass. Fragaria vesca, Plantago lanceolata and Primula veris showed no difference in response to old and young forest inoculum, Solidago virgaurea grew better with young forest inoculum. The naturally growing plant individuals of G. pratense and P. vulgaris were also significantly larger in old stands.ConclusionsThe effect of AM fungal communities from differently managed forests resulted in different growth of forest plant species; the old growth inoculum exhibited in general a more positive effect than inoculum from young forest. Because land use affects the composition of AM fungal communities, the response of plant communities to forest management intensity may be mediated by mycorrhizal interactions.","DOI":"10.1007/s11104-011-1116-0","ISSN":"0032-079X, 1573-5036","journalAbbreviation":"Plant Soil","language":"en","author":[{"family":"Uibopuu","given":"Annika"},{"family":"Moora","given":"Mari"},{"family":"Öpik","given":"Maarja"},{"family":"Zobel","given":"Martin"}],"issued":{"date-parts":[["2012",1,21]]}}}],"schema":"https://github.com/citation-style-language/schema/raw/master/csl-citation.json"} </w:instrText>
      </w:r>
      <w:r>
        <w:rPr>
          <w:rFonts w:cs="Times New Roman"/>
        </w:rPr>
        <w:fldChar w:fldCharType="separate"/>
      </w:r>
      <w:r w:rsidR="00954B3D" w:rsidRPr="00954B3D">
        <w:rPr>
          <w:rFonts w:cs="Times New Roman"/>
          <w:szCs w:val="24"/>
        </w:rPr>
        <w:t xml:space="preserve">(Hart &amp; Reader, 2002; </w:t>
      </w:r>
      <w:proofErr w:type="spellStart"/>
      <w:r w:rsidR="00954B3D" w:rsidRPr="00954B3D">
        <w:rPr>
          <w:rFonts w:cs="Times New Roman"/>
          <w:szCs w:val="24"/>
        </w:rPr>
        <w:t>Uibopuu</w:t>
      </w:r>
      <w:proofErr w:type="spellEnd"/>
      <w:r w:rsidR="00954B3D" w:rsidRPr="00954B3D">
        <w:rPr>
          <w:rFonts w:cs="Times New Roman"/>
          <w:szCs w:val="24"/>
        </w:rPr>
        <w:t xml:space="preserve"> </w:t>
      </w:r>
      <w:r w:rsidR="00954B3D" w:rsidRPr="00954B3D">
        <w:rPr>
          <w:rFonts w:cs="Times New Roman"/>
          <w:i/>
          <w:iCs/>
          <w:szCs w:val="24"/>
        </w:rPr>
        <w:t>et al.</w:t>
      </w:r>
      <w:r w:rsidR="00954B3D" w:rsidRPr="00954B3D">
        <w:rPr>
          <w:rFonts w:cs="Times New Roman"/>
          <w:szCs w:val="24"/>
        </w:rPr>
        <w:t>, 2012)</w:t>
      </w:r>
      <w:r>
        <w:rPr>
          <w:rFonts w:cs="Times New Roman"/>
        </w:rPr>
        <w:fldChar w:fldCharType="end"/>
      </w:r>
      <w:r>
        <w:rPr>
          <w:rFonts w:cs="Times New Roman"/>
        </w:rPr>
        <w:t xml:space="preserve"> it is important to investigate functional difference of AMF when colonising apple for this to be of use for cider apple growers. </w:t>
      </w:r>
    </w:p>
    <w:p w:rsidR="00D33359" w:rsidRPr="001968FA" w:rsidRDefault="00D33359" w:rsidP="00D33359">
      <w:pPr>
        <w:rPr>
          <w:rFonts w:cs="Times New Roman"/>
        </w:rPr>
      </w:pPr>
      <w:r w:rsidRPr="001968FA">
        <w:rPr>
          <w:rFonts w:cs="Times New Roman"/>
        </w:rPr>
        <w:t>Other work which would build on the results of this thesis are outlined below.</w:t>
      </w:r>
    </w:p>
    <w:p w:rsidR="00D33359" w:rsidRPr="004A22D7" w:rsidRDefault="00D33359" w:rsidP="004A22D7">
      <w:pPr>
        <w:pStyle w:val="Heading5"/>
        <w:rPr>
          <w:rStyle w:val="SubtleEmphasis"/>
          <w:i/>
          <w:iCs w:val="0"/>
          <w:color w:val="auto"/>
        </w:rPr>
      </w:pPr>
      <w:r w:rsidRPr="004A22D7">
        <w:rPr>
          <w:rStyle w:val="SubtleEmphasis"/>
          <w:i/>
          <w:iCs w:val="0"/>
          <w:color w:val="auto"/>
        </w:rPr>
        <w:t xml:space="preserve">Quantification of AMF abundance within orchards. </w:t>
      </w:r>
    </w:p>
    <w:p w:rsidR="00D33359" w:rsidRPr="000F2456" w:rsidRDefault="00D33359" w:rsidP="000F2456">
      <w:pPr>
        <w:spacing w:after="0"/>
        <w:rPr>
          <w:i/>
          <w:iCs/>
          <w:color w:val="404040" w:themeColor="text1" w:themeTint="BF"/>
        </w:rPr>
      </w:pPr>
      <w:r w:rsidRPr="00EA691D">
        <w:rPr>
          <w:rFonts w:cs="Times New Roman"/>
        </w:rPr>
        <w:t>Chapter 2 showed that application of inorganic fertilisers at recommended levels reduced AMF colonisation of two AMF species by circa 50% compared to a lower nutrient application. However measurements of the AMF community composition and richness within orchards receiving fertiliser applications showed no difference when compared to orchards receiving no chemical inputs. An interesting question arising from this result is whether fertiliser application is reducing abundance of AMF within established orchards in the same way as reported for young trees in Chapter 2. AMF abundan</w:t>
      </w:r>
      <w:r>
        <w:rPr>
          <w:rFonts w:cs="Times New Roman"/>
        </w:rPr>
        <w:t xml:space="preserve">ce could be measured using qPCR or by using PLFA/NFLA analysis </w:t>
      </w:r>
      <w:r>
        <w:rPr>
          <w:rFonts w:cs="Times New Roman"/>
        </w:rPr>
        <w:fldChar w:fldCharType="begin"/>
      </w:r>
      <w:r w:rsidR="00954B3D">
        <w:rPr>
          <w:rFonts w:cs="Times New Roman"/>
        </w:rPr>
        <w:instrText xml:space="preserve"> ADDIN ZOTERO_ITEM CSL_CITATION {"citationID":"235ictks4p","properties":{"formattedCitation":"{\\rtf (Olsson {\\i{}et al.}, 1997)}","plainCitation":"(Olsson et al., 1997)"},"citationItems":[{"id":725,"uris":["http://zotero.org/users/local/d1gJDEOw/items/PHCTQIQR"],"uri":["http://zotero.org/users/local/d1gJDEOw/items/PHCTQIQR"],"itemData":{"id":725,"type":"article-journal","title":"Phosphorus Effects on the Mycelium and Storage Structures of an Arbuscular Mycorrhizal Fungus as Studied in the Soil and Roots by Analysis of Fatty Acid Signatures","container-title":"Applied and Environmental Microbiology","page":"3531-3538","volume":"63","issue":"9","source":"PubMed Central","abstract":"The distribution of an arbuscular mycorrhizal (AM) fungus between soil and roots, and between mycelial and storage structures, was studied by use of the fatty acid signature 16:1(omega)5. Increasing the soil phosphorus level resulted in a decrease in the level of the fatty acid 16:1(omega)5 in the soil and roots. A similar decrease was detected by microscopic measurements of root colonization and of the length of AM fungal hyphae in the soil. The fatty acid 16:1(omega)5 was estimated from two types of lipids, phospholipids and neutral lipids, which mainly represent membrane lipids and storage lipids, respectively. The numbers of spores of the AM fungus formed in the soil correlated most closely with neutral lipid fatty acid 16:1(omega)5, whereas the hyphal length in the soil correlated most closely with phospholipid fatty acid 16:1(omega)5. The fungal neutral lipid/phospholipid ratio in the extraradical mycelium was positively correlated with the level of root infection and thus decreased with increasing applications of P. The neutral lipid/phospholipid ratio indicated that at high P levels, less carbon was allocated to storage structures. At all levels of P applied, the major part of the AM fungus was found to be present outside the roots, as estimated from phospholipid fatty acid 16:1(omega)5. The ratio of extraradical biomass/intraradical biomass was not affected by the application of P, except for a decrease at the highest level of P applied.","ISSN":"0099-2240","note":"PMID: 16535691\nPMCID: PMC1389247","journalAbbreviation":"Appl Environ Microbiol","author":[{"family":"Olsson","given":"P. A."},{"family":"Baath","given":"E."},{"family":"Jakobsen","given":"I."}],"issued":{"date-parts":[["1997",9]]}}}],"schema":"https://github.com/citation-style-language/schema/raw/master/csl-citation.json"} </w:instrText>
      </w:r>
      <w:r>
        <w:rPr>
          <w:rFonts w:cs="Times New Roman"/>
        </w:rPr>
        <w:fldChar w:fldCharType="separate"/>
      </w:r>
      <w:r w:rsidR="00954B3D" w:rsidRPr="00954B3D">
        <w:rPr>
          <w:rFonts w:cs="Times New Roman"/>
          <w:szCs w:val="24"/>
        </w:rPr>
        <w:t xml:space="preserve">(Olsson </w:t>
      </w:r>
      <w:r w:rsidR="00954B3D" w:rsidRPr="00954B3D">
        <w:rPr>
          <w:rFonts w:cs="Times New Roman"/>
          <w:i/>
          <w:iCs/>
          <w:szCs w:val="24"/>
        </w:rPr>
        <w:t>et al.</w:t>
      </w:r>
      <w:r w:rsidR="00954B3D" w:rsidRPr="00954B3D">
        <w:rPr>
          <w:rFonts w:cs="Times New Roman"/>
          <w:szCs w:val="24"/>
        </w:rPr>
        <w:t>, 1997)</w:t>
      </w:r>
      <w:r>
        <w:rPr>
          <w:rFonts w:cs="Times New Roman"/>
        </w:rPr>
        <w:fldChar w:fldCharType="end"/>
      </w:r>
      <w:r>
        <w:rPr>
          <w:rFonts w:cs="Times New Roman"/>
        </w:rPr>
        <w:t xml:space="preserve"> </w:t>
      </w:r>
      <w:r w:rsidRPr="00EA691D">
        <w:rPr>
          <w:rFonts w:cs="Times New Roman"/>
        </w:rPr>
        <w:t>of apple root samples</w:t>
      </w:r>
      <w:r>
        <w:rPr>
          <w:rFonts w:cs="Times New Roman"/>
        </w:rPr>
        <w:t xml:space="preserve"> from the same trees and</w:t>
      </w:r>
      <w:r w:rsidRPr="00EA691D">
        <w:rPr>
          <w:rFonts w:cs="Times New Roman"/>
        </w:rPr>
        <w:t xml:space="preserve"> orchards as sampled in Chapter 4.  This would be more accurate than using traditional measures of root colonisation such as staining which is problematic in apple roots due t</w:t>
      </w:r>
      <w:r>
        <w:rPr>
          <w:rFonts w:cs="Times New Roman"/>
        </w:rPr>
        <w:t>o tannin content making visualisation of fungal structures difficult</w:t>
      </w:r>
      <w:r w:rsidRPr="00EA691D">
        <w:rPr>
          <w:rFonts w:cs="Times New Roman"/>
        </w:rPr>
        <w:t>.</w:t>
      </w:r>
    </w:p>
    <w:p w:rsidR="00D33359" w:rsidRDefault="00D33359" w:rsidP="00D33359">
      <w:pPr>
        <w:pStyle w:val="Heading5"/>
        <w:numPr>
          <w:ilvl w:val="0"/>
          <w:numId w:val="0"/>
        </w:numPr>
      </w:pPr>
      <w:r w:rsidRPr="001968FA">
        <w:t>Illumina sequencing of apple root DNA samples</w:t>
      </w:r>
    </w:p>
    <w:p w:rsidR="00D33359" w:rsidRPr="00EA691D" w:rsidRDefault="00D33359" w:rsidP="00D33359">
      <w:pPr>
        <w:spacing w:after="0"/>
        <w:rPr>
          <w:rFonts w:cs="Times New Roman"/>
        </w:rPr>
      </w:pPr>
      <w:r w:rsidRPr="001968FA">
        <w:rPr>
          <w:rFonts w:cs="Times New Roman"/>
        </w:rPr>
        <w:t>Applying the sequencing methodology described in Chapter 3 to sequence apple root DNA samples which were analysed using TRFLP analysis in Chapter 4 would be very informative for identifying the AMF taxa colonising apple roots. This would allow us to (</w:t>
      </w:r>
      <w:proofErr w:type="spellStart"/>
      <w:r w:rsidRPr="001968FA">
        <w:rPr>
          <w:rFonts w:cs="Times New Roman"/>
        </w:rPr>
        <w:t>i</w:t>
      </w:r>
      <w:proofErr w:type="spellEnd"/>
      <w:r w:rsidRPr="001968FA">
        <w:rPr>
          <w:rFonts w:cs="Times New Roman"/>
        </w:rPr>
        <w:t>) understand more fully the AMF</w:t>
      </w:r>
      <w:r>
        <w:rPr>
          <w:rFonts w:cs="Times New Roman"/>
        </w:rPr>
        <w:t xml:space="preserve"> </w:t>
      </w:r>
      <w:r w:rsidRPr="001968FA">
        <w:rPr>
          <w:rFonts w:cs="Times New Roman"/>
        </w:rPr>
        <w:t>communities colonising apple trees (ii) have a better understanding of the ecology of these AM</w:t>
      </w:r>
      <w:r>
        <w:rPr>
          <w:rFonts w:cs="Times New Roman"/>
        </w:rPr>
        <w:t>F</w:t>
      </w:r>
      <w:r w:rsidRPr="001968FA">
        <w:rPr>
          <w:rFonts w:cs="Times New Roman"/>
        </w:rPr>
        <w:t xml:space="preserve"> taxa by comparing those colonising apple roots collected from the field to those which are represented in the leek bait plant trap culture systems.</w:t>
      </w:r>
      <w:r>
        <w:rPr>
          <w:rFonts w:cs="Times New Roman"/>
        </w:rPr>
        <w:t xml:space="preserve"> Additionally collection of data relating to plant available nutrients (particularly N and P) </w:t>
      </w:r>
      <w:r w:rsidRPr="001968FA">
        <w:rPr>
          <w:rFonts w:cs="Times New Roman"/>
        </w:rPr>
        <w:t xml:space="preserve">and pH from the sampled orchard, woodland and arable sites would be </w:t>
      </w:r>
      <w:r>
        <w:rPr>
          <w:rFonts w:cs="Times New Roman"/>
        </w:rPr>
        <w:t xml:space="preserve">useful for </w:t>
      </w:r>
      <w:r w:rsidRPr="001968FA">
        <w:rPr>
          <w:rFonts w:cs="Times New Roman"/>
        </w:rPr>
        <w:t xml:space="preserve">improving understanding of the drivers of AMF communities. Plant available N and P could be easily measured from fresh soils samples using </w:t>
      </w:r>
      <w:proofErr w:type="spellStart"/>
      <w:r w:rsidRPr="001968FA">
        <w:rPr>
          <w:rFonts w:cs="Times New Roman"/>
        </w:rPr>
        <w:t>KC</w:t>
      </w:r>
      <w:r>
        <w:rPr>
          <w:rFonts w:cs="Times New Roman"/>
        </w:rPr>
        <w:t>l</w:t>
      </w:r>
      <w:proofErr w:type="spellEnd"/>
      <w:r w:rsidRPr="001968FA">
        <w:rPr>
          <w:rFonts w:cs="Times New Roman"/>
        </w:rPr>
        <w:t xml:space="preserve"> extraction (NO3</w:t>
      </w:r>
      <w:r w:rsidRPr="001968FA">
        <w:rPr>
          <w:rFonts w:cs="Times New Roman"/>
          <w:vertAlign w:val="subscript"/>
        </w:rPr>
        <w:t>-</w:t>
      </w:r>
      <w:r w:rsidRPr="001968FA">
        <w:rPr>
          <w:rFonts w:cs="Times New Roman"/>
        </w:rPr>
        <w:t xml:space="preserve"> and NH4</w:t>
      </w:r>
      <w:r w:rsidRPr="001968FA">
        <w:rPr>
          <w:rFonts w:cs="Times New Roman"/>
          <w:vertAlign w:val="superscript"/>
        </w:rPr>
        <w:t>+</w:t>
      </w:r>
      <w:r w:rsidRPr="001968FA">
        <w:rPr>
          <w:rFonts w:cs="Times New Roman"/>
        </w:rPr>
        <w:t xml:space="preserve">) and </w:t>
      </w:r>
      <w:proofErr w:type="spellStart"/>
      <w:r w:rsidRPr="001968FA">
        <w:rPr>
          <w:rFonts w:cs="Times New Roman"/>
        </w:rPr>
        <w:t>Ohlsens</w:t>
      </w:r>
      <w:proofErr w:type="spellEnd"/>
      <w:r w:rsidRPr="001968FA">
        <w:rPr>
          <w:rFonts w:cs="Times New Roman"/>
        </w:rPr>
        <w:t xml:space="preserve"> P extraction, followed by colorimetric measurements on a spectrophotometer/ Flow Injection Analyser. </w:t>
      </w:r>
    </w:p>
    <w:p w:rsidR="00D33359" w:rsidRPr="00216E5B" w:rsidRDefault="00D33359" w:rsidP="00884BA9">
      <w:pPr>
        <w:pStyle w:val="Heading2"/>
      </w:pPr>
      <w:bookmarkStart w:id="511" w:name="_Toc469855081"/>
      <w:bookmarkStart w:id="512" w:name="_Toc469856081"/>
      <w:bookmarkStart w:id="513" w:name="_Toc469931990"/>
      <w:bookmarkStart w:id="514" w:name="_Toc469982311"/>
      <w:r>
        <w:t>Summary</w:t>
      </w:r>
      <w:bookmarkEnd w:id="511"/>
      <w:bookmarkEnd w:id="512"/>
      <w:bookmarkEnd w:id="513"/>
      <w:bookmarkEnd w:id="514"/>
    </w:p>
    <w:p w:rsidR="008C2B4A" w:rsidRDefault="00D33359" w:rsidP="004A22D7">
      <w:pPr>
        <w:rPr>
          <w:rFonts w:cs="Times New Roman"/>
        </w:rPr>
      </w:pPr>
      <w:r w:rsidRPr="007F4C27">
        <w:rPr>
          <w:rFonts w:cs="Times New Roman"/>
        </w:rPr>
        <w:t xml:space="preserve">This thesis provides evidence that AMF are able to provide disease resistance benefits to apple and are therefore beneficial to sustainable apple production. Furthermore this work has shown that irrespective of management types, the three most common types of cider apple orchards planted within the UK are able to naturally host a diverse AMF community that shows similarity </w:t>
      </w:r>
      <w:r w:rsidRPr="007F4C27">
        <w:rPr>
          <w:rFonts w:cs="Times New Roman"/>
        </w:rPr>
        <w:lastRenderedPageBreak/>
        <w:t xml:space="preserve">to woodland AMF communities. </w:t>
      </w:r>
      <w:r>
        <w:rPr>
          <w:rFonts w:cs="Times New Roman"/>
        </w:rPr>
        <w:t>These results have significant implications for management practices and suggests several areas</w:t>
      </w:r>
      <w:r w:rsidR="004A22D7">
        <w:rPr>
          <w:rFonts w:cs="Times New Roman"/>
        </w:rPr>
        <w:t xml:space="preserve"> of potential fruitful research</w:t>
      </w:r>
      <w:r w:rsidR="000F2456">
        <w:rPr>
          <w:rFonts w:cs="Times New Roman"/>
        </w:rPr>
        <w:t>.</w:t>
      </w:r>
      <w:r w:rsidR="008C2B4A">
        <w:rPr>
          <w:rFonts w:cs="Times New Roman"/>
        </w:rPr>
        <w:br w:type="page"/>
      </w:r>
    </w:p>
    <w:p w:rsidR="002F645F" w:rsidRDefault="002F645F" w:rsidP="004A22D7">
      <w:pPr>
        <w:rPr>
          <w:rFonts w:cs="Times New Roman"/>
        </w:rPr>
      </w:pPr>
    </w:p>
    <w:p w:rsidR="006E78F2" w:rsidRDefault="006E78F2" w:rsidP="004A22D7">
      <w:pPr>
        <w:rPr>
          <w:rFonts w:cs="Times New Roman"/>
        </w:rPr>
        <w:sectPr w:rsidR="006E78F2" w:rsidSect="003D51BC">
          <w:pgSz w:w="11906" w:h="16838" w:code="9"/>
          <w:pgMar w:top="1134" w:right="1134" w:bottom="1134" w:left="2268" w:header="709" w:footer="709" w:gutter="0"/>
          <w:cols w:space="708"/>
          <w:docGrid w:linePitch="360"/>
        </w:sectPr>
      </w:pPr>
    </w:p>
    <w:p w:rsidR="006E78F2" w:rsidRDefault="006E78F2" w:rsidP="00B22A79">
      <w:pPr>
        <w:pStyle w:val="Heading6"/>
      </w:pPr>
    </w:p>
    <w:p w:rsidR="006E78F2" w:rsidRDefault="006E78F2" w:rsidP="006E78F2">
      <w:pPr>
        <w:pStyle w:val="Heading7"/>
      </w:pPr>
      <w:r>
        <w:t>Fertiliser Application Treatments</w:t>
      </w:r>
    </w:p>
    <w:p w:rsidR="006E78F2" w:rsidRDefault="006E78F2" w:rsidP="006E78F2">
      <w:pPr>
        <w:rPr>
          <w:rFonts w:cs="Times New Roman"/>
        </w:rPr>
      </w:pPr>
      <w:r w:rsidRPr="008F525A">
        <w:rPr>
          <w:rFonts w:cs="Times New Roman"/>
        </w:rPr>
        <w:t>Nutrient applications for the first growing season were based on the DEFRA recommended nutrient application for cider apple orchards in the first year following planting for soil index of 0</w:t>
      </w:r>
      <w:r w:rsidR="00B15DDB">
        <w:rPr>
          <w:rFonts w:cs="Times New Roman"/>
        </w:rPr>
        <w:t xml:space="preserve"> </w:t>
      </w:r>
      <w:r w:rsidR="00B15DDB">
        <w:rPr>
          <w:rFonts w:cs="Times New Roman"/>
        </w:rPr>
        <w:fldChar w:fldCharType="begin"/>
      </w:r>
      <w:r w:rsidR="00954B3D">
        <w:rPr>
          <w:rFonts w:cs="Times New Roman"/>
        </w:rPr>
        <w:instrText xml:space="preserve"> ADDIN ZOTERO_ITEM CSL_CITATION {"citationID":"gelibhkvk","properties":{"formattedCitation":"(DEFRA, 2010c)","plainCitation":"(DEFRA, 2010c)"},"citationItems":[{"id":188,"uris":["http://zotero.org/users/local/d1gJDEOw/items/AZARUKR3"],"uri":["http://zotero.org/users/local/d1gJDEOw/items/AZARUKR3"],"itemData":{"id":188,"type":"article","title":"Fertiliser Manual (RB209) 8th Edition","publisher":"The Stationary Office, UK","author":[{"family":"DEFRA","given":""}],"issued":{"date-parts":[["2010"]]}}}],"schema":"https://github.com/citation-style-language/schema/raw/master/csl-citation.json"} </w:instrText>
      </w:r>
      <w:r w:rsidR="00B15DDB">
        <w:rPr>
          <w:rFonts w:cs="Times New Roman"/>
        </w:rPr>
        <w:fldChar w:fldCharType="separate"/>
      </w:r>
      <w:r w:rsidR="00954B3D" w:rsidRPr="00954B3D">
        <w:rPr>
          <w:rFonts w:cs="Times New Roman"/>
        </w:rPr>
        <w:t>(DEFRA, 2010c)</w:t>
      </w:r>
      <w:r w:rsidR="00B15DDB">
        <w:rPr>
          <w:rFonts w:cs="Times New Roman"/>
        </w:rPr>
        <w:fldChar w:fldCharType="end"/>
      </w:r>
      <w:r w:rsidRPr="008F525A">
        <w:rPr>
          <w:rFonts w:cs="Times New Roman"/>
        </w:rPr>
        <w:t>.  Application</w:t>
      </w:r>
      <w:r w:rsidRPr="007C2ECB">
        <w:rPr>
          <w:rFonts w:cs="Times New Roman"/>
        </w:rPr>
        <w:t xml:space="preserve"> rates per tree were calculated using recommended application per hectare and assuming that trees were planted at a density of 750 trees per hectare following industry recommendations for the planting of the selected varieties and rootstocks within a commercial bush orchard </w:t>
      </w:r>
      <w:r w:rsidRPr="007C2ECB">
        <w:rPr>
          <w:rFonts w:cs="Times New Roman"/>
        </w:rPr>
        <w:fldChar w:fldCharType="begin"/>
      </w:r>
      <w:r w:rsidRPr="007C2ECB">
        <w:rPr>
          <w:rFonts w:cs="Times New Roman"/>
        </w:rPr>
        <w:instrText xml:space="preserve"> ADDIN EN.CITE &lt;EndNote&gt;&lt;Cite&gt;&lt;Author&gt;Williams&lt;/Author&gt;&lt;Year&gt;2000&lt;/Year&gt;&lt;IDText&gt;Cider and Juice Apples: Growing and processes&lt;/IDText&gt;&lt;DisplayText&gt;(Williams, 2000)&lt;/DisplayText&gt;&lt;record&gt;&lt;titles&gt;&lt;title&gt;Cider and Juice Apples: Growing and processes&lt;/title&gt;&lt;/titles&gt;&lt;contributors&gt;&lt;authors&gt;&lt;author&gt;Williams&lt;/author&gt;&lt;/authors&gt;&lt;/contributors&gt;&lt;added-date format="utc"&gt;1358981529&lt;/added-date&gt;&lt;ref-type name="Book"&gt;6&lt;/ref-type&gt;&lt;dates&gt;&lt;year&gt;2000&lt;/year&gt;&lt;/dates&gt;&lt;rec-number&gt;191&lt;/rec-number&gt;&lt;publisher&gt;University of Bristol Printing Unit&lt;/publisher&gt;&lt;last-updated-date format="utc"&gt;1358982072&lt;/last-updated-date&gt;&lt;/record&gt;&lt;/Cite&gt;&lt;/EndNote&gt;</w:instrText>
      </w:r>
      <w:r w:rsidRPr="007C2ECB">
        <w:rPr>
          <w:rFonts w:cs="Times New Roman"/>
        </w:rPr>
        <w:fldChar w:fldCharType="separate"/>
      </w:r>
      <w:r w:rsidRPr="007C2ECB">
        <w:rPr>
          <w:rFonts w:cs="Times New Roman"/>
          <w:noProof/>
        </w:rPr>
        <w:t>(Williams, 2000)</w:t>
      </w:r>
      <w:r w:rsidRPr="007C2ECB">
        <w:rPr>
          <w:rFonts w:cs="Times New Roman"/>
        </w:rPr>
        <w:fldChar w:fldCharType="end"/>
      </w:r>
      <w:r w:rsidRPr="007C2ECB">
        <w:rPr>
          <w:rFonts w:cs="Times New Roman"/>
        </w:rPr>
        <w:t>. This was then reduced to 1/4</w:t>
      </w:r>
      <w:r w:rsidRPr="007C2ECB">
        <w:rPr>
          <w:rFonts w:cs="Times New Roman"/>
          <w:vertAlign w:val="superscript"/>
        </w:rPr>
        <w:t>th</w:t>
      </w:r>
      <w:r w:rsidRPr="007C2ECB">
        <w:rPr>
          <w:rFonts w:cs="Times New Roman"/>
        </w:rPr>
        <w:t xml:space="preserve"> to account for the improved efficiency of tree nutrient uptake due to the trees growing in pots and therefore a restricted area in comparison to an orchard.</w:t>
      </w:r>
      <w:r>
        <w:rPr>
          <w:rFonts w:cs="Times New Roman"/>
        </w:rPr>
        <w:t xml:space="preserve"> Trees in the ‘low nutrient</w:t>
      </w:r>
      <w:r w:rsidRPr="007C2ECB">
        <w:rPr>
          <w:rFonts w:cs="Times New Roman"/>
        </w:rPr>
        <w:t>’ treatment received 1/10</w:t>
      </w:r>
      <w:r w:rsidRPr="007C2ECB">
        <w:rPr>
          <w:rFonts w:cs="Times New Roman"/>
          <w:vertAlign w:val="superscript"/>
        </w:rPr>
        <w:t>th</w:t>
      </w:r>
      <w:r>
        <w:rPr>
          <w:rFonts w:cs="Times New Roman"/>
        </w:rPr>
        <w:t xml:space="preserve"> of the macronutrient appl</w:t>
      </w:r>
      <w:r w:rsidR="00B15DDB">
        <w:rPr>
          <w:rFonts w:cs="Times New Roman"/>
        </w:rPr>
        <w:t>i</w:t>
      </w:r>
      <w:r>
        <w:rPr>
          <w:rFonts w:cs="Times New Roman"/>
        </w:rPr>
        <w:t>cations applied to the ‘high</w:t>
      </w:r>
      <w:r w:rsidRPr="007C2ECB">
        <w:rPr>
          <w:rFonts w:cs="Times New Roman"/>
        </w:rPr>
        <w:t>’</w:t>
      </w:r>
      <w:r w:rsidR="00B15DDB">
        <w:rPr>
          <w:rFonts w:cs="Times New Roman"/>
        </w:rPr>
        <w:t xml:space="preserve"> </w:t>
      </w:r>
      <w:r>
        <w:rPr>
          <w:rFonts w:cs="Times New Roman"/>
        </w:rPr>
        <w:t>nutrient</w:t>
      </w:r>
      <w:r w:rsidRPr="007C2ECB">
        <w:rPr>
          <w:rFonts w:cs="Times New Roman"/>
        </w:rPr>
        <w:t xml:space="preserve"> treatment.  All nutrients were applied in the fertiliser forms as used for a commercial bush o</w:t>
      </w:r>
      <w:r>
        <w:rPr>
          <w:rFonts w:cs="Times New Roman"/>
        </w:rPr>
        <w:t xml:space="preserve">rchard:  </w:t>
      </w:r>
      <w:proofErr w:type="spellStart"/>
      <w:r>
        <w:rPr>
          <w:rFonts w:cs="Times New Roman"/>
        </w:rPr>
        <w:t>Yara</w:t>
      </w:r>
      <w:proofErr w:type="spellEnd"/>
      <w:r>
        <w:rPr>
          <w:rFonts w:cs="Times New Roman"/>
        </w:rPr>
        <w:t xml:space="preserve"> Krista </w:t>
      </w:r>
      <w:proofErr w:type="spellStart"/>
      <w:r>
        <w:rPr>
          <w:rFonts w:cs="Times New Roman"/>
        </w:rPr>
        <w:t>MgS</w:t>
      </w:r>
      <w:proofErr w:type="spellEnd"/>
      <w:r w:rsidR="00B07AB7">
        <w:rPr>
          <w:rFonts w:cs="Times New Roman"/>
        </w:rPr>
        <w:t xml:space="preserve"> (16% </w:t>
      </w:r>
      <w:proofErr w:type="spellStart"/>
      <w:r w:rsidR="00B07AB7">
        <w:rPr>
          <w:rFonts w:cs="Times New Roman"/>
        </w:rPr>
        <w:t>MgO</w:t>
      </w:r>
      <w:proofErr w:type="spellEnd"/>
      <w:r w:rsidR="00B07AB7">
        <w:rPr>
          <w:rFonts w:cs="Times New Roman"/>
        </w:rPr>
        <w:t>)</w:t>
      </w:r>
      <w:r>
        <w:rPr>
          <w:rFonts w:cs="Times New Roman"/>
        </w:rPr>
        <w:t xml:space="preserve">, </w:t>
      </w:r>
      <w:proofErr w:type="spellStart"/>
      <w:r w:rsidRPr="007C2ECB">
        <w:rPr>
          <w:rFonts w:cs="Times New Roman"/>
        </w:rPr>
        <w:t>Yara</w:t>
      </w:r>
      <w:proofErr w:type="spellEnd"/>
      <w:r w:rsidRPr="007C2ECB">
        <w:rPr>
          <w:rFonts w:cs="Times New Roman"/>
        </w:rPr>
        <w:t xml:space="preserve"> Krista Plus K</w:t>
      </w:r>
      <w:r w:rsidR="00B07AB7">
        <w:rPr>
          <w:rFonts w:cs="Times New Roman"/>
        </w:rPr>
        <w:t xml:space="preserve"> (13.7% N, 46.3% K</w:t>
      </w:r>
      <w:r w:rsidR="00B07AB7" w:rsidRPr="00B07AB7">
        <w:rPr>
          <w:rFonts w:cs="Times New Roman"/>
          <w:vertAlign w:val="subscript"/>
        </w:rPr>
        <w:t>2</w:t>
      </w:r>
      <w:r w:rsidR="00B07AB7">
        <w:rPr>
          <w:rFonts w:cs="Times New Roman"/>
        </w:rPr>
        <w:t xml:space="preserve">O), </w:t>
      </w:r>
      <w:proofErr w:type="spellStart"/>
      <w:r w:rsidR="00B07AB7">
        <w:rPr>
          <w:rFonts w:cs="Times New Roman"/>
        </w:rPr>
        <w:t>Yara</w:t>
      </w:r>
      <w:proofErr w:type="spellEnd"/>
      <w:r w:rsidR="00B07AB7">
        <w:rPr>
          <w:rFonts w:cs="Times New Roman"/>
        </w:rPr>
        <w:t xml:space="preserve"> Krista MAP (12% N, 61% P</w:t>
      </w:r>
      <w:r w:rsidR="00B07AB7" w:rsidRPr="00B07AB7">
        <w:rPr>
          <w:rFonts w:cs="Times New Roman"/>
          <w:vertAlign w:val="subscript"/>
        </w:rPr>
        <w:t>2</w:t>
      </w:r>
      <w:r w:rsidR="00B07AB7">
        <w:rPr>
          <w:rFonts w:cs="Times New Roman"/>
        </w:rPr>
        <w:t>O</w:t>
      </w:r>
      <w:r w:rsidR="00B07AB7" w:rsidRPr="00B07AB7">
        <w:rPr>
          <w:rFonts w:cs="Times New Roman"/>
          <w:vertAlign w:val="subscript"/>
        </w:rPr>
        <w:t>5</w:t>
      </w:r>
      <w:proofErr w:type="gramStart"/>
      <w:r w:rsidR="00B07AB7">
        <w:rPr>
          <w:rFonts w:cs="Times New Roman"/>
        </w:rPr>
        <w:t>)</w:t>
      </w:r>
      <w:r w:rsidRPr="007C2ECB">
        <w:rPr>
          <w:rFonts w:cs="Times New Roman"/>
        </w:rPr>
        <w:t xml:space="preserve">  To</w:t>
      </w:r>
      <w:proofErr w:type="gramEnd"/>
      <w:r w:rsidRPr="007C2ECB">
        <w:rPr>
          <w:rFonts w:cs="Times New Roman"/>
        </w:rPr>
        <w:t xml:space="preserve"> reduce leaching losses which would be expected to be higher from pots than from field soils, total nutrient application was divided into weekly treatments applied for 20 weeks over</w:t>
      </w:r>
      <w:r>
        <w:rPr>
          <w:rFonts w:cs="Times New Roman"/>
        </w:rPr>
        <w:t xml:space="preserve"> the growing season (May to mid-</w:t>
      </w:r>
      <w:r w:rsidRPr="007C2ECB">
        <w:rPr>
          <w:rFonts w:cs="Times New Roman"/>
        </w:rPr>
        <w:t xml:space="preserve">September). </w:t>
      </w:r>
      <w:r w:rsidR="00B15DDB">
        <w:rPr>
          <w:rFonts w:cs="Times New Roman"/>
        </w:rPr>
        <w:t xml:space="preserve">All trees were provided with the same micro nutrients </w:t>
      </w:r>
      <w:r w:rsidRPr="007C2ECB">
        <w:rPr>
          <w:rFonts w:cs="Times New Roman"/>
        </w:rPr>
        <w:t xml:space="preserve">(Fe, </w:t>
      </w:r>
      <w:proofErr w:type="spellStart"/>
      <w:r w:rsidRPr="007C2ECB">
        <w:rPr>
          <w:rFonts w:cs="Times New Roman"/>
        </w:rPr>
        <w:t>Mn</w:t>
      </w:r>
      <w:proofErr w:type="spellEnd"/>
      <w:r w:rsidRPr="007C2ECB">
        <w:rPr>
          <w:rFonts w:cs="Times New Roman"/>
        </w:rPr>
        <w:t xml:space="preserve">, S, B, Mo, Zn, </w:t>
      </w:r>
      <w:proofErr w:type="gramStart"/>
      <w:r w:rsidRPr="007C2ECB">
        <w:rPr>
          <w:rFonts w:cs="Times New Roman"/>
        </w:rPr>
        <w:t>Cu</w:t>
      </w:r>
      <w:proofErr w:type="gramEnd"/>
      <w:r w:rsidRPr="007C2ECB">
        <w:rPr>
          <w:rFonts w:cs="Times New Roman"/>
        </w:rPr>
        <w:t xml:space="preserve">) </w:t>
      </w:r>
      <w:r w:rsidR="00B15DDB">
        <w:rPr>
          <w:rFonts w:cs="Times New Roman"/>
        </w:rPr>
        <w:t>which were applied weekly in solution (see micronutrients table</w:t>
      </w:r>
      <w:r>
        <w:rPr>
          <w:rFonts w:cs="Times New Roman"/>
        </w:rPr>
        <w:t>).</w:t>
      </w:r>
    </w:p>
    <w:p w:rsidR="006E78F2" w:rsidRPr="007C2ECB" w:rsidRDefault="006E78F2" w:rsidP="006E78F2">
      <w:pPr>
        <w:rPr>
          <w:rFonts w:cs="Times New Roman"/>
        </w:rPr>
      </w:pPr>
      <w:r>
        <w:rPr>
          <w:rFonts w:cs="Times New Roman"/>
        </w:rPr>
        <w:t>Cider apple tree macronutrient applications</w:t>
      </w:r>
    </w:p>
    <w:tbl>
      <w:tblPr>
        <w:tblStyle w:val="TableGrid"/>
        <w:tblpPr w:leftFromText="180" w:rightFromText="180" w:vertAnchor="text" w:horzAnchor="margin" w:tblpXSpec="center" w:tblpY="146"/>
        <w:tblW w:w="8931" w:type="dxa"/>
        <w:tblLayout w:type="fixed"/>
        <w:tblLook w:val="04A0" w:firstRow="1" w:lastRow="0" w:firstColumn="1" w:lastColumn="0" w:noHBand="0" w:noVBand="1"/>
      </w:tblPr>
      <w:tblGrid>
        <w:gridCol w:w="1134"/>
        <w:gridCol w:w="1985"/>
        <w:gridCol w:w="1843"/>
        <w:gridCol w:w="1417"/>
        <w:gridCol w:w="959"/>
        <w:gridCol w:w="1593"/>
      </w:tblGrid>
      <w:tr w:rsidR="006E78F2" w:rsidRPr="007C2ECB" w:rsidTr="00BC2E56">
        <w:tc>
          <w:tcPr>
            <w:tcW w:w="1134" w:type="dxa"/>
            <w:tcBorders>
              <w:top w:val="single" w:sz="4" w:space="0" w:color="auto"/>
              <w:left w:val="nil"/>
              <w:bottom w:val="single" w:sz="4" w:space="0" w:color="auto"/>
              <w:right w:val="nil"/>
            </w:tcBorders>
          </w:tcPr>
          <w:p w:rsidR="006E78F2" w:rsidRPr="00FD44D9" w:rsidRDefault="006E78F2" w:rsidP="00BC2E56">
            <w:pPr>
              <w:jc w:val="center"/>
              <w:rPr>
                <w:rFonts w:cs="Times New Roman"/>
                <w:b/>
                <w:sz w:val="20"/>
                <w:szCs w:val="20"/>
              </w:rPr>
            </w:pPr>
            <w:r w:rsidRPr="00FD44D9">
              <w:rPr>
                <w:rFonts w:cs="Times New Roman"/>
                <w:b/>
                <w:sz w:val="20"/>
                <w:szCs w:val="20"/>
              </w:rPr>
              <w:t>Nutrient</w:t>
            </w:r>
          </w:p>
        </w:tc>
        <w:tc>
          <w:tcPr>
            <w:tcW w:w="1985" w:type="dxa"/>
            <w:tcBorders>
              <w:top w:val="single" w:sz="4" w:space="0" w:color="auto"/>
              <w:left w:val="nil"/>
              <w:bottom w:val="single" w:sz="4" w:space="0" w:color="auto"/>
              <w:right w:val="nil"/>
            </w:tcBorders>
          </w:tcPr>
          <w:p w:rsidR="006E78F2" w:rsidRPr="00FD44D9" w:rsidRDefault="00B07AB7" w:rsidP="00B07AB7">
            <w:pPr>
              <w:jc w:val="center"/>
              <w:rPr>
                <w:rFonts w:cs="Times New Roman"/>
                <w:b/>
                <w:sz w:val="20"/>
                <w:szCs w:val="20"/>
              </w:rPr>
            </w:pPr>
            <w:r w:rsidRPr="00FD44D9">
              <w:rPr>
                <w:rFonts w:cs="Times New Roman"/>
                <w:b/>
                <w:sz w:val="20"/>
                <w:szCs w:val="20"/>
              </w:rPr>
              <w:t>DEFRA</w:t>
            </w:r>
            <w:r w:rsidR="006E78F2" w:rsidRPr="00FD44D9">
              <w:rPr>
                <w:rFonts w:cs="Times New Roman"/>
                <w:b/>
                <w:sz w:val="20"/>
                <w:szCs w:val="20"/>
              </w:rPr>
              <w:t xml:space="preserve"> advised annual application (g  per tree)</w:t>
            </w:r>
          </w:p>
        </w:tc>
        <w:tc>
          <w:tcPr>
            <w:tcW w:w="3260" w:type="dxa"/>
            <w:gridSpan w:val="2"/>
            <w:tcBorders>
              <w:top w:val="single" w:sz="4" w:space="0" w:color="auto"/>
              <w:left w:val="nil"/>
              <w:bottom w:val="single" w:sz="4" w:space="0" w:color="auto"/>
              <w:right w:val="nil"/>
            </w:tcBorders>
          </w:tcPr>
          <w:p w:rsidR="006E78F2" w:rsidRPr="00FD44D9" w:rsidRDefault="006E78F2" w:rsidP="00BC2E56">
            <w:pPr>
              <w:jc w:val="center"/>
              <w:rPr>
                <w:rFonts w:cs="Times New Roman"/>
                <w:b/>
                <w:sz w:val="20"/>
                <w:szCs w:val="20"/>
              </w:rPr>
            </w:pPr>
            <w:r w:rsidRPr="00FD44D9">
              <w:rPr>
                <w:rFonts w:cs="Times New Roman"/>
                <w:b/>
                <w:sz w:val="20"/>
                <w:szCs w:val="20"/>
              </w:rPr>
              <w:t>Total  n</w:t>
            </w:r>
            <w:r w:rsidR="00B07AB7" w:rsidRPr="00FD44D9">
              <w:rPr>
                <w:rFonts w:cs="Times New Roman"/>
                <w:b/>
                <w:sz w:val="20"/>
                <w:szCs w:val="20"/>
              </w:rPr>
              <w:t>utrient application per tree (g yr</w:t>
            </w:r>
            <w:r w:rsidR="00B07AB7" w:rsidRPr="00FD44D9">
              <w:rPr>
                <w:rFonts w:cs="Times New Roman"/>
                <w:b/>
                <w:sz w:val="20"/>
                <w:szCs w:val="20"/>
                <w:vertAlign w:val="superscript"/>
              </w:rPr>
              <w:t>-1</w:t>
            </w:r>
            <w:r w:rsidRPr="00FD44D9">
              <w:rPr>
                <w:rFonts w:cs="Times New Roman"/>
                <w:b/>
                <w:sz w:val="20"/>
                <w:szCs w:val="20"/>
              </w:rPr>
              <w:t xml:space="preserve"> </w:t>
            </w:r>
          </w:p>
        </w:tc>
        <w:tc>
          <w:tcPr>
            <w:tcW w:w="2552" w:type="dxa"/>
            <w:gridSpan w:val="2"/>
            <w:tcBorders>
              <w:top w:val="single" w:sz="4" w:space="0" w:color="auto"/>
              <w:left w:val="nil"/>
              <w:bottom w:val="single" w:sz="4" w:space="0" w:color="auto"/>
              <w:right w:val="nil"/>
            </w:tcBorders>
          </w:tcPr>
          <w:p w:rsidR="006E78F2" w:rsidRPr="00FD44D9" w:rsidRDefault="006E78F2" w:rsidP="00BC2E56">
            <w:pPr>
              <w:jc w:val="center"/>
              <w:rPr>
                <w:rFonts w:cs="Times New Roman"/>
                <w:b/>
                <w:sz w:val="20"/>
                <w:szCs w:val="20"/>
              </w:rPr>
            </w:pPr>
            <w:r w:rsidRPr="00FD44D9">
              <w:rPr>
                <w:rFonts w:cs="Times New Roman"/>
                <w:b/>
                <w:sz w:val="20"/>
                <w:szCs w:val="20"/>
              </w:rPr>
              <w:t>Weekly application per tree(g)*</w:t>
            </w:r>
          </w:p>
        </w:tc>
      </w:tr>
      <w:tr w:rsidR="006E78F2" w:rsidRPr="007C2ECB" w:rsidTr="00BC2E56">
        <w:tc>
          <w:tcPr>
            <w:tcW w:w="1134" w:type="dxa"/>
            <w:tcBorders>
              <w:top w:val="single" w:sz="4" w:space="0" w:color="auto"/>
              <w:left w:val="nil"/>
              <w:bottom w:val="single" w:sz="4" w:space="0" w:color="auto"/>
              <w:right w:val="nil"/>
            </w:tcBorders>
          </w:tcPr>
          <w:p w:rsidR="006E78F2" w:rsidRPr="002374B3" w:rsidRDefault="006E78F2" w:rsidP="00BC2E56">
            <w:pPr>
              <w:rPr>
                <w:rFonts w:cs="Times New Roman"/>
                <w:sz w:val="20"/>
                <w:szCs w:val="20"/>
              </w:rPr>
            </w:pPr>
          </w:p>
        </w:tc>
        <w:tc>
          <w:tcPr>
            <w:tcW w:w="1985" w:type="dxa"/>
            <w:tcBorders>
              <w:top w:val="single" w:sz="4" w:space="0" w:color="auto"/>
              <w:left w:val="nil"/>
              <w:bottom w:val="single" w:sz="4" w:space="0" w:color="auto"/>
              <w:right w:val="nil"/>
            </w:tcBorders>
          </w:tcPr>
          <w:p w:rsidR="006E78F2" w:rsidRPr="002374B3" w:rsidRDefault="006E78F2" w:rsidP="00BC2E56">
            <w:pPr>
              <w:rPr>
                <w:rFonts w:cs="Times New Roman"/>
                <w:sz w:val="20"/>
                <w:szCs w:val="20"/>
              </w:rPr>
            </w:pPr>
          </w:p>
        </w:tc>
        <w:tc>
          <w:tcPr>
            <w:tcW w:w="1843" w:type="dxa"/>
            <w:tcBorders>
              <w:top w:val="single" w:sz="4" w:space="0" w:color="auto"/>
              <w:left w:val="nil"/>
              <w:bottom w:val="single" w:sz="4" w:space="0" w:color="auto"/>
              <w:right w:val="nil"/>
            </w:tcBorders>
          </w:tcPr>
          <w:p w:rsidR="006E78F2" w:rsidRPr="002374B3" w:rsidRDefault="006E78F2" w:rsidP="00BC2E56">
            <w:pPr>
              <w:rPr>
                <w:rFonts w:cs="Times New Roman"/>
                <w:sz w:val="20"/>
                <w:szCs w:val="20"/>
              </w:rPr>
            </w:pPr>
            <w:r w:rsidRPr="002374B3">
              <w:rPr>
                <w:rFonts w:cs="Times New Roman"/>
                <w:sz w:val="20"/>
                <w:szCs w:val="20"/>
              </w:rPr>
              <w:t>High nutrient</w:t>
            </w:r>
          </w:p>
        </w:tc>
        <w:tc>
          <w:tcPr>
            <w:tcW w:w="1417" w:type="dxa"/>
            <w:tcBorders>
              <w:top w:val="single" w:sz="4" w:space="0" w:color="auto"/>
              <w:left w:val="nil"/>
              <w:bottom w:val="single" w:sz="4" w:space="0" w:color="auto"/>
              <w:right w:val="nil"/>
            </w:tcBorders>
          </w:tcPr>
          <w:p w:rsidR="006E78F2" w:rsidRPr="002374B3" w:rsidRDefault="006E78F2" w:rsidP="00BC2E56">
            <w:pPr>
              <w:rPr>
                <w:rFonts w:cs="Times New Roman"/>
                <w:sz w:val="20"/>
                <w:szCs w:val="20"/>
              </w:rPr>
            </w:pPr>
            <w:r w:rsidRPr="002374B3">
              <w:rPr>
                <w:rFonts w:cs="Times New Roman"/>
                <w:sz w:val="20"/>
                <w:szCs w:val="20"/>
              </w:rPr>
              <w:t>Low nutrient</w:t>
            </w:r>
          </w:p>
        </w:tc>
        <w:tc>
          <w:tcPr>
            <w:tcW w:w="959" w:type="dxa"/>
            <w:tcBorders>
              <w:top w:val="single" w:sz="4" w:space="0" w:color="auto"/>
              <w:left w:val="nil"/>
              <w:bottom w:val="single" w:sz="4" w:space="0" w:color="auto"/>
              <w:right w:val="nil"/>
            </w:tcBorders>
          </w:tcPr>
          <w:p w:rsidR="006E78F2" w:rsidRPr="002374B3" w:rsidRDefault="006E78F2" w:rsidP="00BC2E56">
            <w:pPr>
              <w:rPr>
                <w:rFonts w:cs="Times New Roman"/>
                <w:sz w:val="20"/>
                <w:szCs w:val="20"/>
              </w:rPr>
            </w:pPr>
            <w:r w:rsidRPr="002374B3">
              <w:rPr>
                <w:rFonts w:cs="Times New Roman"/>
                <w:sz w:val="20"/>
                <w:szCs w:val="20"/>
              </w:rPr>
              <w:t>High nutrient</w:t>
            </w:r>
          </w:p>
        </w:tc>
        <w:tc>
          <w:tcPr>
            <w:tcW w:w="1593" w:type="dxa"/>
            <w:tcBorders>
              <w:top w:val="single" w:sz="4" w:space="0" w:color="auto"/>
              <w:left w:val="nil"/>
              <w:bottom w:val="single" w:sz="4" w:space="0" w:color="auto"/>
              <w:right w:val="nil"/>
            </w:tcBorders>
          </w:tcPr>
          <w:p w:rsidR="006E78F2" w:rsidRPr="002374B3" w:rsidRDefault="006E78F2" w:rsidP="00BC2E56">
            <w:pPr>
              <w:rPr>
                <w:rFonts w:cs="Times New Roman"/>
                <w:sz w:val="20"/>
                <w:szCs w:val="20"/>
              </w:rPr>
            </w:pPr>
            <w:r w:rsidRPr="002374B3">
              <w:rPr>
                <w:rFonts w:cs="Times New Roman"/>
                <w:sz w:val="20"/>
                <w:szCs w:val="20"/>
              </w:rPr>
              <w:t>Low nutrient</w:t>
            </w:r>
          </w:p>
        </w:tc>
      </w:tr>
      <w:tr w:rsidR="006E78F2" w:rsidRPr="007C2ECB" w:rsidTr="00BC2E56">
        <w:tc>
          <w:tcPr>
            <w:tcW w:w="1134" w:type="dxa"/>
            <w:tcBorders>
              <w:top w:val="single" w:sz="4" w:space="0" w:color="auto"/>
              <w:left w:val="nil"/>
              <w:bottom w:val="nil"/>
              <w:right w:val="nil"/>
            </w:tcBorders>
          </w:tcPr>
          <w:p w:rsidR="006E78F2" w:rsidRPr="002374B3" w:rsidRDefault="006E78F2" w:rsidP="00BC2E56">
            <w:pPr>
              <w:rPr>
                <w:rFonts w:cs="Times New Roman"/>
                <w:sz w:val="20"/>
                <w:szCs w:val="20"/>
              </w:rPr>
            </w:pPr>
            <w:r w:rsidRPr="002374B3">
              <w:rPr>
                <w:rFonts w:cs="Times New Roman"/>
                <w:sz w:val="20"/>
                <w:szCs w:val="20"/>
              </w:rPr>
              <w:t>N</w:t>
            </w:r>
          </w:p>
        </w:tc>
        <w:tc>
          <w:tcPr>
            <w:tcW w:w="1985" w:type="dxa"/>
            <w:tcBorders>
              <w:top w:val="single" w:sz="4" w:space="0" w:color="auto"/>
              <w:left w:val="nil"/>
              <w:bottom w:val="nil"/>
              <w:right w:val="nil"/>
            </w:tcBorders>
          </w:tcPr>
          <w:p w:rsidR="006E78F2" w:rsidRPr="002374B3" w:rsidRDefault="006E78F2" w:rsidP="00BC2E56">
            <w:pPr>
              <w:rPr>
                <w:rFonts w:cs="Times New Roman"/>
                <w:sz w:val="20"/>
                <w:szCs w:val="20"/>
              </w:rPr>
            </w:pPr>
            <w:r w:rsidRPr="002374B3">
              <w:rPr>
                <w:rFonts w:cs="Times New Roman"/>
                <w:sz w:val="20"/>
                <w:szCs w:val="20"/>
              </w:rPr>
              <w:t>93.00</w:t>
            </w:r>
          </w:p>
        </w:tc>
        <w:tc>
          <w:tcPr>
            <w:tcW w:w="1843" w:type="dxa"/>
            <w:tcBorders>
              <w:top w:val="single" w:sz="4" w:space="0" w:color="auto"/>
              <w:left w:val="nil"/>
              <w:bottom w:val="nil"/>
              <w:right w:val="nil"/>
            </w:tcBorders>
          </w:tcPr>
          <w:p w:rsidR="006E78F2" w:rsidRPr="002374B3" w:rsidRDefault="006E78F2" w:rsidP="00BC2E56">
            <w:pPr>
              <w:rPr>
                <w:rFonts w:cs="Times New Roman"/>
                <w:sz w:val="20"/>
                <w:szCs w:val="20"/>
              </w:rPr>
            </w:pPr>
            <w:r w:rsidRPr="002374B3">
              <w:rPr>
                <w:rFonts w:cs="Times New Roman"/>
                <w:sz w:val="20"/>
                <w:szCs w:val="20"/>
              </w:rPr>
              <w:t>23.25</w:t>
            </w:r>
          </w:p>
        </w:tc>
        <w:tc>
          <w:tcPr>
            <w:tcW w:w="1417" w:type="dxa"/>
            <w:tcBorders>
              <w:top w:val="single" w:sz="4" w:space="0" w:color="auto"/>
              <w:left w:val="nil"/>
              <w:bottom w:val="nil"/>
              <w:right w:val="nil"/>
            </w:tcBorders>
          </w:tcPr>
          <w:p w:rsidR="006E78F2" w:rsidRPr="002374B3" w:rsidRDefault="006E78F2" w:rsidP="00BC2E56">
            <w:pPr>
              <w:rPr>
                <w:rFonts w:cs="Times New Roman"/>
                <w:sz w:val="20"/>
                <w:szCs w:val="20"/>
              </w:rPr>
            </w:pPr>
            <w:r>
              <w:rPr>
                <w:rFonts w:cs="Times New Roman"/>
                <w:sz w:val="20"/>
                <w:szCs w:val="20"/>
              </w:rPr>
              <w:t>2.32</w:t>
            </w:r>
          </w:p>
        </w:tc>
        <w:tc>
          <w:tcPr>
            <w:tcW w:w="959" w:type="dxa"/>
            <w:tcBorders>
              <w:top w:val="single" w:sz="4" w:space="0" w:color="auto"/>
              <w:left w:val="nil"/>
              <w:bottom w:val="nil"/>
              <w:right w:val="nil"/>
            </w:tcBorders>
          </w:tcPr>
          <w:p w:rsidR="006E78F2" w:rsidRPr="002374B3" w:rsidRDefault="006E78F2" w:rsidP="00BC2E56">
            <w:pPr>
              <w:rPr>
                <w:rFonts w:cs="Times New Roman"/>
                <w:sz w:val="20"/>
                <w:szCs w:val="20"/>
              </w:rPr>
            </w:pPr>
            <w:r w:rsidRPr="002374B3">
              <w:rPr>
                <w:rFonts w:cs="Times New Roman"/>
                <w:sz w:val="20"/>
                <w:szCs w:val="20"/>
              </w:rPr>
              <w:t>1.16</w:t>
            </w:r>
          </w:p>
        </w:tc>
        <w:tc>
          <w:tcPr>
            <w:tcW w:w="1593" w:type="dxa"/>
            <w:tcBorders>
              <w:top w:val="single" w:sz="4" w:space="0" w:color="auto"/>
              <w:left w:val="nil"/>
              <w:bottom w:val="nil"/>
              <w:right w:val="nil"/>
            </w:tcBorders>
          </w:tcPr>
          <w:p w:rsidR="006E78F2" w:rsidRPr="002374B3" w:rsidRDefault="006E78F2" w:rsidP="00BC2E56">
            <w:pPr>
              <w:rPr>
                <w:rFonts w:cs="Times New Roman"/>
                <w:sz w:val="20"/>
                <w:szCs w:val="20"/>
              </w:rPr>
            </w:pPr>
            <w:r>
              <w:rPr>
                <w:rFonts w:cs="Times New Roman"/>
                <w:sz w:val="20"/>
                <w:szCs w:val="20"/>
              </w:rPr>
              <w:t>0.</w:t>
            </w:r>
            <w:r w:rsidRPr="002374B3">
              <w:rPr>
                <w:rFonts w:cs="Times New Roman"/>
                <w:sz w:val="20"/>
                <w:szCs w:val="20"/>
              </w:rPr>
              <w:t>16</w:t>
            </w:r>
          </w:p>
        </w:tc>
      </w:tr>
      <w:tr w:rsidR="006E78F2" w:rsidRPr="007C2ECB" w:rsidTr="00BC2E56">
        <w:tc>
          <w:tcPr>
            <w:tcW w:w="1134" w:type="dxa"/>
            <w:tcBorders>
              <w:top w:val="nil"/>
              <w:left w:val="nil"/>
              <w:bottom w:val="nil"/>
              <w:right w:val="nil"/>
            </w:tcBorders>
          </w:tcPr>
          <w:p w:rsidR="006E78F2" w:rsidRPr="002374B3" w:rsidRDefault="006E78F2" w:rsidP="00BC2E56">
            <w:pPr>
              <w:rPr>
                <w:rFonts w:cs="Times New Roman"/>
                <w:sz w:val="20"/>
                <w:szCs w:val="20"/>
              </w:rPr>
            </w:pPr>
            <w:r w:rsidRPr="002374B3">
              <w:rPr>
                <w:rFonts w:cs="Times New Roman"/>
                <w:sz w:val="20"/>
                <w:szCs w:val="20"/>
              </w:rPr>
              <w:t>P</w:t>
            </w:r>
          </w:p>
        </w:tc>
        <w:tc>
          <w:tcPr>
            <w:tcW w:w="1985" w:type="dxa"/>
            <w:tcBorders>
              <w:top w:val="nil"/>
              <w:left w:val="nil"/>
              <w:bottom w:val="nil"/>
              <w:right w:val="nil"/>
            </w:tcBorders>
          </w:tcPr>
          <w:p w:rsidR="006E78F2" w:rsidRPr="002374B3" w:rsidRDefault="006E78F2" w:rsidP="00BC2E56">
            <w:pPr>
              <w:rPr>
                <w:rFonts w:cs="Times New Roman"/>
                <w:sz w:val="20"/>
                <w:szCs w:val="20"/>
              </w:rPr>
            </w:pPr>
            <w:r w:rsidRPr="002374B3">
              <w:rPr>
                <w:rFonts w:cs="Times New Roman"/>
                <w:sz w:val="20"/>
                <w:szCs w:val="20"/>
              </w:rPr>
              <w:t>85.30</w:t>
            </w:r>
          </w:p>
        </w:tc>
        <w:tc>
          <w:tcPr>
            <w:tcW w:w="1843" w:type="dxa"/>
            <w:tcBorders>
              <w:top w:val="nil"/>
              <w:left w:val="nil"/>
              <w:bottom w:val="nil"/>
              <w:right w:val="nil"/>
            </w:tcBorders>
          </w:tcPr>
          <w:p w:rsidR="006E78F2" w:rsidRPr="002374B3" w:rsidRDefault="006E78F2" w:rsidP="00BC2E56">
            <w:pPr>
              <w:rPr>
                <w:rFonts w:cs="Times New Roman"/>
                <w:sz w:val="20"/>
                <w:szCs w:val="20"/>
              </w:rPr>
            </w:pPr>
            <w:r w:rsidRPr="002374B3">
              <w:rPr>
                <w:rFonts w:cs="Times New Roman"/>
                <w:sz w:val="20"/>
                <w:szCs w:val="20"/>
              </w:rPr>
              <w:t>21.32</w:t>
            </w:r>
          </w:p>
        </w:tc>
        <w:tc>
          <w:tcPr>
            <w:tcW w:w="1417" w:type="dxa"/>
            <w:tcBorders>
              <w:top w:val="nil"/>
              <w:left w:val="nil"/>
              <w:bottom w:val="nil"/>
              <w:right w:val="nil"/>
            </w:tcBorders>
          </w:tcPr>
          <w:p w:rsidR="006E78F2" w:rsidRPr="002374B3" w:rsidRDefault="006E78F2" w:rsidP="00BC2E56">
            <w:pPr>
              <w:rPr>
                <w:rFonts w:cs="Times New Roman"/>
                <w:sz w:val="20"/>
                <w:szCs w:val="20"/>
              </w:rPr>
            </w:pPr>
            <w:r w:rsidRPr="002374B3">
              <w:rPr>
                <w:rFonts w:cs="Times New Roman"/>
                <w:sz w:val="20"/>
                <w:szCs w:val="20"/>
              </w:rPr>
              <w:t>2.13</w:t>
            </w:r>
          </w:p>
        </w:tc>
        <w:tc>
          <w:tcPr>
            <w:tcW w:w="959" w:type="dxa"/>
            <w:tcBorders>
              <w:top w:val="nil"/>
              <w:left w:val="nil"/>
              <w:bottom w:val="nil"/>
              <w:right w:val="nil"/>
            </w:tcBorders>
          </w:tcPr>
          <w:p w:rsidR="006E78F2" w:rsidRPr="002374B3" w:rsidRDefault="006E78F2" w:rsidP="00BC2E56">
            <w:pPr>
              <w:rPr>
                <w:rFonts w:cs="Times New Roman"/>
                <w:sz w:val="20"/>
                <w:szCs w:val="20"/>
              </w:rPr>
            </w:pPr>
            <w:r w:rsidRPr="002374B3">
              <w:rPr>
                <w:rFonts w:cs="Times New Roman"/>
                <w:sz w:val="20"/>
                <w:szCs w:val="20"/>
              </w:rPr>
              <w:t>1.07</w:t>
            </w:r>
          </w:p>
        </w:tc>
        <w:tc>
          <w:tcPr>
            <w:tcW w:w="1593" w:type="dxa"/>
            <w:tcBorders>
              <w:top w:val="nil"/>
              <w:left w:val="nil"/>
              <w:bottom w:val="nil"/>
              <w:right w:val="nil"/>
            </w:tcBorders>
          </w:tcPr>
          <w:p w:rsidR="006E78F2" w:rsidRPr="002374B3" w:rsidRDefault="006E78F2" w:rsidP="00BC2E56">
            <w:pPr>
              <w:rPr>
                <w:rFonts w:cs="Times New Roman"/>
                <w:sz w:val="20"/>
                <w:szCs w:val="20"/>
              </w:rPr>
            </w:pPr>
            <w:r>
              <w:rPr>
                <w:rFonts w:cs="Times New Roman"/>
                <w:sz w:val="20"/>
                <w:szCs w:val="20"/>
              </w:rPr>
              <w:t>0.10</w:t>
            </w:r>
          </w:p>
        </w:tc>
      </w:tr>
      <w:tr w:rsidR="006E78F2" w:rsidRPr="007C2ECB" w:rsidTr="00BC2E56">
        <w:tc>
          <w:tcPr>
            <w:tcW w:w="1134" w:type="dxa"/>
            <w:tcBorders>
              <w:top w:val="nil"/>
              <w:left w:val="nil"/>
              <w:bottom w:val="nil"/>
              <w:right w:val="nil"/>
            </w:tcBorders>
          </w:tcPr>
          <w:p w:rsidR="006E78F2" w:rsidRPr="002374B3" w:rsidRDefault="006E78F2" w:rsidP="00BC2E56">
            <w:pPr>
              <w:rPr>
                <w:rFonts w:cs="Times New Roman"/>
                <w:sz w:val="20"/>
                <w:szCs w:val="20"/>
              </w:rPr>
            </w:pPr>
            <w:r w:rsidRPr="002374B3">
              <w:rPr>
                <w:rFonts w:cs="Times New Roman"/>
                <w:sz w:val="20"/>
                <w:szCs w:val="20"/>
              </w:rPr>
              <w:t>K</w:t>
            </w:r>
          </w:p>
        </w:tc>
        <w:tc>
          <w:tcPr>
            <w:tcW w:w="1985" w:type="dxa"/>
            <w:tcBorders>
              <w:top w:val="nil"/>
              <w:left w:val="nil"/>
              <w:bottom w:val="nil"/>
              <w:right w:val="nil"/>
            </w:tcBorders>
          </w:tcPr>
          <w:p w:rsidR="006E78F2" w:rsidRPr="002374B3" w:rsidRDefault="006E78F2" w:rsidP="00BC2E56">
            <w:pPr>
              <w:rPr>
                <w:rFonts w:cs="Times New Roman"/>
                <w:sz w:val="20"/>
                <w:szCs w:val="20"/>
              </w:rPr>
            </w:pPr>
            <w:r w:rsidRPr="002374B3">
              <w:rPr>
                <w:rFonts w:cs="Times New Roman"/>
                <w:sz w:val="20"/>
                <w:szCs w:val="20"/>
              </w:rPr>
              <w:t>166.00</w:t>
            </w:r>
          </w:p>
        </w:tc>
        <w:tc>
          <w:tcPr>
            <w:tcW w:w="1843" w:type="dxa"/>
            <w:tcBorders>
              <w:top w:val="nil"/>
              <w:left w:val="nil"/>
              <w:bottom w:val="nil"/>
              <w:right w:val="nil"/>
            </w:tcBorders>
          </w:tcPr>
          <w:p w:rsidR="006E78F2" w:rsidRPr="002374B3" w:rsidRDefault="006E78F2" w:rsidP="00BC2E56">
            <w:pPr>
              <w:rPr>
                <w:rFonts w:cs="Times New Roman"/>
                <w:sz w:val="20"/>
                <w:szCs w:val="20"/>
              </w:rPr>
            </w:pPr>
            <w:r w:rsidRPr="002374B3">
              <w:rPr>
                <w:rFonts w:cs="Times New Roman"/>
                <w:sz w:val="20"/>
                <w:szCs w:val="20"/>
              </w:rPr>
              <w:t>41.51</w:t>
            </w:r>
          </w:p>
        </w:tc>
        <w:tc>
          <w:tcPr>
            <w:tcW w:w="1417" w:type="dxa"/>
            <w:tcBorders>
              <w:top w:val="nil"/>
              <w:left w:val="nil"/>
              <w:bottom w:val="nil"/>
              <w:right w:val="nil"/>
            </w:tcBorders>
          </w:tcPr>
          <w:p w:rsidR="006E78F2" w:rsidRPr="002374B3" w:rsidRDefault="006E78F2" w:rsidP="00BC2E56">
            <w:pPr>
              <w:rPr>
                <w:rFonts w:cs="Times New Roman"/>
                <w:sz w:val="20"/>
                <w:szCs w:val="20"/>
              </w:rPr>
            </w:pPr>
            <w:r>
              <w:rPr>
                <w:rFonts w:cs="Times New Roman"/>
                <w:sz w:val="20"/>
                <w:szCs w:val="20"/>
              </w:rPr>
              <w:t>4.15</w:t>
            </w:r>
          </w:p>
        </w:tc>
        <w:tc>
          <w:tcPr>
            <w:tcW w:w="959" w:type="dxa"/>
            <w:tcBorders>
              <w:top w:val="nil"/>
              <w:left w:val="nil"/>
              <w:bottom w:val="nil"/>
              <w:right w:val="nil"/>
            </w:tcBorders>
          </w:tcPr>
          <w:p w:rsidR="006E78F2" w:rsidRPr="002374B3" w:rsidRDefault="006E78F2" w:rsidP="00BC2E56">
            <w:pPr>
              <w:rPr>
                <w:rFonts w:cs="Times New Roman"/>
                <w:sz w:val="20"/>
                <w:szCs w:val="20"/>
              </w:rPr>
            </w:pPr>
            <w:r w:rsidRPr="002374B3">
              <w:rPr>
                <w:rFonts w:cs="Times New Roman"/>
                <w:sz w:val="20"/>
                <w:szCs w:val="20"/>
              </w:rPr>
              <w:t>2.08</w:t>
            </w:r>
          </w:p>
        </w:tc>
        <w:tc>
          <w:tcPr>
            <w:tcW w:w="1593" w:type="dxa"/>
            <w:tcBorders>
              <w:top w:val="nil"/>
              <w:left w:val="nil"/>
              <w:bottom w:val="nil"/>
              <w:right w:val="nil"/>
            </w:tcBorders>
          </w:tcPr>
          <w:p w:rsidR="006E78F2" w:rsidRPr="002374B3" w:rsidRDefault="006E78F2" w:rsidP="00BC2E56">
            <w:pPr>
              <w:rPr>
                <w:rFonts w:cs="Times New Roman"/>
                <w:sz w:val="20"/>
                <w:szCs w:val="20"/>
              </w:rPr>
            </w:pPr>
            <w:r>
              <w:rPr>
                <w:rFonts w:cs="Times New Roman"/>
                <w:sz w:val="20"/>
                <w:szCs w:val="20"/>
              </w:rPr>
              <w:t>0.20</w:t>
            </w:r>
          </w:p>
        </w:tc>
      </w:tr>
      <w:tr w:rsidR="006E78F2" w:rsidRPr="007C2ECB" w:rsidTr="00BC2E56">
        <w:tc>
          <w:tcPr>
            <w:tcW w:w="1134" w:type="dxa"/>
            <w:tcBorders>
              <w:top w:val="nil"/>
              <w:left w:val="nil"/>
              <w:bottom w:val="single" w:sz="4" w:space="0" w:color="auto"/>
              <w:right w:val="nil"/>
            </w:tcBorders>
          </w:tcPr>
          <w:p w:rsidR="006E78F2" w:rsidRPr="002374B3" w:rsidRDefault="006E78F2" w:rsidP="00BC2E56">
            <w:pPr>
              <w:rPr>
                <w:rFonts w:cs="Times New Roman"/>
                <w:sz w:val="20"/>
                <w:szCs w:val="20"/>
              </w:rPr>
            </w:pPr>
            <w:r w:rsidRPr="002374B3">
              <w:rPr>
                <w:rFonts w:cs="Times New Roman"/>
                <w:sz w:val="20"/>
                <w:szCs w:val="20"/>
              </w:rPr>
              <w:t>Mg</w:t>
            </w:r>
          </w:p>
        </w:tc>
        <w:tc>
          <w:tcPr>
            <w:tcW w:w="1985" w:type="dxa"/>
            <w:tcBorders>
              <w:top w:val="nil"/>
              <w:left w:val="nil"/>
              <w:bottom w:val="single" w:sz="4" w:space="0" w:color="auto"/>
              <w:right w:val="nil"/>
            </w:tcBorders>
          </w:tcPr>
          <w:p w:rsidR="006E78F2" w:rsidRPr="002374B3" w:rsidRDefault="006E78F2" w:rsidP="00BC2E56">
            <w:pPr>
              <w:rPr>
                <w:rFonts w:cs="Times New Roman"/>
                <w:sz w:val="20"/>
                <w:szCs w:val="20"/>
              </w:rPr>
            </w:pPr>
            <w:r w:rsidRPr="002374B3">
              <w:rPr>
                <w:rFonts w:cs="Times New Roman"/>
                <w:sz w:val="20"/>
                <w:szCs w:val="20"/>
              </w:rPr>
              <w:t>165.00</w:t>
            </w:r>
          </w:p>
        </w:tc>
        <w:tc>
          <w:tcPr>
            <w:tcW w:w="1843" w:type="dxa"/>
            <w:tcBorders>
              <w:top w:val="nil"/>
              <w:left w:val="nil"/>
              <w:bottom w:val="single" w:sz="4" w:space="0" w:color="auto"/>
              <w:right w:val="nil"/>
            </w:tcBorders>
          </w:tcPr>
          <w:p w:rsidR="006E78F2" w:rsidRPr="002374B3" w:rsidRDefault="006E78F2" w:rsidP="00BC2E56">
            <w:pPr>
              <w:rPr>
                <w:rFonts w:cs="Times New Roman"/>
                <w:sz w:val="20"/>
                <w:szCs w:val="20"/>
              </w:rPr>
            </w:pPr>
            <w:r w:rsidRPr="002374B3">
              <w:rPr>
                <w:rFonts w:cs="Times New Roman"/>
                <w:sz w:val="20"/>
                <w:szCs w:val="20"/>
              </w:rPr>
              <w:t>41.25</w:t>
            </w:r>
          </w:p>
        </w:tc>
        <w:tc>
          <w:tcPr>
            <w:tcW w:w="1417" w:type="dxa"/>
            <w:tcBorders>
              <w:top w:val="nil"/>
              <w:left w:val="nil"/>
              <w:bottom w:val="single" w:sz="4" w:space="0" w:color="auto"/>
              <w:right w:val="nil"/>
            </w:tcBorders>
          </w:tcPr>
          <w:p w:rsidR="006E78F2" w:rsidRPr="002374B3" w:rsidRDefault="006E78F2" w:rsidP="00BC2E56">
            <w:pPr>
              <w:rPr>
                <w:rFonts w:cs="Times New Roman"/>
                <w:sz w:val="20"/>
                <w:szCs w:val="20"/>
              </w:rPr>
            </w:pPr>
            <w:r>
              <w:rPr>
                <w:rFonts w:cs="Times New Roman"/>
                <w:sz w:val="20"/>
                <w:szCs w:val="20"/>
              </w:rPr>
              <w:t>4.12</w:t>
            </w:r>
          </w:p>
        </w:tc>
        <w:tc>
          <w:tcPr>
            <w:tcW w:w="959" w:type="dxa"/>
            <w:tcBorders>
              <w:top w:val="nil"/>
              <w:left w:val="nil"/>
              <w:bottom w:val="single" w:sz="4" w:space="0" w:color="auto"/>
              <w:right w:val="nil"/>
            </w:tcBorders>
          </w:tcPr>
          <w:p w:rsidR="006E78F2" w:rsidRPr="002374B3" w:rsidRDefault="006E78F2" w:rsidP="00BC2E56">
            <w:pPr>
              <w:rPr>
                <w:rFonts w:cs="Times New Roman"/>
                <w:sz w:val="20"/>
                <w:szCs w:val="20"/>
              </w:rPr>
            </w:pPr>
            <w:r w:rsidRPr="002374B3">
              <w:rPr>
                <w:rFonts w:cs="Times New Roman"/>
                <w:sz w:val="20"/>
                <w:szCs w:val="20"/>
              </w:rPr>
              <w:t>2.06</w:t>
            </w:r>
          </w:p>
        </w:tc>
        <w:tc>
          <w:tcPr>
            <w:tcW w:w="1593" w:type="dxa"/>
            <w:tcBorders>
              <w:top w:val="nil"/>
              <w:left w:val="nil"/>
              <w:bottom w:val="single" w:sz="4" w:space="0" w:color="auto"/>
              <w:right w:val="nil"/>
            </w:tcBorders>
          </w:tcPr>
          <w:p w:rsidR="006E78F2" w:rsidRPr="002374B3" w:rsidRDefault="006E78F2" w:rsidP="00BC2E56">
            <w:pPr>
              <w:rPr>
                <w:rFonts w:cs="Times New Roman"/>
                <w:sz w:val="20"/>
                <w:szCs w:val="20"/>
              </w:rPr>
            </w:pPr>
            <w:r>
              <w:rPr>
                <w:rFonts w:cs="Times New Roman"/>
                <w:sz w:val="20"/>
                <w:szCs w:val="20"/>
              </w:rPr>
              <w:t>0.20</w:t>
            </w:r>
          </w:p>
        </w:tc>
      </w:tr>
      <w:tr w:rsidR="006E78F2" w:rsidRPr="007C2ECB" w:rsidTr="00BC2E56">
        <w:tc>
          <w:tcPr>
            <w:tcW w:w="8931" w:type="dxa"/>
            <w:gridSpan w:val="6"/>
            <w:tcBorders>
              <w:top w:val="single" w:sz="4" w:space="0" w:color="auto"/>
              <w:left w:val="nil"/>
              <w:bottom w:val="nil"/>
              <w:right w:val="nil"/>
            </w:tcBorders>
          </w:tcPr>
          <w:p w:rsidR="006E78F2" w:rsidRPr="007C2ECB" w:rsidRDefault="006E78F2" w:rsidP="00BC2E56">
            <w:pPr>
              <w:rPr>
                <w:rFonts w:cs="Times New Roman"/>
                <w:sz w:val="20"/>
                <w:szCs w:val="20"/>
              </w:rPr>
            </w:pPr>
            <w:r w:rsidRPr="007C2ECB">
              <w:rPr>
                <w:rFonts w:cs="Times New Roman"/>
                <w:sz w:val="20"/>
                <w:szCs w:val="20"/>
              </w:rPr>
              <w:t>*Divided into 20 weekly nutrient applications over the growing season</w:t>
            </w:r>
          </w:p>
        </w:tc>
      </w:tr>
    </w:tbl>
    <w:p w:rsidR="006E78F2" w:rsidRDefault="006E78F2" w:rsidP="006E78F2">
      <w:pPr>
        <w:rPr>
          <w:rFonts w:cs="Times New Roman"/>
          <w:b/>
          <w:sz w:val="20"/>
          <w:szCs w:val="20"/>
        </w:rPr>
      </w:pPr>
    </w:p>
    <w:p w:rsidR="006E78F2" w:rsidRDefault="006E78F2" w:rsidP="006E78F2">
      <w:pPr>
        <w:rPr>
          <w:rFonts w:cs="Times New Roman"/>
          <w:b/>
          <w:sz w:val="20"/>
          <w:szCs w:val="20"/>
        </w:rPr>
      </w:pPr>
    </w:p>
    <w:p w:rsidR="006E78F2" w:rsidRDefault="006E78F2" w:rsidP="006E78F2">
      <w:pPr>
        <w:rPr>
          <w:rFonts w:cs="Times New Roman"/>
          <w:b/>
          <w:sz w:val="20"/>
          <w:szCs w:val="20"/>
        </w:rPr>
      </w:pPr>
    </w:p>
    <w:p w:rsidR="006E78F2" w:rsidRDefault="006E78F2" w:rsidP="006E78F2">
      <w:pPr>
        <w:rPr>
          <w:rFonts w:cs="Times New Roman"/>
          <w:b/>
          <w:sz w:val="20"/>
          <w:szCs w:val="20"/>
        </w:rPr>
      </w:pPr>
    </w:p>
    <w:p w:rsidR="006E78F2" w:rsidRDefault="006E78F2" w:rsidP="006E78F2">
      <w:pPr>
        <w:rPr>
          <w:rFonts w:cs="Times New Roman"/>
          <w:b/>
          <w:sz w:val="20"/>
          <w:szCs w:val="20"/>
        </w:rPr>
      </w:pPr>
    </w:p>
    <w:p w:rsidR="006E78F2" w:rsidRDefault="006E78F2" w:rsidP="006E78F2">
      <w:pPr>
        <w:rPr>
          <w:rFonts w:cs="Times New Roman"/>
          <w:b/>
          <w:sz w:val="20"/>
          <w:szCs w:val="20"/>
        </w:rPr>
      </w:pPr>
    </w:p>
    <w:p w:rsidR="006E78F2" w:rsidRPr="007C2ECB" w:rsidRDefault="006E78F2" w:rsidP="006E78F2">
      <w:pPr>
        <w:rPr>
          <w:rFonts w:cs="Times New Roman"/>
          <w:b/>
          <w:sz w:val="20"/>
          <w:szCs w:val="20"/>
        </w:rPr>
      </w:pPr>
    </w:p>
    <w:p w:rsidR="009C682A" w:rsidRDefault="009C682A" w:rsidP="00BD2BA6">
      <w:r>
        <w:lastRenderedPageBreak/>
        <w:t xml:space="preserve">Micronutrients were applied weekly over 2 weeks as </w:t>
      </w:r>
      <w:proofErr w:type="spellStart"/>
      <w:r>
        <w:t>Rorisons’s</w:t>
      </w:r>
      <w:proofErr w:type="spellEnd"/>
      <w:r>
        <w:t xml:space="preserve"> s</w:t>
      </w:r>
      <w:r w:rsidR="00556653">
        <w:t>t</w:t>
      </w:r>
      <w:r>
        <w:t>ock solution</w:t>
      </w:r>
    </w:p>
    <w:p w:rsidR="00BD2BA6" w:rsidRDefault="00BD2BA6" w:rsidP="00BD2BA6">
      <w:r>
        <w:t>Cider apple tree micronutrient applications</w:t>
      </w:r>
    </w:p>
    <w:tbl>
      <w:tblPr>
        <w:tblStyle w:val="TableGrid"/>
        <w:tblpPr w:leftFromText="180" w:rightFromText="180" w:vertAnchor="text" w:horzAnchor="page" w:tblpX="1158" w:tblpY="45"/>
        <w:tblW w:w="8222" w:type="dxa"/>
        <w:tblLook w:val="04A0" w:firstRow="1" w:lastRow="0" w:firstColumn="1" w:lastColumn="0" w:noHBand="0" w:noVBand="1"/>
      </w:tblPr>
      <w:tblGrid>
        <w:gridCol w:w="1702"/>
        <w:gridCol w:w="1472"/>
        <w:gridCol w:w="654"/>
        <w:gridCol w:w="1843"/>
        <w:gridCol w:w="2551"/>
      </w:tblGrid>
      <w:tr w:rsidR="009C682A" w:rsidRPr="007C2ECB" w:rsidTr="009C682A">
        <w:tc>
          <w:tcPr>
            <w:tcW w:w="1702" w:type="dxa"/>
            <w:tcBorders>
              <w:top w:val="single" w:sz="4" w:space="0" w:color="auto"/>
              <w:left w:val="nil"/>
              <w:bottom w:val="single" w:sz="4" w:space="0" w:color="auto"/>
              <w:right w:val="nil"/>
            </w:tcBorders>
          </w:tcPr>
          <w:p w:rsidR="009C682A" w:rsidRPr="00FD44D9" w:rsidRDefault="009C682A" w:rsidP="009C682A">
            <w:pPr>
              <w:rPr>
                <w:rFonts w:cs="Times New Roman"/>
                <w:b/>
                <w:sz w:val="20"/>
                <w:szCs w:val="20"/>
              </w:rPr>
            </w:pPr>
            <w:r w:rsidRPr="00FD44D9">
              <w:rPr>
                <w:rFonts w:cs="Times New Roman"/>
                <w:b/>
                <w:sz w:val="20"/>
                <w:szCs w:val="20"/>
              </w:rPr>
              <w:t>Nutrient</w:t>
            </w:r>
          </w:p>
        </w:tc>
        <w:tc>
          <w:tcPr>
            <w:tcW w:w="2126" w:type="dxa"/>
            <w:gridSpan w:val="2"/>
            <w:tcBorders>
              <w:top w:val="single" w:sz="4" w:space="0" w:color="auto"/>
              <w:left w:val="nil"/>
              <w:bottom w:val="single" w:sz="4" w:space="0" w:color="auto"/>
              <w:right w:val="nil"/>
            </w:tcBorders>
          </w:tcPr>
          <w:p w:rsidR="009C682A" w:rsidRPr="00FD44D9" w:rsidRDefault="009C682A" w:rsidP="009C682A">
            <w:pPr>
              <w:rPr>
                <w:rFonts w:cs="Times New Roman"/>
                <w:b/>
                <w:sz w:val="20"/>
                <w:szCs w:val="20"/>
              </w:rPr>
            </w:pPr>
            <w:r w:rsidRPr="00FD44D9">
              <w:rPr>
                <w:rFonts w:cs="Times New Roman"/>
                <w:b/>
                <w:sz w:val="20"/>
                <w:szCs w:val="20"/>
              </w:rPr>
              <w:t>Total application year 1</w:t>
            </w:r>
            <w:r w:rsidRPr="00FD44D9">
              <w:rPr>
                <w:rFonts w:cs="Times New Roman"/>
                <w:b/>
                <w:sz w:val="20"/>
                <w:szCs w:val="20"/>
                <w:vertAlign w:val="superscript"/>
              </w:rPr>
              <w:t>-1</w:t>
            </w:r>
            <w:r w:rsidRPr="00FD44D9">
              <w:rPr>
                <w:rFonts w:cs="Times New Roman"/>
                <w:b/>
                <w:sz w:val="20"/>
                <w:szCs w:val="20"/>
              </w:rPr>
              <w:t xml:space="preserve"> (µg)</w:t>
            </w:r>
          </w:p>
        </w:tc>
        <w:tc>
          <w:tcPr>
            <w:tcW w:w="1843" w:type="dxa"/>
            <w:tcBorders>
              <w:top w:val="single" w:sz="4" w:space="0" w:color="auto"/>
              <w:left w:val="nil"/>
              <w:bottom w:val="single" w:sz="4" w:space="0" w:color="auto"/>
              <w:right w:val="nil"/>
            </w:tcBorders>
          </w:tcPr>
          <w:p w:rsidR="009C682A" w:rsidRPr="00FD44D9" w:rsidRDefault="009C682A" w:rsidP="009C682A">
            <w:pPr>
              <w:rPr>
                <w:rFonts w:cs="Times New Roman"/>
                <w:b/>
                <w:sz w:val="20"/>
                <w:szCs w:val="20"/>
              </w:rPr>
            </w:pPr>
            <w:r w:rsidRPr="00FD44D9">
              <w:rPr>
                <w:rFonts w:cs="Times New Roman"/>
                <w:b/>
                <w:sz w:val="20"/>
                <w:szCs w:val="20"/>
              </w:rPr>
              <w:t xml:space="preserve">Weekly application (µg) </w:t>
            </w:r>
          </w:p>
        </w:tc>
        <w:tc>
          <w:tcPr>
            <w:tcW w:w="2551" w:type="dxa"/>
            <w:tcBorders>
              <w:top w:val="single" w:sz="4" w:space="0" w:color="auto"/>
              <w:left w:val="nil"/>
              <w:bottom w:val="single" w:sz="4" w:space="0" w:color="auto"/>
              <w:right w:val="nil"/>
            </w:tcBorders>
          </w:tcPr>
          <w:p w:rsidR="009C682A" w:rsidRPr="00FD44D9" w:rsidRDefault="009C682A" w:rsidP="009C682A">
            <w:pPr>
              <w:rPr>
                <w:rFonts w:cs="Times New Roman"/>
                <w:b/>
                <w:sz w:val="20"/>
                <w:szCs w:val="20"/>
              </w:rPr>
            </w:pPr>
            <w:r w:rsidRPr="00FD44D9">
              <w:rPr>
                <w:rFonts w:cs="Times New Roman"/>
                <w:b/>
                <w:sz w:val="20"/>
                <w:szCs w:val="20"/>
              </w:rPr>
              <w:t>Form of nutrient application</w:t>
            </w:r>
          </w:p>
        </w:tc>
      </w:tr>
      <w:tr w:rsidR="009C682A" w:rsidRPr="007C2ECB" w:rsidTr="009C682A">
        <w:tc>
          <w:tcPr>
            <w:tcW w:w="1702" w:type="dxa"/>
            <w:tcBorders>
              <w:top w:val="single" w:sz="4" w:space="0" w:color="auto"/>
              <w:left w:val="nil"/>
              <w:bottom w:val="nil"/>
              <w:right w:val="nil"/>
            </w:tcBorders>
          </w:tcPr>
          <w:p w:rsidR="009C682A" w:rsidRPr="002374B3" w:rsidRDefault="009C682A" w:rsidP="009C682A">
            <w:pPr>
              <w:rPr>
                <w:rFonts w:cs="Times New Roman"/>
                <w:sz w:val="20"/>
                <w:szCs w:val="20"/>
              </w:rPr>
            </w:pPr>
            <w:r w:rsidRPr="002374B3">
              <w:rPr>
                <w:rFonts w:cs="Times New Roman"/>
                <w:sz w:val="20"/>
                <w:szCs w:val="20"/>
              </w:rPr>
              <w:t>Fe</w:t>
            </w:r>
          </w:p>
        </w:tc>
        <w:tc>
          <w:tcPr>
            <w:tcW w:w="2126" w:type="dxa"/>
            <w:gridSpan w:val="2"/>
            <w:tcBorders>
              <w:top w:val="single" w:sz="4" w:space="0" w:color="auto"/>
              <w:left w:val="nil"/>
              <w:bottom w:val="nil"/>
              <w:right w:val="nil"/>
            </w:tcBorders>
          </w:tcPr>
          <w:p w:rsidR="009C682A" w:rsidRPr="002374B3" w:rsidRDefault="009C682A" w:rsidP="009C682A">
            <w:pPr>
              <w:rPr>
                <w:rFonts w:cs="Times New Roman"/>
                <w:color w:val="000000"/>
                <w:sz w:val="20"/>
                <w:szCs w:val="20"/>
              </w:rPr>
            </w:pPr>
            <w:r w:rsidRPr="002374B3">
              <w:rPr>
                <w:rFonts w:cs="Times New Roman"/>
                <w:color w:val="000000"/>
                <w:sz w:val="20"/>
                <w:szCs w:val="20"/>
              </w:rPr>
              <w:t>152.15</w:t>
            </w:r>
          </w:p>
        </w:tc>
        <w:tc>
          <w:tcPr>
            <w:tcW w:w="1843" w:type="dxa"/>
            <w:tcBorders>
              <w:top w:val="single" w:sz="4" w:space="0" w:color="auto"/>
              <w:left w:val="nil"/>
              <w:bottom w:val="nil"/>
              <w:right w:val="nil"/>
            </w:tcBorders>
          </w:tcPr>
          <w:p w:rsidR="009C682A" w:rsidRPr="002374B3" w:rsidRDefault="009C682A" w:rsidP="009C682A">
            <w:pPr>
              <w:rPr>
                <w:rFonts w:cs="Times New Roman"/>
                <w:color w:val="000000"/>
                <w:sz w:val="20"/>
                <w:szCs w:val="20"/>
              </w:rPr>
            </w:pPr>
            <w:r w:rsidRPr="002374B3">
              <w:rPr>
                <w:rFonts w:cs="Times New Roman"/>
                <w:color w:val="000000"/>
                <w:sz w:val="20"/>
                <w:szCs w:val="20"/>
              </w:rPr>
              <w:t>7.61</w:t>
            </w:r>
          </w:p>
        </w:tc>
        <w:tc>
          <w:tcPr>
            <w:tcW w:w="2551" w:type="dxa"/>
            <w:tcBorders>
              <w:top w:val="single" w:sz="4" w:space="0" w:color="auto"/>
              <w:left w:val="nil"/>
              <w:bottom w:val="nil"/>
              <w:right w:val="nil"/>
            </w:tcBorders>
          </w:tcPr>
          <w:p w:rsidR="009C682A" w:rsidRPr="002374B3" w:rsidRDefault="009C682A" w:rsidP="009C682A">
            <w:pPr>
              <w:rPr>
                <w:rFonts w:cs="Times New Roman"/>
                <w:sz w:val="20"/>
                <w:szCs w:val="20"/>
              </w:rPr>
            </w:pPr>
            <w:proofErr w:type="spellStart"/>
            <w:r w:rsidRPr="002374B3">
              <w:rPr>
                <w:rFonts w:cs="Times New Roman"/>
                <w:sz w:val="20"/>
                <w:szCs w:val="20"/>
              </w:rPr>
              <w:t>FeEDTA</w:t>
            </w:r>
            <w:proofErr w:type="spellEnd"/>
          </w:p>
        </w:tc>
      </w:tr>
      <w:tr w:rsidR="009C682A" w:rsidRPr="007C2ECB" w:rsidTr="009C682A">
        <w:tc>
          <w:tcPr>
            <w:tcW w:w="1702" w:type="dxa"/>
            <w:tcBorders>
              <w:top w:val="nil"/>
              <w:left w:val="nil"/>
              <w:bottom w:val="nil"/>
              <w:right w:val="nil"/>
            </w:tcBorders>
          </w:tcPr>
          <w:p w:rsidR="009C682A" w:rsidRPr="002374B3" w:rsidRDefault="009C682A" w:rsidP="009C682A">
            <w:pPr>
              <w:rPr>
                <w:rFonts w:cs="Times New Roman"/>
                <w:sz w:val="20"/>
                <w:szCs w:val="20"/>
              </w:rPr>
            </w:pPr>
            <w:proofErr w:type="spellStart"/>
            <w:r w:rsidRPr="002374B3">
              <w:rPr>
                <w:rFonts w:cs="Times New Roman"/>
                <w:sz w:val="20"/>
                <w:szCs w:val="20"/>
              </w:rPr>
              <w:t>Mn</w:t>
            </w:r>
            <w:proofErr w:type="spellEnd"/>
          </w:p>
        </w:tc>
        <w:tc>
          <w:tcPr>
            <w:tcW w:w="2126" w:type="dxa"/>
            <w:gridSpan w:val="2"/>
            <w:tcBorders>
              <w:top w:val="nil"/>
              <w:left w:val="nil"/>
              <w:bottom w:val="nil"/>
              <w:right w:val="nil"/>
            </w:tcBorders>
          </w:tcPr>
          <w:p w:rsidR="009C682A" w:rsidRPr="002374B3" w:rsidRDefault="009C682A" w:rsidP="009C682A">
            <w:pPr>
              <w:rPr>
                <w:rFonts w:cs="Times New Roman"/>
                <w:color w:val="000000"/>
                <w:sz w:val="20"/>
                <w:szCs w:val="20"/>
              </w:rPr>
            </w:pPr>
            <w:r w:rsidRPr="002374B3">
              <w:rPr>
                <w:rFonts w:cs="Times New Roman"/>
                <w:color w:val="000000"/>
                <w:sz w:val="20"/>
                <w:szCs w:val="20"/>
              </w:rPr>
              <w:t>25.46</w:t>
            </w:r>
          </w:p>
        </w:tc>
        <w:tc>
          <w:tcPr>
            <w:tcW w:w="1843" w:type="dxa"/>
            <w:tcBorders>
              <w:top w:val="nil"/>
              <w:left w:val="nil"/>
              <w:bottom w:val="nil"/>
              <w:right w:val="nil"/>
            </w:tcBorders>
          </w:tcPr>
          <w:p w:rsidR="009C682A" w:rsidRPr="002374B3" w:rsidRDefault="009C682A" w:rsidP="009C682A">
            <w:pPr>
              <w:rPr>
                <w:rFonts w:cs="Times New Roman"/>
                <w:color w:val="000000"/>
                <w:sz w:val="20"/>
                <w:szCs w:val="20"/>
              </w:rPr>
            </w:pPr>
            <w:r w:rsidRPr="002374B3">
              <w:rPr>
                <w:rFonts w:cs="Times New Roman"/>
                <w:color w:val="000000"/>
                <w:sz w:val="20"/>
                <w:szCs w:val="20"/>
              </w:rPr>
              <w:t>1.27</w:t>
            </w:r>
          </w:p>
        </w:tc>
        <w:tc>
          <w:tcPr>
            <w:tcW w:w="2551" w:type="dxa"/>
            <w:tcBorders>
              <w:top w:val="nil"/>
              <w:left w:val="nil"/>
              <w:bottom w:val="nil"/>
              <w:right w:val="nil"/>
            </w:tcBorders>
          </w:tcPr>
          <w:p w:rsidR="009C682A" w:rsidRPr="002374B3" w:rsidRDefault="009C682A" w:rsidP="009C682A">
            <w:pPr>
              <w:rPr>
                <w:rFonts w:cs="Times New Roman"/>
                <w:sz w:val="20"/>
                <w:szCs w:val="20"/>
              </w:rPr>
            </w:pPr>
            <w:r w:rsidRPr="002374B3">
              <w:rPr>
                <w:rFonts w:cs="Times New Roman"/>
                <w:sz w:val="20"/>
                <w:szCs w:val="20"/>
              </w:rPr>
              <w:t>MnSO</w:t>
            </w:r>
            <w:r w:rsidRPr="002374B3">
              <w:rPr>
                <w:rFonts w:cs="Times New Roman"/>
                <w:sz w:val="20"/>
                <w:szCs w:val="20"/>
                <w:vertAlign w:val="subscript"/>
              </w:rPr>
              <w:t>4</w:t>
            </w:r>
            <w:r w:rsidRPr="002374B3">
              <w:rPr>
                <w:rFonts w:cs="Times New Roman"/>
                <w:sz w:val="20"/>
                <w:szCs w:val="20"/>
              </w:rPr>
              <w:t>.4H</w:t>
            </w:r>
            <w:r w:rsidRPr="002374B3">
              <w:rPr>
                <w:rFonts w:cs="Times New Roman"/>
                <w:sz w:val="20"/>
                <w:szCs w:val="20"/>
                <w:vertAlign w:val="subscript"/>
              </w:rPr>
              <w:t>2</w:t>
            </w:r>
            <w:r w:rsidRPr="002374B3">
              <w:rPr>
                <w:rFonts w:cs="Times New Roman"/>
                <w:sz w:val="20"/>
                <w:szCs w:val="20"/>
              </w:rPr>
              <w:t>O</w:t>
            </w:r>
          </w:p>
        </w:tc>
      </w:tr>
      <w:tr w:rsidR="009C682A" w:rsidRPr="007C2ECB" w:rsidTr="009C682A">
        <w:tc>
          <w:tcPr>
            <w:tcW w:w="1702" w:type="dxa"/>
            <w:tcBorders>
              <w:top w:val="nil"/>
              <w:left w:val="nil"/>
              <w:bottom w:val="nil"/>
              <w:right w:val="nil"/>
            </w:tcBorders>
          </w:tcPr>
          <w:p w:rsidR="009C682A" w:rsidRPr="002374B3" w:rsidRDefault="009C682A" w:rsidP="009C682A">
            <w:pPr>
              <w:rPr>
                <w:rFonts w:cs="Times New Roman"/>
                <w:sz w:val="20"/>
                <w:szCs w:val="20"/>
              </w:rPr>
            </w:pPr>
            <w:r w:rsidRPr="002374B3">
              <w:rPr>
                <w:rFonts w:cs="Times New Roman"/>
                <w:sz w:val="20"/>
                <w:szCs w:val="20"/>
              </w:rPr>
              <w:t>B</w:t>
            </w:r>
          </w:p>
        </w:tc>
        <w:tc>
          <w:tcPr>
            <w:tcW w:w="2126" w:type="dxa"/>
            <w:gridSpan w:val="2"/>
            <w:tcBorders>
              <w:top w:val="nil"/>
              <w:left w:val="nil"/>
              <w:bottom w:val="nil"/>
              <w:right w:val="nil"/>
            </w:tcBorders>
          </w:tcPr>
          <w:p w:rsidR="009C682A" w:rsidRPr="002374B3" w:rsidRDefault="009C682A" w:rsidP="009C682A">
            <w:pPr>
              <w:rPr>
                <w:rFonts w:cs="Times New Roman"/>
                <w:color w:val="000000"/>
                <w:sz w:val="20"/>
                <w:szCs w:val="20"/>
              </w:rPr>
            </w:pPr>
            <w:r w:rsidRPr="002374B3">
              <w:rPr>
                <w:rFonts w:cs="Times New Roman"/>
                <w:color w:val="000000"/>
                <w:sz w:val="20"/>
                <w:szCs w:val="20"/>
              </w:rPr>
              <w:t>20.02</w:t>
            </w:r>
          </w:p>
        </w:tc>
        <w:tc>
          <w:tcPr>
            <w:tcW w:w="1843" w:type="dxa"/>
            <w:tcBorders>
              <w:top w:val="nil"/>
              <w:left w:val="nil"/>
              <w:bottom w:val="nil"/>
              <w:right w:val="nil"/>
            </w:tcBorders>
          </w:tcPr>
          <w:p w:rsidR="009C682A" w:rsidRPr="002374B3" w:rsidRDefault="009C682A" w:rsidP="009C682A">
            <w:pPr>
              <w:rPr>
                <w:rFonts w:cs="Times New Roman"/>
                <w:color w:val="000000"/>
                <w:sz w:val="20"/>
                <w:szCs w:val="20"/>
              </w:rPr>
            </w:pPr>
            <w:r w:rsidRPr="002374B3">
              <w:rPr>
                <w:rFonts w:cs="Times New Roman"/>
                <w:color w:val="000000"/>
                <w:sz w:val="20"/>
                <w:szCs w:val="20"/>
              </w:rPr>
              <w:t>1.00</w:t>
            </w:r>
          </w:p>
        </w:tc>
        <w:tc>
          <w:tcPr>
            <w:tcW w:w="2551" w:type="dxa"/>
            <w:tcBorders>
              <w:top w:val="nil"/>
              <w:left w:val="nil"/>
              <w:bottom w:val="nil"/>
              <w:right w:val="nil"/>
            </w:tcBorders>
          </w:tcPr>
          <w:p w:rsidR="009C682A" w:rsidRPr="002374B3" w:rsidRDefault="009C682A" w:rsidP="009C682A">
            <w:pPr>
              <w:rPr>
                <w:rFonts w:cs="Times New Roman"/>
                <w:sz w:val="20"/>
                <w:szCs w:val="20"/>
              </w:rPr>
            </w:pPr>
            <w:r w:rsidRPr="002374B3">
              <w:rPr>
                <w:rFonts w:cs="Times New Roman"/>
                <w:sz w:val="20"/>
                <w:szCs w:val="20"/>
              </w:rPr>
              <w:t>H</w:t>
            </w:r>
            <w:r w:rsidRPr="002374B3">
              <w:rPr>
                <w:rFonts w:cs="Times New Roman"/>
                <w:sz w:val="20"/>
                <w:szCs w:val="20"/>
                <w:vertAlign w:val="subscript"/>
              </w:rPr>
              <w:t>3</w:t>
            </w:r>
            <w:r w:rsidRPr="002374B3">
              <w:rPr>
                <w:rFonts w:cs="Times New Roman"/>
                <w:sz w:val="20"/>
                <w:szCs w:val="20"/>
              </w:rPr>
              <w:t>BO</w:t>
            </w:r>
            <w:r w:rsidRPr="002374B3">
              <w:rPr>
                <w:rFonts w:cs="Times New Roman"/>
                <w:sz w:val="20"/>
                <w:szCs w:val="20"/>
                <w:vertAlign w:val="subscript"/>
              </w:rPr>
              <w:t>3</w:t>
            </w:r>
          </w:p>
        </w:tc>
      </w:tr>
      <w:tr w:rsidR="009C682A" w:rsidRPr="007C2ECB" w:rsidTr="009C682A">
        <w:tc>
          <w:tcPr>
            <w:tcW w:w="1702" w:type="dxa"/>
            <w:tcBorders>
              <w:top w:val="nil"/>
              <w:left w:val="nil"/>
              <w:bottom w:val="nil"/>
              <w:right w:val="nil"/>
            </w:tcBorders>
          </w:tcPr>
          <w:p w:rsidR="009C682A" w:rsidRPr="002374B3" w:rsidRDefault="009C682A" w:rsidP="009C682A">
            <w:pPr>
              <w:rPr>
                <w:rFonts w:cs="Times New Roman"/>
                <w:sz w:val="20"/>
                <w:szCs w:val="20"/>
              </w:rPr>
            </w:pPr>
            <w:r w:rsidRPr="002374B3">
              <w:rPr>
                <w:rFonts w:cs="Times New Roman"/>
                <w:sz w:val="20"/>
                <w:szCs w:val="20"/>
              </w:rPr>
              <w:t>Mo</w:t>
            </w:r>
          </w:p>
        </w:tc>
        <w:tc>
          <w:tcPr>
            <w:tcW w:w="2126" w:type="dxa"/>
            <w:gridSpan w:val="2"/>
            <w:tcBorders>
              <w:top w:val="nil"/>
              <w:left w:val="nil"/>
              <w:bottom w:val="nil"/>
              <w:right w:val="nil"/>
            </w:tcBorders>
          </w:tcPr>
          <w:p w:rsidR="009C682A" w:rsidRPr="002374B3" w:rsidRDefault="009C682A" w:rsidP="009C682A">
            <w:pPr>
              <w:rPr>
                <w:rFonts w:cs="Times New Roman"/>
                <w:color w:val="000000"/>
                <w:sz w:val="20"/>
                <w:szCs w:val="20"/>
              </w:rPr>
            </w:pPr>
            <w:r w:rsidRPr="002374B3">
              <w:rPr>
                <w:rFonts w:cs="Times New Roman"/>
                <w:color w:val="000000"/>
                <w:sz w:val="20"/>
                <w:szCs w:val="20"/>
              </w:rPr>
              <w:t>5.59</w:t>
            </w:r>
          </w:p>
        </w:tc>
        <w:tc>
          <w:tcPr>
            <w:tcW w:w="1843" w:type="dxa"/>
            <w:tcBorders>
              <w:top w:val="nil"/>
              <w:left w:val="nil"/>
              <w:bottom w:val="nil"/>
              <w:right w:val="nil"/>
            </w:tcBorders>
          </w:tcPr>
          <w:p w:rsidR="009C682A" w:rsidRPr="002374B3" w:rsidRDefault="009C682A" w:rsidP="009C682A">
            <w:pPr>
              <w:rPr>
                <w:rFonts w:cs="Times New Roman"/>
                <w:color w:val="000000"/>
                <w:sz w:val="20"/>
                <w:szCs w:val="20"/>
              </w:rPr>
            </w:pPr>
            <w:r w:rsidRPr="002374B3">
              <w:rPr>
                <w:rFonts w:cs="Times New Roman"/>
                <w:color w:val="000000"/>
                <w:sz w:val="20"/>
                <w:szCs w:val="20"/>
              </w:rPr>
              <w:t>0.28</w:t>
            </w:r>
          </w:p>
        </w:tc>
        <w:tc>
          <w:tcPr>
            <w:tcW w:w="2551" w:type="dxa"/>
            <w:tcBorders>
              <w:top w:val="nil"/>
              <w:left w:val="nil"/>
              <w:bottom w:val="nil"/>
              <w:right w:val="nil"/>
            </w:tcBorders>
          </w:tcPr>
          <w:p w:rsidR="009C682A" w:rsidRPr="002374B3" w:rsidRDefault="009C682A" w:rsidP="009C682A">
            <w:pPr>
              <w:rPr>
                <w:rFonts w:cs="Times New Roman"/>
                <w:sz w:val="20"/>
                <w:szCs w:val="20"/>
              </w:rPr>
            </w:pPr>
            <w:r w:rsidRPr="002374B3">
              <w:rPr>
                <w:rFonts w:cs="Times New Roman"/>
                <w:sz w:val="20"/>
                <w:szCs w:val="20"/>
              </w:rPr>
              <w:t>(NH</w:t>
            </w:r>
            <w:r w:rsidRPr="002374B3">
              <w:rPr>
                <w:rFonts w:cs="Times New Roman"/>
                <w:sz w:val="20"/>
                <w:szCs w:val="20"/>
                <w:vertAlign w:val="subscript"/>
              </w:rPr>
              <w:t>4</w:t>
            </w:r>
            <w:r w:rsidRPr="002374B3">
              <w:rPr>
                <w:rFonts w:cs="Times New Roman"/>
                <w:sz w:val="20"/>
                <w:szCs w:val="20"/>
              </w:rPr>
              <w:t>)6Mo</w:t>
            </w:r>
            <w:r w:rsidRPr="002374B3">
              <w:rPr>
                <w:rFonts w:cs="Times New Roman"/>
                <w:sz w:val="20"/>
                <w:szCs w:val="20"/>
                <w:vertAlign w:val="subscript"/>
              </w:rPr>
              <w:t>7</w:t>
            </w:r>
            <w:r w:rsidRPr="002374B3">
              <w:rPr>
                <w:rFonts w:cs="Times New Roman"/>
                <w:sz w:val="20"/>
                <w:szCs w:val="20"/>
              </w:rPr>
              <w:t>O</w:t>
            </w:r>
            <w:r w:rsidRPr="002374B3">
              <w:rPr>
                <w:rFonts w:cs="Times New Roman"/>
                <w:sz w:val="20"/>
                <w:szCs w:val="20"/>
                <w:vertAlign w:val="subscript"/>
              </w:rPr>
              <w:t>2</w:t>
            </w:r>
            <w:r w:rsidRPr="002374B3">
              <w:rPr>
                <w:rFonts w:cs="Times New Roman"/>
                <w:sz w:val="20"/>
                <w:szCs w:val="20"/>
              </w:rPr>
              <w:t>.4H</w:t>
            </w:r>
            <w:r w:rsidRPr="002374B3">
              <w:rPr>
                <w:rFonts w:cs="Times New Roman"/>
                <w:sz w:val="20"/>
                <w:szCs w:val="20"/>
                <w:vertAlign w:val="subscript"/>
              </w:rPr>
              <w:t>2</w:t>
            </w:r>
            <w:r w:rsidRPr="002374B3">
              <w:rPr>
                <w:rFonts w:cs="Times New Roman"/>
                <w:sz w:val="20"/>
                <w:szCs w:val="20"/>
              </w:rPr>
              <w:t>O</w:t>
            </w:r>
          </w:p>
        </w:tc>
      </w:tr>
      <w:tr w:rsidR="009C682A" w:rsidRPr="007C2ECB" w:rsidTr="009C682A">
        <w:tc>
          <w:tcPr>
            <w:tcW w:w="1702" w:type="dxa"/>
            <w:tcBorders>
              <w:top w:val="nil"/>
              <w:left w:val="nil"/>
              <w:bottom w:val="nil"/>
              <w:right w:val="nil"/>
            </w:tcBorders>
          </w:tcPr>
          <w:p w:rsidR="009C682A" w:rsidRPr="002374B3" w:rsidRDefault="009C682A" w:rsidP="009C682A">
            <w:pPr>
              <w:rPr>
                <w:rFonts w:cs="Times New Roman"/>
                <w:sz w:val="20"/>
                <w:szCs w:val="20"/>
              </w:rPr>
            </w:pPr>
            <w:r w:rsidRPr="002374B3">
              <w:rPr>
                <w:rFonts w:cs="Times New Roman"/>
                <w:sz w:val="20"/>
                <w:szCs w:val="20"/>
              </w:rPr>
              <w:t>Zn</w:t>
            </w:r>
          </w:p>
        </w:tc>
        <w:tc>
          <w:tcPr>
            <w:tcW w:w="2126" w:type="dxa"/>
            <w:gridSpan w:val="2"/>
            <w:tcBorders>
              <w:top w:val="nil"/>
              <w:left w:val="nil"/>
              <w:bottom w:val="nil"/>
              <w:right w:val="nil"/>
            </w:tcBorders>
          </w:tcPr>
          <w:p w:rsidR="009C682A" w:rsidRPr="002374B3" w:rsidRDefault="009C682A" w:rsidP="009C682A">
            <w:pPr>
              <w:rPr>
                <w:rFonts w:cs="Times New Roman"/>
                <w:color w:val="000000"/>
                <w:sz w:val="20"/>
                <w:szCs w:val="20"/>
              </w:rPr>
            </w:pPr>
            <w:r w:rsidRPr="002374B3">
              <w:rPr>
                <w:rFonts w:cs="Times New Roman"/>
                <w:color w:val="000000"/>
                <w:sz w:val="20"/>
                <w:szCs w:val="20"/>
              </w:rPr>
              <w:t>4.00</w:t>
            </w:r>
          </w:p>
        </w:tc>
        <w:tc>
          <w:tcPr>
            <w:tcW w:w="1843" w:type="dxa"/>
            <w:tcBorders>
              <w:top w:val="nil"/>
              <w:left w:val="nil"/>
              <w:bottom w:val="nil"/>
              <w:right w:val="nil"/>
            </w:tcBorders>
          </w:tcPr>
          <w:p w:rsidR="009C682A" w:rsidRPr="002374B3" w:rsidRDefault="009C682A" w:rsidP="009C682A">
            <w:pPr>
              <w:rPr>
                <w:rFonts w:cs="Times New Roman"/>
                <w:color w:val="000000"/>
                <w:sz w:val="20"/>
                <w:szCs w:val="20"/>
              </w:rPr>
            </w:pPr>
            <w:r w:rsidRPr="002374B3">
              <w:rPr>
                <w:rFonts w:cs="Times New Roman"/>
                <w:color w:val="000000"/>
                <w:sz w:val="20"/>
                <w:szCs w:val="20"/>
              </w:rPr>
              <w:t>0.20</w:t>
            </w:r>
          </w:p>
        </w:tc>
        <w:tc>
          <w:tcPr>
            <w:tcW w:w="2551" w:type="dxa"/>
            <w:tcBorders>
              <w:top w:val="nil"/>
              <w:left w:val="nil"/>
              <w:bottom w:val="nil"/>
              <w:right w:val="nil"/>
            </w:tcBorders>
          </w:tcPr>
          <w:p w:rsidR="009C682A" w:rsidRPr="002374B3" w:rsidRDefault="009C682A" w:rsidP="009C682A">
            <w:pPr>
              <w:rPr>
                <w:rFonts w:cs="Times New Roman"/>
                <w:sz w:val="20"/>
                <w:szCs w:val="20"/>
              </w:rPr>
            </w:pPr>
            <w:r w:rsidRPr="002374B3">
              <w:rPr>
                <w:rFonts w:cs="Times New Roman"/>
                <w:sz w:val="20"/>
                <w:szCs w:val="20"/>
              </w:rPr>
              <w:t>ZnS0</w:t>
            </w:r>
            <w:r w:rsidRPr="002374B3">
              <w:rPr>
                <w:rFonts w:cs="Times New Roman"/>
                <w:sz w:val="20"/>
                <w:szCs w:val="20"/>
                <w:vertAlign w:val="subscript"/>
              </w:rPr>
              <w:t>4</w:t>
            </w:r>
            <w:r w:rsidRPr="002374B3">
              <w:rPr>
                <w:rFonts w:cs="Times New Roman"/>
                <w:sz w:val="20"/>
                <w:szCs w:val="20"/>
              </w:rPr>
              <w:t>.7H</w:t>
            </w:r>
            <w:r w:rsidRPr="002374B3">
              <w:rPr>
                <w:rFonts w:cs="Times New Roman"/>
                <w:sz w:val="20"/>
                <w:szCs w:val="20"/>
                <w:vertAlign w:val="subscript"/>
              </w:rPr>
              <w:t>2</w:t>
            </w:r>
            <w:r w:rsidRPr="002374B3">
              <w:rPr>
                <w:rFonts w:cs="Times New Roman"/>
                <w:sz w:val="20"/>
                <w:szCs w:val="20"/>
              </w:rPr>
              <w:t>0</w:t>
            </w:r>
          </w:p>
        </w:tc>
      </w:tr>
      <w:tr w:rsidR="009C682A" w:rsidRPr="007C2ECB" w:rsidTr="009C682A">
        <w:tc>
          <w:tcPr>
            <w:tcW w:w="1702" w:type="dxa"/>
            <w:tcBorders>
              <w:top w:val="nil"/>
              <w:left w:val="nil"/>
              <w:bottom w:val="nil"/>
              <w:right w:val="nil"/>
            </w:tcBorders>
          </w:tcPr>
          <w:p w:rsidR="009C682A" w:rsidRPr="002374B3" w:rsidRDefault="009C682A" w:rsidP="009C682A">
            <w:pPr>
              <w:rPr>
                <w:rFonts w:cs="Times New Roman"/>
                <w:sz w:val="20"/>
                <w:szCs w:val="20"/>
              </w:rPr>
            </w:pPr>
            <w:r w:rsidRPr="002374B3">
              <w:rPr>
                <w:rFonts w:cs="Times New Roman"/>
                <w:sz w:val="20"/>
                <w:szCs w:val="20"/>
              </w:rPr>
              <w:t>Cu</w:t>
            </w:r>
          </w:p>
        </w:tc>
        <w:tc>
          <w:tcPr>
            <w:tcW w:w="2126" w:type="dxa"/>
            <w:gridSpan w:val="2"/>
            <w:tcBorders>
              <w:top w:val="nil"/>
              <w:left w:val="nil"/>
              <w:bottom w:val="nil"/>
              <w:right w:val="nil"/>
            </w:tcBorders>
          </w:tcPr>
          <w:p w:rsidR="009C682A" w:rsidRPr="002374B3" w:rsidRDefault="009C682A" w:rsidP="009C682A">
            <w:pPr>
              <w:rPr>
                <w:rFonts w:cs="Times New Roman"/>
                <w:color w:val="000000"/>
                <w:sz w:val="20"/>
                <w:szCs w:val="20"/>
              </w:rPr>
            </w:pPr>
            <w:r w:rsidRPr="002374B3">
              <w:rPr>
                <w:rFonts w:cs="Times New Roman"/>
                <w:color w:val="000000"/>
                <w:sz w:val="20"/>
                <w:szCs w:val="20"/>
              </w:rPr>
              <w:t>4.00</w:t>
            </w:r>
          </w:p>
        </w:tc>
        <w:tc>
          <w:tcPr>
            <w:tcW w:w="1843" w:type="dxa"/>
            <w:tcBorders>
              <w:top w:val="nil"/>
              <w:left w:val="nil"/>
              <w:bottom w:val="nil"/>
              <w:right w:val="nil"/>
            </w:tcBorders>
          </w:tcPr>
          <w:p w:rsidR="009C682A" w:rsidRPr="002374B3" w:rsidRDefault="009C682A" w:rsidP="009C682A">
            <w:pPr>
              <w:rPr>
                <w:rFonts w:cs="Times New Roman"/>
                <w:color w:val="000000"/>
                <w:sz w:val="20"/>
                <w:szCs w:val="20"/>
              </w:rPr>
            </w:pPr>
            <w:r w:rsidRPr="002374B3">
              <w:rPr>
                <w:rFonts w:cs="Times New Roman"/>
                <w:color w:val="000000"/>
                <w:sz w:val="20"/>
                <w:szCs w:val="20"/>
              </w:rPr>
              <w:t>0.20</w:t>
            </w:r>
          </w:p>
        </w:tc>
        <w:tc>
          <w:tcPr>
            <w:tcW w:w="2551" w:type="dxa"/>
            <w:tcBorders>
              <w:top w:val="nil"/>
              <w:left w:val="nil"/>
              <w:bottom w:val="nil"/>
              <w:right w:val="nil"/>
            </w:tcBorders>
          </w:tcPr>
          <w:p w:rsidR="009C682A" w:rsidRPr="002374B3" w:rsidRDefault="009C682A" w:rsidP="009C682A">
            <w:pPr>
              <w:rPr>
                <w:rFonts w:cs="Times New Roman"/>
                <w:sz w:val="20"/>
                <w:szCs w:val="20"/>
              </w:rPr>
            </w:pPr>
            <w:r w:rsidRPr="002374B3">
              <w:rPr>
                <w:rFonts w:cs="Times New Roman"/>
                <w:sz w:val="20"/>
                <w:szCs w:val="20"/>
              </w:rPr>
              <w:t>CuSO</w:t>
            </w:r>
            <w:r w:rsidRPr="002374B3">
              <w:rPr>
                <w:rFonts w:cs="Times New Roman"/>
                <w:sz w:val="20"/>
                <w:szCs w:val="20"/>
                <w:vertAlign w:val="subscript"/>
              </w:rPr>
              <w:t>4</w:t>
            </w:r>
            <w:r w:rsidRPr="002374B3">
              <w:rPr>
                <w:rFonts w:cs="Times New Roman"/>
                <w:sz w:val="20"/>
                <w:szCs w:val="20"/>
              </w:rPr>
              <w:t>.5H</w:t>
            </w:r>
            <w:r w:rsidRPr="002374B3">
              <w:rPr>
                <w:rFonts w:cs="Times New Roman"/>
                <w:sz w:val="20"/>
                <w:szCs w:val="20"/>
                <w:vertAlign w:val="subscript"/>
              </w:rPr>
              <w:t>2</w:t>
            </w:r>
            <w:r w:rsidRPr="002374B3">
              <w:rPr>
                <w:rFonts w:cs="Times New Roman"/>
                <w:sz w:val="20"/>
                <w:szCs w:val="20"/>
              </w:rPr>
              <w:t>0</w:t>
            </w:r>
          </w:p>
        </w:tc>
      </w:tr>
      <w:tr w:rsidR="009C682A" w:rsidRPr="007C2ECB" w:rsidTr="009C682A">
        <w:tc>
          <w:tcPr>
            <w:tcW w:w="1702" w:type="dxa"/>
            <w:tcBorders>
              <w:top w:val="nil"/>
              <w:left w:val="nil"/>
              <w:bottom w:val="single" w:sz="4" w:space="0" w:color="auto"/>
              <w:right w:val="nil"/>
            </w:tcBorders>
          </w:tcPr>
          <w:p w:rsidR="009C682A" w:rsidRPr="002374B3" w:rsidRDefault="009C682A" w:rsidP="009C682A">
            <w:pPr>
              <w:rPr>
                <w:rFonts w:cs="Times New Roman"/>
                <w:sz w:val="20"/>
                <w:szCs w:val="20"/>
              </w:rPr>
            </w:pPr>
            <w:r w:rsidRPr="002374B3">
              <w:rPr>
                <w:rFonts w:cs="Times New Roman"/>
                <w:sz w:val="20"/>
                <w:szCs w:val="20"/>
              </w:rPr>
              <w:t>S</w:t>
            </w:r>
          </w:p>
        </w:tc>
        <w:tc>
          <w:tcPr>
            <w:tcW w:w="2126" w:type="dxa"/>
            <w:gridSpan w:val="2"/>
            <w:tcBorders>
              <w:top w:val="nil"/>
              <w:left w:val="nil"/>
              <w:bottom w:val="single" w:sz="4" w:space="0" w:color="auto"/>
              <w:right w:val="nil"/>
            </w:tcBorders>
          </w:tcPr>
          <w:p w:rsidR="009C682A" w:rsidRPr="002374B3" w:rsidRDefault="009C682A" w:rsidP="009C682A">
            <w:pPr>
              <w:rPr>
                <w:rFonts w:cs="Times New Roman"/>
                <w:color w:val="000000"/>
                <w:sz w:val="20"/>
                <w:szCs w:val="20"/>
              </w:rPr>
            </w:pPr>
            <w:r w:rsidRPr="002374B3">
              <w:rPr>
                <w:rFonts w:cs="Times New Roman"/>
                <w:color w:val="000000"/>
                <w:sz w:val="20"/>
                <w:szCs w:val="20"/>
              </w:rPr>
              <w:t>18.84</w:t>
            </w:r>
          </w:p>
        </w:tc>
        <w:tc>
          <w:tcPr>
            <w:tcW w:w="1843" w:type="dxa"/>
            <w:tcBorders>
              <w:top w:val="nil"/>
              <w:left w:val="nil"/>
              <w:bottom w:val="single" w:sz="4" w:space="0" w:color="auto"/>
              <w:right w:val="nil"/>
            </w:tcBorders>
          </w:tcPr>
          <w:p w:rsidR="009C682A" w:rsidRPr="002374B3" w:rsidRDefault="009C682A" w:rsidP="009C682A">
            <w:pPr>
              <w:rPr>
                <w:rFonts w:cs="Times New Roman"/>
                <w:color w:val="000000"/>
                <w:sz w:val="20"/>
                <w:szCs w:val="20"/>
              </w:rPr>
            </w:pPr>
            <w:r w:rsidRPr="002374B3">
              <w:rPr>
                <w:rFonts w:cs="Times New Roman"/>
                <w:color w:val="000000"/>
                <w:sz w:val="20"/>
                <w:szCs w:val="20"/>
              </w:rPr>
              <w:t>0.94</w:t>
            </w:r>
          </w:p>
        </w:tc>
        <w:tc>
          <w:tcPr>
            <w:tcW w:w="2551" w:type="dxa"/>
            <w:tcBorders>
              <w:top w:val="nil"/>
              <w:left w:val="nil"/>
              <w:bottom w:val="single" w:sz="4" w:space="0" w:color="auto"/>
              <w:right w:val="nil"/>
            </w:tcBorders>
          </w:tcPr>
          <w:p w:rsidR="009C682A" w:rsidRPr="002374B3" w:rsidRDefault="009C682A" w:rsidP="009C682A">
            <w:pPr>
              <w:rPr>
                <w:rFonts w:cs="Times New Roman"/>
                <w:sz w:val="20"/>
                <w:szCs w:val="20"/>
              </w:rPr>
            </w:pPr>
            <w:r w:rsidRPr="002374B3">
              <w:rPr>
                <w:rFonts w:cs="Times New Roman"/>
                <w:sz w:val="20"/>
                <w:szCs w:val="20"/>
              </w:rPr>
              <w:t>MnSO</w:t>
            </w:r>
            <w:r w:rsidRPr="002374B3">
              <w:rPr>
                <w:rFonts w:cs="Times New Roman"/>
                <w:sz w:val="20"/>
                <w:szCs w:val="20"/>
                <w:vertAlign w:val="subscript"/>
              </w:rPr>
              <w:t>4</w:t>
            </w:r>
            <w:r w:rsidRPr="002374B3">
              <w:rPr>
                <w:rFonts w:cs="Times New Roman"/>
                <w:sz w:val="20"/>
                <w:szCs w:val="20"/>
              </w:rPr>
              <w:t>.4H</w:t>
            </w:r>
            <w:r w:rsidRPr="002374B3">
              <w:rPr>
                <w:rFonts w:cs="Times New Roman"/>
                <w:sz w:val="20"/>
                <w:szCs w:val="20"/>
                <w:vertAlign w:val="subscript"/>
              </w:rPr>
              <w:t>2</w:t>
            </w:r>
            <w:r>
              <w:rPr>
                <w:rFonts w:cs="Times New Roman"/>
                <w:sz w:val="20"/>
                <w:szCs w:val="20"/>
              </w:rPr>
              <w:t>O</w:t>
            </w:r>
          </w:p>
        </w:tc>
      </w:tr>
      <w:tr w:rsidR="009C682A" w:rsidRPr="007C2ECB" w:rsidTr="009C682A">
        <w:trPr>
          <w:gridAfter w:val="1"/>
          <w:wAfter w:w="2551" w:type="dxa"/>
        </w:trPr>
        <w:tc>
          <w:tcPr>
            <w:tcW w:w="3174" w:type="dxa"/>
            <w:gridSpan w:val="2"/>
            <w:tcBorders>
              <w:top w:val="single" w:sz="4" w:space="0" w:color="auto"/>
              <w:left w:val="nil"/>
              <w:bottom w:val="nil"/>
              <w:right w:val="nil"/>
            </w:tcBorders>
          </w:tcPr>
          <w:p w:rsidR="009C682A" w:rsidRPr="007C2ECB" w:rsidRDefault="009C682A" w:rsidP="009C682A">
            <w:pPr>
              <w:rPr>
                <w:rFonts w:cs="Times New Roman"/>
                <w:sz w:val="20"/>
                <w:szCs w:val="20"/>
              </w:rPr>
            </w:pPr>
          </w:p>
        </w:tc>
        <w:tc>
          <w:tcPr>
            <w:tcW w:w="2497" w:type="dxa"/>
            <w:gridSpan w:val="2"/>
            <w:tcBorders>
              <w:top w:val="single" w:sz="4" w:space="0" w:color="auto"/>
              <w:left w:val="nil"/>
              <w:bottom w:val="nil"/>
              <w:right w:val="nil"/>
            </w:tcBorders>
          </w:tcPr>
          <w:p w:rsidR="009C682A" w:rsidRPr="007C2ECB" w:rsidRDefault="009C682A" w:rsidP="009C682A">
            <w:pPr>
              <w:rPr>
                <w:rFonts w:cs="Times New Roman"/>
                <w:sz w:val="20"/>
                <w:szCs w:val="20"/>
              </w:rPr>
            </w:pPr>
          </w:p>
        </w:tc>
      </w:tr>
    </w:tbl>
    <w:p w:rsidR="009C682A" w:rsidRDefault="009C682A" w:rsidP="00BD2BA6"/>
    <w:p w:rsidR="00BD2BA6" w:rsidRDefault="00BD2BA6" w:rsidP="00BD2BA6">
      <w:pPr>
        <w:spacing w:line="259" w:lineRule="auto"/>
        <w:jc w:val="left"/>
      </w:pPr>
      <w:r>
        <w:br w:type="page"/>
      </w:r>
    </w:p>
    <w:p w:rsidR="00BD2BA6" w:rsidRDefault="00976A72" w:rsidP="00BD2BA6">
      <w:pPr>
        <w:pStyle w:val="Heading7"/>
      </w:pPr>
      <w:r>
        <w:lastRenderedPageBreak/>
        <w:t>Colorimetric determination of phosphorus</w:t>
      </w:r>
    </w:p>
    <w:p w:rsidR="00BD2BA6" w:rsidRDefault="00BD2BA6" w:rsidP="00BD2BA6">
      <w:pPr>
        <w:jc w:val="left"/>
      </w:pPr>
      <w:r>
        <w:t>Colorimetric determination o</w:t>
      </w:r>
      <w:r w:rsidR="00976A72">
        <w:t xml:space="preserve">f phosphorus (adapted </w:t>
      </w:r>
      <w:r w:rsidR="00976A72" w:rsidRPr="00D653CB">
        <w:t>from Murphey &amp; Riley 1962</w:t>
      </w:r>
      <w:r w:rsidRPr="00D653CB">
        <w:t>)</w:t>
      </w:r>
    </w:p>
    <w:p w:rsidR="00BD2BA6" w:rsidRDefault="002E0B83" w:rsidP="00BD2BA6">
      <w:pPr>
        <w:jc w:val="left"/>
      </w:pPr>
      <w:r>
        <w:t>Table A2</w:t>
      </w:r>
      <w:r w:rsidR="00BD2BA6">
        <w:t xml:space="preserve"> </w:t>
      </w:r>
      <w:r>
        <w:t>Calibration</w:t>
      </w:r>
      <w:r w:rsidR="00BD2BA6">
        <w:t xml:space="preserve"> curve</w:t>
      </w:r>
      <w:r>
        <w:t xml:space="preserve"> preparation</w:t>
      </w:r>
      <w:r w:rsidR="00BD2BA6">
        <w:t xml:space="preserve"> for phosphorus quantification from leaf tissue </w:t>
      </w:r>
      <w:r>
        <w:t>acid</w:t>
      </w:r>
      <w:r w:rsidR="00BD2BA6">
        <w:t xml:space="preserve"> digests</w:t>
      </w:r>
      <w:r>
        <w:t xml:space="preserve">. Addition of 0.5ml </w:t>
      </w:r>
      <w:proofErr w:type="spellStart"/>
      <w:r>
        <w:t>NaOH</w:t>
      </w:r>
      <w:proofErr w:type="spellEnd"/>
      <w:r>
        <w:t xml:space="preserve"> solution was necessary to neutralise acidity of the digest samples and enable colour development </w:t>
      </w:r>
    </w:p>
    <w:tbl>
      <w:tblPr>
        <w:tblStyle w:val="TableGrid"/>
        <w:tblpPr w:leftFromText="180" w:rightFromText="180" w:vertAnchor="page" w:horzAnchor="margin" w:tblpXSpec="center" w:tblpY="3616"/>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1275"/>
        <w:gridCol w:w="1263"/>
        <w:gridCol w:w="1161"/>
        <w:gridCol w:w="1288"/>
        <w:gridCol w:w="1440"/>
        <w:gridCol w:w="1511"/>
      </w:tblGrid>
      <w:tr w:rsidR="00BD2BA6" w:rsidTr="00BC2E56">
        <w:tc>
          <w:tcPr>
            <w:tcW w:w="851" w:type="dxa"/>
            <w:tcBorders>
              <w:top w:val="single" w:sz="4" w:space="0" w:color="auto"/>
              <w:bottom w:val="single" w:sz="4" w:space="0" w:color="auto"/>
            </w:tcBorders>
          </w:tcPr>
          <w:p w:rsidR="00BD2BA6" w:rsidRPr="00FD44D9" w:rsidRDefault="00BD2BA6" w:rsidP="00BC2E56">
            <w:pPr>
              <w:jc w:val="left"/>
              <w:rPr>
                <w:rFonts w:cs="Times New Roman"/>
                <w:b/>
                <w:sz w:val="20"/>
                <w:szCs w:val="20"/>
              </w:rPr>
            </w:pPr>
            <w:r w:rsidRPr="00FD44D9">
              <w:rPr>
                <w:rFonts w:cs="Times New Roman"/>
                <w:b/>
                <w:sz w:val="20"/>
                <w:szCs w:val="20"/>
              </w:rPr>
              <w:t>P (ppm)</w:t>
            </w:r>
          </w:p>
        </w:tc>
        <w:tc>
          <w:tcPr>
            <w:tcW w:w="1275" w:type="dxa"/>
            <w:tcBorders>
              <w:top w:val="single" w:sz="4" w:space="0" w:color="auto"/>
              <w:bottom w:val="single" w:sz="4" w:space="0" w:color="auto"/>
            </w:tcBorders>
          </w:tcPr>
          <w:p w:rsidR="00BD2BA6" w:rsidRPr="00FD44D9" w:rsidRDefault="00BD2BA6" w:rsidP="00BC2E56">
            <w:pPr>
              <w:jc w:val="left"/>
              <w:rPr>
                <w:rFonts w:cs="Times New Roman"/>
                <w:b/>
                <w:sz w:val="20"/>
                <w:szCs w:val="20"/>
              </w:rPr>
            </w:pPr>
            <w:r w:rsidRPr="00FD44D9">
              <w:rPr>
                <w:rFonts w:cs="Times New Roman"/>
                <w:b/>
                <w:sz w:val="20"/>
                <w:szCs w:val="20"/>
              </w:rPr>
              <w:t>10 ppm Stock (ml)</w:t>
            </w:r>
          </w:p>
        </w:tc>
        <w:tc>
          <w:tcPr>
            <w:tcW w:w="1263" w:type="dxa"/>
            <w:tcBorders>
              <w:top w:val="single" w:sz="4" w:space="0" w:color="auto"/>
              <w:bottom w:val="single" w:sz="4" w:space="0" w:color="auto"/>
            </w:tcBorders>
          </w:tcPr>
          <w:p w:rsidR="00BD2BA6" w:rsidRPr="00FD44D9" w:rsidRDefault="00BD2BA6" w:rsidP="00BC2E56">
            <w:pPr>
              <w:jc w:val="left"/>
              <w:rPr>
                <w:rFonts w:cs="Times New Roman"/>
                <w:b/>
                <w:sz w:val="20"/>
                <w:szCs w:val="20"/>
              </w:rPr>
            </w:pPr>
            <w:r w:rsidRPr="00FD44D9">
              <w:rPr>
                <w:rFonts w:cs="Times New Roman"/>
                <w:b/>
                <w:sz w:val="20"/>
                <w:szCs w:val="20"/>
              </w:rPr>
              <w:t>Digest blank (ml)</w:t>
            </w:r>
          </w:p>
        </w:tc>
        <w:tc>
          <w:tcPr>
            <w:tcW w:w="1161" w:type="dxa"/>
            <w:tcBorders>
              <w:top w:val="single" w:sz="4" w:space="0" w:color="auto"/>
              <w:bottom w:val="single" w:sz="4" w:space="0" w:color="auto"/>
            </w:tcBorders>
          </w:tcPr>
          <w:p w:rsidR="00BD2BA6" w:rsidRPr="00FD44D9" w:rsidRDefault="00BD2BA6" w:rsidP="00BC2E56">
            <w:pPr>
              <w:jc w:val="left"/>
              <w:rPr>
                <w:rFonts w:cs="Times New Roman"/>
                <w:b/>
                <w:sz w:val="20"/>
                <w:szCs w:val="20"/>
              </w:rPr>
            </w:pPr>
            <w:r w:rsidRPr="00FD44D9">
              <w:rPr>
                <w:rFonts w:cs="Times New Roman"/>
                <w:b/>
                <w:sz w:val="20"/>
                <w:szCs w:val="20"/>
              </w:rPr>
              <w:t>D H</w:t>
            </w:r>
            <w:r w:rsidRPr="00FD44D9">
              <w:rPr>
                <w:rFonts w:cs="Times New Roman"/>
                <w:b/>
                <w:sz w:val="20"/>
                <w:szCs w:val="20"/>
                <w:vertAlign w:val="subscript"/>
              </w:rPr>
              <w:t>2</w:t>
            </w:r>
            <w:r w:rsidRPr="00FD44D9">
              <w:rPr>
                <w:rFonts w:cs="Times New Roman"/>
                <w:b/>
                <w:sz w:val="20"/>
                <w:szCs w:val="20"/>
              </w:rPr>
              <w:t>O (ml)</w:t>
            </w:r>
          </w:p>
        </w:tc>
        <w:tc>
          <w:tcPr>
            <w:tcW w:w="1288" w:type="dxa"/>
            <w:tcBorders>
              <w:top w:val="single" w:sz="4" w:space="0" w:color="auto"/>
              <w:bottom w:val="single" w:sz="4" w:space="0" w:color="auto"/>
            </w:tcBorders>
          </w:tcPr>
          <w:p w:rsidR="00BD2BA6" w:rsidRPr="00FD44D9" w:rsidRDefault="00BD2BA6" w:rsidP="00BC2E56">
            <w:pPr>
              <w:jc w:val="left"/>
              <w:rPr>
                <w:rFonts w:cs="Times New Roman"/>
                <w:b/>
                <w:sz w:val="20"/>
                <w:szCs w:val="20"/>
              </w:rPr>
            </w:pPr>
            <w:r w:rsidRPr="00FD44D9">
              <w:rPr>
                <w:rFonts w:cs="Times New Roman"/>
                <w:b/>
                <w:sz w:val="20"/>
                <w:szCs w:val="20"/>
              </w:rPr>
              <w:t>0.1M Ascorbic acid (ml)</w:t>
            </w:r>
          </w:p>
        </w:tc>
        <w:tc>
          <w:tcPr>
            <w:tcW w:w="1440" w:type="dxa"/>
            <w:tcBorders>
              <w:top w:val="single" w:sz="4" w:space="0" w:color="auto"/>
              <w:bottom w:val="single" w:sz="4" w:space="0" w:color="auto"/>
            </w:tcBorders>
          </w:tcPr>
          <w:p w:rsidR="00BD2BA6" w:rsidRPr="00FD44D9" w:rsidRDefault="00BD2BA6" w:rsidP="00BC2E56">
            <w:pPr>
              <w:jc w:val="left"/>
              <w:rPr>
                <w:rFonts w:cs="Times New Roman"/>
                <w:b/>
                <w:sz w:val="20"/>
                <w:szCs w:val="20"/>
              </w:rPr>
            </w:pPr>
            <w:r w:rsidRPr="00FD44D9">
              <w:rPr>
                <w:rFonts w:cs="Times New Roman"/>
                <w:b/>
                <w:sz w:val="20"/>
                <w:szCs w:val="20"/>
              </w:rPr>
              <w:t>Dev Solution (</w:t>
            </w:r>
            <w:proofErr w:type="spellStart"/>
            <w:r w:rsidRPr="00FD44D9">
              <w:rPr>
                <w:rFonts w:cs="Times New Roman"/>
                <w:b/>
                <w:sz w:val="20"/>
                <w:szCs w:val="20"/>
              </w:rPr>
              <w:t>Molybdate</w:t>
            </w:r>
            <w:proofErr w:type="spellEnd"/>
            <w:r w:rsidRPr="00FD44D9">
              <w:rPr>
                <w:rFonts w:cs="Times New Roman"/>
                <w:b/>
                <w:sz w:val="20"/>
                <w:szCs w:val="20"/>
              </w:rPr>
              <w:t>)</w:t>
            </w:r>
          </w:p>
          <w:p w:rsidR="00BD2BA6" w:rsidRPr="00FD44D9" w:rsidRDefault="00BD2BA6" w:rsidP="00BC2E56">
            <w:pPr>
              <w:jc w:val="left"/>
              <w:rPr>
                <w:rFonts w:cs="Times New Roman"/>
                <w:b/>
                <w:sz w:val="20"/>
                <w:szCs w:val="20"/>
              </w:rPr>
            </w:pPr>
            <w:r w:rsidRPr="00FD44D9">
              <w:rPr>
                <w:rFonts w:cs="Times New Roman"/>
                <w:b/>
                <w:sz w:val="20"/>
                <w:szCs w:val="20"/>
              </w:rPr>
              <w:t>(ml)</w:t>
            </w:r>
          </w:p>
        </w:tc>
        <w:tc>
          <w:tcPr>
            <w:tcW w:w="1511" w:type="dxa"/>
            <w:tcBorders>
              <w:top w:val="single" w:sz="4" w:space="0" w:color="auto"/>
              <w:bottom w:val="single" w:sz="4" w:space="0" w:color="auto"/>
            </w:tcBorders>
          </w:tcPr>
          <w:p w:rsidR="00BD2BA6" w:rsidRPr="00FD44D9" w:rsidRDefault="00BD2BA6" w:rsidP="00BC2E56">
            <w:pPr>
              <w:jc w:val="left"/>
              <w:rPr>
                <w:rFonts w:cs="Times New Roman"/>
                <w:b/>
                <w:sz w:val="20"/>
                <w:szCs w:val="20"/>
              </w:rPr>
            </w:pPr>
            <w:r w:rsidRPr="00FD44D9">
              <w:rPr>
                <w:rFonts w:cs="Times New Roman"/>
                <w:b/>
                <w:sz w:val="20"/>
                <w:szCs w:val="20"/>
              </w:rPr>
              <w:t xml:space="preserve">3.44M </w:t>
            </w:r>
            <w:proofErr w:type="spellStart"/>
            <w:r w:rsidRPr="00FD44D9">
              <w:rPr>
                <w:rFonts w:cs="Times New Roman"/>
                <w:b/>
                <w:sz w:val="20"/>
                <w:szCs w:val="20"/>
              </w:rPr>
              <w:t>NaOH</w:t>
            </w:r>
            <w:proofErr w:type="spellEnd"/>
            <w:r w:rsidRPr="00FD44D9">
              <w:rPr>
                <w:rFonts w:cs="Times New Roman"/>
                <w:b/>
                <w:sz w:val="20"/>
                <w:szCs w:val="20"/>
              </w:rPr>
              <w:t xml:space="preserve"> – after 15 mins (ml)</w:t>
            </w:r>
          </w:p>
        </w:tc>
      </w:tr>
      <w:tr w:rsidR="00BD2BA6" w:rsidTr="00BC2E56">
        <w:tc>
          <w:tcPr>
            <w:tcW w:w="851" w:type="dxa"/>
            <w:tcBorders>
              <w:top w:val="single" w:sz="4" w:space="0" w:color="auto"/>
            </w:tcBorders>
          </w:tcPr>
          <w:p w:rsidR="00BD2BA6" w:rsidRPr="002374B3" w:rsidRDefault="00BD2BA6" w:rsidP="00BC2E56">
            <w:pPr>
              <w:jc w:val="left"/>
              <w:rPr>
                <w:rFonts w:cs="Times New Roman"/>
                <w:sz w:val="20"/>
                <w:szCs w:val="20"/>
              </w:rPr>
            </w:pPr>
            <w:r w:rsidRPr="002374B3">
              <w:rPr>
                <w:rFonts w:cs="Times New Roman"/>
                <w:sz w:val="20"/>
                <w:szCs w:val="20"/>
              </w:rPr>
              <w:t>0</w:t>
            </w:r>
          </w:p>
        </w:tc>
        <w:tc>
          <w:tcPr>
            <w:tcW w:w="1275" w:type="dxa"/>
            <w:tcBorders>
              <w:top w:val="single" w:sz="4" w:space="0" w:color="auto"/>
            </w:tcBorders>
          </w:tcPr>
          <w:p w:rsidR="00BD2BA6" w:rsidRPr="002374B3" w:rsidRDefault="00BD2BA6" w:rsidP="00BC2E56">
            <w:pPr>
              <w:jc w:val="left"/>
              <w:rPr>
                <w:rFonts w:cs="Times New Roman"/>
                <w:sz w:val="20"/>
                <w:szCs w:val="20"/>
              </w:rPr>
            </w:pPr>
            <w:r w:rsidRPr="002374B3">
              <w:rPr>
                <w:rFonts w:cs="Times New Roman"/>
                <w:sz w:val="20"/>
                <w:szCs w:val="20"/>
              </w:rPr>
              <w:t>0</w:t>
            </w:r>
          </w:p>
        </w:tc>
        <w:tc>
          <w:tcPr>
            <w:tcW w:w="1263" w:type="dxa"/>
            <w:tcBorders>
              <w:top w:val="single" w:sz="4" w:space="0" w:color="auto"/>
            </w:tcBorders>
          </w:tcPr>
          <w:p w:rsidR="00BD2BA6" w:rsidRPr="002374B3" w:rsidRDefault="00BD2BA6" w:rsidP="00BC2E56">
            <w:pPr>
              <w:jc w:val="left"/>
              <w:rPr>
                <w:rFonts w:cs="Times New Roman"/>
                <w:sz w:val="20"/>
                <w:szCs w:val="20"/>
              </w:rPr>
            </w:pPr>
            <w:r w:rsidRPr="002374B3">
              <w:rPr>
                <w:rFonts w:cs="Times New Roman"/>
                <w:sz w:val="20"/>
                <w:szCs w:val="20"/>
              </w:rPr>
              <w:t>0.5</w:t>
            </w:r>
          </w:p>
        </w:tc>
        <w:tc>
          <w:tcPr>
            <w:tcW w:w="1161" w:type="dxa"/>
            <w:tcBorders>
              <w:top w:val="single" w:sz="4" w:space="0" w:color="auto"/>
            </w:tcBorders>
          </w:tcPr>
          <w:p w:rsidR="00BD2BA6" w:rsidRPr="002374B3" w:rsidRDefault="00BD2BA6" w:rsidP="00BC2E56">
            <w:pPr>
              <w:jc w:val="left"/>
              <w:rPr>
                <w:rFonts w:cs="Times New Roman"/>
                <w:sz w:val="20"/>
                <w:szCs w:val="20"/>
              </w:rPr>
            </w:pPr>
            <w:r w:rsidRPr="002374B3">
              <w:rPr>
                <w:rFonts w:cs="Times New Roman"/>
                <w:sz w:val="20"/>
                <w:szCs w:val="20"/>
              </w:rPr>
              <w:t>2.100</w:t>
            </w:r>
          </w:p>
        </w:tc>
        <w:tc>
          <w:tcPr>
            <w:tcW w:w="1288" w:type="dxa"/>
            <w:tcBorders>
              <w:top w:val="single" w:sz="4" w:space="0" w:color="auto"/>
            </w:tcBorders>
          </w:tcPr>
          <w:p w:rsidR="00BD2BA6" w:rsidRPr="002374B3" w:rsidRDefault="00BD2BA6" w:rsidP="00BC2E56">
            <w:pPr>
              <w:jc w:val="left"/>
              <w:rPr>
                <w:rFonts w:cs="Times New Roman"/>
                <w:sz w:val="20"/>
                <w:szCs w:val="20"/>
              </w:rPr>
            </w:pPr>
            <w:r w:rsidRPr="002374B3">
              <w:rPr>
                <w:rFonts w:cs="Times New Roman"/>
                <w:sz w:val="20"/>
                <w:szCs w:val="20"/>
              </w:rPr>
              <w:t>0.2</w:t>
            </w:r>
          </w:p>
        </w:tc>
        <w:tc>
          <w:tcPr>
            <w:tcW w:w="1440" w:type="dxa"/>
            <w:tcBorders>
              <w:top w:val="single" w:sz="4" w:space="0" w:color="auto"/>
            </w:tcBorders>
          </w:tcPr>
          <w:p w:rsidR="00BD2BA6" w:rsidRPr="002374B3" w:rsidRDefault="00BD2BA6" w:rsidP="00BC2E56">
            <w:pPr>
              <w:jc w:val="left"/>
              <w:rPr>
                <w:rFonts w:cs="Times New Roman"/>
                <w:sz w:val="20"/>
                <w:szCs w:val="20"/>
              </w:rPr>
            </w:pPr>
            <w:r w:rsidRPr="002374B3">
              <w:rPr>
                <w:rFonts w:cs="Times New Roman"/>
                <w:sz w:val="20"/>
                <w:szCs w:val="20"/>
              </w:rPr>
              <w:t>0.5</w:t>
            </w:r>
          </w:p>
        </w:tc>
        <w:tc>
          <w:tcPr>
            <w:tcW w:w="1511" w:type="dxa"/>
            <w:tcBorders>
              <w:top w:val="single" w:sz="4" w:space="0" w:color="auto"/>
            </w:tcBorders>
          </w:tcPr>
          <w:p w:rsidR="00BD2BA6" w:rsidRPr="002374B3" w:rsidRDefault="00BD2BA6" w:rsidP="00BC2E56">
            <w:pPr>
              <w:jc w:val="left"/>
              <w:rPr>
                <w:rFonts w:cs="Times New Roman"/>
                <w:sz w:val="20"/>
                <w:szCs w:val="20"/>
              </w:rPr>
            </w:pPr>
            <w:r w:rsidRPr="002374B3">
              <w:rPr>
                <w:rFonts w:cs="Times New Roman"/>
                <w:sz w:val="20"/>
                <w:szCs w:val="20"/>
              </w:rPr>
              <w:t>0.5</w:t>
            </w:r>
          </w:p>
        </w:tc>
      </w:tr>
      <w:tr w:rsidR="00BD2BA6" w:rsidTr="00BC2E56">
        <w:tc>
          <w:tcPr>
            <w:tcW w:w="851" w:type="dxa"/>
          </w:tcPr>
          <w:p w:rsidR="00BD2BA6" w:rsidRPr="002374B3" w:rsidRDefault="00BD2BA6" w:rsidP="00BC2E56">
            <w:pPr>
              <w:jc w:val="left"/>
              <w:rPr>
                <w:rFonts w:cs="Times New Roman"/>
                <w:sz w:val="20"/>
                <w:szCs w:val="20"/>
              </w:rPr>
            </w:pPr>
            <w:r w:rsidRPr="002374B3">
              <w:rPr>
                <w:rFonts w:cs="Times New Roman"/>
                <w:sz w:val="20"/>
                <w:szCs w:val="20"/>
              </w:rPr>
              <w:t>0.50</w:t>
            </w:r>
          </w:p>
        </w:tc>
        <w:tc>
          <w:tcPr>
            <w:tcW w:w="1275" w:type="dxa"/>
          </w:tcPr>
          <w:p w:rsidR="00BD2BA6" w:rsidRPr="002374B3" w:rsidRDefault="00BD2BA6" w:rsidP="00BC2E56">
            <w:pPr>
              <w:jc w:val="left"/>
              <w:rPr>
                <w:rFonts w:cs="Times New Roman"/>
                <w:sz w:val="20"/>
                <w:szCs w:val="20"/>
              </w:rPr>
            </w:pPr>
            <w:r w:rsidRPr="002374B3">
              <w:rPr>
                <w:rFonts w:cs="Times New Roman"/>
                <w:sz w:val="20"/>
                <w:szCs w:val="20"/>
              </w:rPr>
              <w:t>0.025</w:t>
            </w:r>
          </w:p>
        </w:tc>
        <w:tc>
          <w:tcPr>
            <w:tcW w:w="1263" w:type="dxa"/>
          </w:tcPr>
          <w:p w:rsidR="00BD2BA6" w:rsidRPr="002374B3" w:rsidRDefault="00BD2BA6" w:rsidP="00BC2E56">
            <w:pPr>
              <w:jc w:val="left"/>
              <w:rPr>
                <w:rFonts w:cs="Times New Roman"/>
                <w:sz w:val="20"/>
                <w:szCs w:val="20"/>
              </w:rPr>
            </w:pPr>
            <w:r w:rsidRPr="002374B3">
              <w:rPr>
                <w:rFonts w:cs="Times New Roman"/>
                <w:sz w:val="20"/>
                <w:szCs w:val="20"/>
              </w:rPr>
              <w:t>0.5</w:t>
            </w:r>
          </w:p>
        </w:tc>
        <w:tc>
          <w:tcPr>
            <w:tcW w:w="1161" w:type="dxa"/>
          </w:tcPr>
          <w:p w:rsidR="00BD2BA6" w:rsidRPr="002374B3" w:rsidRDefault="00BD2BA6" w:rsidP="00BC2E56">
            <w:pPr>
              <w:jc w:val="left"/>
              <w:rPr>
                <w:rFonts w:cs="Times New Roman"/>
                <w:sz w:val="20"/>
                <w:szCs w:val="20"/>
              </w:rPr>
            </w:pPr>
            <w:r w:rsidRPr="002374B3">
              <w:rPr>
                <w:rFonts w:cs="Times New Roman"/>
                <w:sz w:val="20"/>
                <w:szCs w:val="20"/>
              </w:rPr>
              <w:t>2.075</w:t>
            </w:r>
          </w:p>
        </w:tc>
        <w:tc>
          <w:tcPr>
            <w:tcW w:w="1288" w:type="dxa"/>
          </w:tcPr>
          <w:p w:rsidR="00BD2BA6" w:rsidRPr="002374B3" w:rsidRDefault="00BD2BA6" w:rsidP="00BC2E56">
            <w:pPr>
              <w:jc w:val="left"/>
              <w:rPr>
                <w:rFonts w:cs="Times New Roman"/>
                <w:sz w:val="20"/>
                <w:szCs w:val="20"/>
              </w:rPr>
            </w:pPr>
            <w:r w:rsidRPr="002374B3">
              <w:rPr>
                <w:rFonts w:cs="Times New Roman"/>
                <w:sz w:val="20"/>
                <w:szCs w:val="20"/>
              </w:rPr>
              <w:t>0.2</w:t>
            </w:r>
          </w:p>
        </w:tc>
        <w:tc>
          <w:tcPr>
            <w:tcW w:w="1440" w:type="dxa"/>
          </w:tcPr>
          <w:p w:rsidR="00BD2BA6" w:rsidRPr="002374B3" w:rsidRDefault="00BD2BA6" w:rsidP="00BC2E56">
            <w:pPr>
              <w:jc w:val="left"/>
              <w:rPr>
                <w:rFonts w:cs="Times New Roman"/>
                <w:sz w:val="20"/>
                <w:szCs w:val="20"/>
              </w:rPr>
            </w:pPr>
            <w:r w:rsidRPr="002374B3">
              <w:rPr>
                <w:rFonts w:cs="Times New Roman"/>
                <w:sz w:val="20"/>
                <w:szCs w:val="20"/>
              </w:rPr>
              <w:t>0.5</w:t>
            </w:r>
          </w:p>
        </w:tc>
        <w:tc>
          <w:tcPr>
            <w:tcW w:w="1511" w:type="dxa"/>
          </w:tcPr>
          <w:p w:rsidR="00BD2BA6" w:rsidRPr="002374B3" w:rsidRDefault="00BD2BA6" w:rsidP="00BC2E56">
            <w:pPr>
              <w:jc w:val="left"/>
              <w:rPr>
                <w:rFonts w:cs="Times New Roman"/>
                <w:sz w:val="20"/>
                <w:szCs w:val="20"/>
              </w:rPr>
            </w:pPr>
            <w:r w:rsidRPr="002374B3">
              <w:rPr>
                <w:rFonts w:cs="Times New Roman"/>
                <w:sz w:val="20"/>
                <w:szCs w:val="20"/>
              </w:rPr>
              <w:t>0.5</w:t>
            </w:r>
          </w:p>
        </w:tc>
      </w:tr>
      <w:tr w:rsidR="00BD2BA6" w:rsidTr="00BC2E56">
        <w:tc>
          <w:tcPr>
            <w:tcW w:w="851" w:type="dxa"/>
          </w:tcPr>
          <w:p w:rsidR="00BD2BA6" w:rsidRPr="002374B3" w:rsidRDefault="00BD2BA6" w:rsidP="00BC2E56">
            <w:pPr>
              <w:jc w:val="left"/>
              <w:rPr>
                <w:rFonts w:cs="Times New Roman"/>
                <w:sz w:val="20"/>
                <w:szCs w:val="20"/>
              </w:rPr>
            </w:pPr>
            <w:r w:rsidRPr="002374B3">
              <w:rPr>
                <w:rFonts w:cs="Times New Roman"/>
                <w:sz w:val="20"/>
                <w:szCs w:val="20"/>
              </w:rPr>
              <w:t>1.00</w:t>
            </w:r>
          </w:p>
        </w:tc>
        <w:tc>
          <w:tcPr>
            <w:tcW w:w="1275" w:type="dxa"/>
          </w:tcPr>
          <w:p w:rsidR="00BD2BA6" w:rsidRPr="002374B3" w:rsidRDefault="00BD2BA6" w:rsidP="00BC2E56">
            <w:pPr>
              <w:jc w:val="left"/>
              <w:rPr>
                <w:rFonts w:cs="Times New Roman"/>
                <w:sz w:val="20"/>
                <w:szCs w:val="20"/>
              </w:rPr>
            </w:pPr>
            <w:r w:rsidRPr="002374B3">
              <w:rPr>
                <w:rFonts w:cs="Times New Roman"/>
                <w:sz w:val="20"/>
                <w:szCs w:val="20"/>
              </w:rPr>
              <w:t>0.050</w:t>
            </w:r>
          </w:p>
        </w:tc>
        <w:tc>
          <w:tcPr>
            <w:tcW w:w="1263" w:type="dxa"/>
          </w:tcPr>
          <w:p w:rsidR="00BD2BA6" w:rsidRPr="002374B3" w:rsidRDefault="00BD2BA6" w:rsidP="00BC2E56">
            <w:pPr>
              <w:jc w:val="left"/>
              <w:rPr>
                <w:rFonts w:cs="Times New Roman"/>
                <w:sz w:val="20"/>
                <w:szCs w:val="20"/>
              </w:rPr>
            </w:pPr>
            <w:r w:rsidRPr="002374B3">
              <w:rPr>
                <w:rFonts w:cs="Times New Roman"/>
                <w:sz w:val="20"/>
                <w:szCs w:val="20"/>
              </w:rPr>
              <w:t>0.5</w:t>
            </w:r>
          </w:p>
        </w:tc>
        <w:tc>
          <w:tcPr>
            <w:tcW w:w="1161" w:type="dxa"/>
          </w:tcPr>
          <w:p w:rsidR="00BD2BA6" w:rsidRPr="002374B3" w:rsidRDefault="00BD2BA6" w:rsidP="00BC2E56">
            <w:pPr>
              <w:jc w:val="left"/>
              <w:rPr>
                <w:rFonts w:cs="Times New Roman"/>
                <w:sz w:val="20"/>
                <w:szCs w:val="20"/>
              </w:rPr>
            </w:pPr>
            <w:r w:rsidRPr="002374B3">
              <w:rPr>
                <w:rFonts w:cs="Times New Roman"/>
                <w:sz w:val="20"/>
                <w:szCs w:val="20"/>
              </w:rPr>
              <w:t>2.050</w:t>
            </w:r>
          </w:p>
        </w:tc>
        <w:tc>
          <w:tcPr>
            <w:tcW w:w="1288" w:type="dxa"/>
          </w:tcPr>
          <w:p w:rsidR="00BD2BA6" w:rsidRPr="002374B3" w:rsidRDefault="00BD2BA6" w:rsidP="00BC2E56">
            <w:pPr>
              <w:jc w:val="left"/>
              <w:rPr>
                <w:rFonts w:cs="Times New Roman"/>
                <w:sz w:val="20"/>
                <w:szCs w:val="20"/>
              </w:rPr>
            </w:pPr>
            <w:r w:rsidRPr="002374B3">
              <w:rPr>
                <w:rFonts w:cs="Times New Roman"/>
                <w:sz w:val="20"/>
                <w:szCs w:val="20"/>
              </w:rPr>
              <w:t>0.2</w:t>
            </w:r>
          </w:p>
        </w:tc>
        <w:tc>
          <w:tcPr>
            <w:tcW w:w="1440" w:type="dxa"/>
          </w:tcPr>
          <w:p w:rsidR="00BD2BA6" w:rsidRPr="002374B3" w:rsidRDefault="00BD2BA6" w:rsidP="00BC2E56">
            <w:pPr>
              <w:jc w:val="left"/>
              <w:rPr>
                <w:rFonts w:cs="Times New Roman"/>
                <w:sz w:val="20"/>
                <w:szCs w:val="20"/>
              </w:rPr>
            </w:pPr>
            <w:r w:rsidRPr="002374B3">
              <w:rPr>
                <w:rFonts w:cs="Times New Roman"/>
                <w:sz w:val="20"/>
                <w:szCs w:val="20"/>
              </w:rPr>
              <w:t>0.5</w:t>
            </w:r>
          </w:p>
        </w:tc>
        <w:tc>
          <w:tcPr>
            <w:tcW w:w="1511" w:type="dxa"/>
          </w:tcPr>
          <w:p w:rsidR="00BD2BA6" w:rsidRPr="002374B3" w:rsidRDefault="00BD2BA6" w:rsidP="00BC2E56">
            <w:pPr>
              <w:jc w:val="left"/>
              <w:rPr>
                <w:rFonts w:cs="Times New Roman"/>
                <w:sz w:val="20"/>
                <w:szCs w:val="20"/>
              </w:rPr>
            </w:pPr>
            <w:r w:rsidRPr="002374B3">
              <w:rPr>
                <w:rFonts w:cs="Times New Roman"/>
                <w:sz w:val="20"/>
                <w:szCs w:val="20"/>
              </w:rPr>
              <w:t>0.5</w:t>
            </w:r>
          </w:p>
        </w:tc>
      </w:tr>
      <w:tr w:rsidR="00BD2BA6" w:rsidTr="00BC2E56">
        <w:tc>
          <w:tcPr>
            <w:tcW w:w="851" w:type="dxa"/>
          </w:tcPr>
          <w:p w:rsidR="00BD2BA6" w:rsidRPr="002374B3" w:rsidRDefault="00BD2BA6" w:rsidP="00BC2E56">
            <w:pPr>
              <w:jc w:val="left"/>
              <w:rPr>
                <w:rFonts w:cs="Times New Roman"/>
                <w:sz w:val="20"/>
                <w:szCs w:val="20"/>
              </w:rPr>
            </w:pPr>
            <w:r w:rsidRPr="002374B3">
              <w:rPr>
                <w:rFonts w:cs="Times New Roman"/>
                <w:sz w:val="20"/>
                <w:szCs w:val="20"/>
              </w:rPr>
              <w:t>1.50</w:t>
            </w:r>
          </w:p>
        </w:tc>
        <w:tc>
          <w:tcPr>
            <w:tcW w:w="1275" w:type="dxa"/>
          </w:tcPr>
          <w:p w:rsidR="00BD2BA6" w:rsidRPr="002374B3" w:rsidRDefault="00BD2BA6" w:rsidP="00BC2E56">
            <w:pPr>
              <w:jc w:val="left"/>
              <w:rPr>
                <w:rFonts w:cs="Times New Roman"/>
                <w:sz w:val="20"/>
                <w:szCs w:val="20"/>
              </w:rPr>
            </w:pPr>
            <w:r w:rsidRPr="002374B3">
              <w:rPr>
                <w:rFonts w:cs="Times New Roman"/>
                <w:sz w:val="20"/>
                <w:szCs w:val="20"/>
              </w:rPr>
              <w:t>0.075</w:t>
            </w:r>
          </w:p>
        </w:tc>
        <w:tc>
          <w:tcPr>
            <w:tcW w:w="1263" w:type="dxa"/>
          </w:tcPr>
          <w:p w:rsidR="00BD2BA6" w:rsidRPr="002374B3" w:rsidRDefault="00BD2BA6" w:rsidP="00BC2E56">
            <w:pPr>
              <w:jc w:val="left"/>
              <w:rPr>
                <w:rFonts w:cs="Times New Roman"/>
                <w:sz w:val="20"/>
                <w:szCs w:val="20"/>
              </w:rPr>
            </w:pPr>
            <w:r w:rsidRPr="002374B3">
              <w:rPr>
                <w:rFonts w:cs="Times New Roman"/>
                <w:sz w:val="20"/>
                <w:szCs w:val="20"/>
              </w:rPr>
              <w:t>0.5</w:t>
            </w:r>
          </w:p>
        </w:tc>
        <w:tc>
          <w:tcPr>
            <w:tcW w:w="1161" w:type="dxa"/>
          </w:tcPr>
          <w:p w:rsidR="00BD2BA6" w:rsidRPr="002374B3" w:rsidRDefault="00BD2BA6" w:rsidP="00BC2E56">
            <w:pPr>
              <w:jc w:val="left"/>
              <w:rPr>
                <w:rFonts w:cs="Times New Roman"/>
                <w:sz w:val="20"/>
                <w:szCs w:val="20"/>
              </w:rPr>
            </w:pPr>
            <w:r w:rsidRPr="002374B3">
              <w:rPr>
                <w:rFonts w:cs="Times New Roman"/>
                <w:sz w:val="20"/>
                <w:szCs w:val="20"/>
              </w:rPr>
              <w:t>2.025</w:t>
            </w:r>
          </w:p>
        </w:tc>
        <w:tc>
          <w:tcPr>
            <w:tcW w:w="1288" w:type="dxa"/>
          </w:tcPr>
          <w:p w:rsidR="00BD2BA6" w:rsidRPr="002374B3" w:rsidRDefault="00BD2BA6" w:rsidP="00BC2E56">
            <w:pPr>
              <w:jc w:val="left"/>
              <w:rPr>
                <w:rFonts w:cs="Times New Roman"/>
                <w:sz w:val="20"/>
                <w:szCs w:val="20"/>
              </w:rPr>
            </w:pPr>
            <w:r w:rsidRPr="002374B3">
              <w:rPr>
                <w:rFonts w:cs="Times New Roman"/>
                <w:sz w:val="20"/>
                <w:szCs w:val="20"/>
              </w:rPr>
              <w:t>0.2</w:t>
            </w:r>
          </w:p>
        </w:tc>
        <w:tc>
          <w:tcPr>
            <w:tcW w:w="1440" w:type="dxa"/>
          </w:tcPr>
          <w:p w:rsidR="00BD2BA6" w:rsidRPr="002374B3" w:rsidRDefault="00BD2BA6" w:rsidP="00BC2E56">
            <w:pPr>
              <w:jc w:val="left"/>
              <w:rPr>
                <w:rFonts w:cs="Times New Roman"/>
                <w:sz w:val="20"/>
                <w:szCs w:val="20"/>
              </w:rPr>
            </w:pPr>
            <w:r w:rsidRPr="002374B3">
              <w:rPr>
                <w:rFonts w:cs="Times New Roman"/>
                <w:sz w:val="20"/>
                <w:szCs w:val="20"/>
              </w:rPr>
              <w:t>0.5</w:t>
            </w:r>
          </w:p>
        </w:tc>
        <w:tc>
          <w:tcPr>
            <w:tcW w:w="1511" w:type="dxa"/>
          </w:tcPr>
          <w:p w:rsidR="00BD2BA6" w:rsidRPr="002374B3" w:rsidRDefault="00BD2BA6" w:rsidP="00BC2E56">
            <w:pPr>
              <w:jc w:val="left"/>
              <w:rPr>
                <w:rFonts w:cs="Times New Roman"/>
                <w:sz w:val="20"/>
                <w:szCs w:val="20"/>
              </w:rPr>
            </w:pPr>
            <w:r w:rsidRPr="002374B3">
              <w:rPr>
                <w:rFonts w:cs="Times New Roman"/>
                <w:sz w:val="20"/>
                <w:szCs w:val="20"/>
              </w:rPr>
              <w:t>0.5</w:t>
            </w:r>
          </w:p>
        </w:tc>
      </w:tr>
      <w:tr w:rsidR="00BD2BA6" w:rsidTr="00BC2E56">
        <w:tc>
          <w:tcPr>
            <w:tcW w:w="851" w:type="dxa"/>
          </w:tcPr>
          <w:p w:rsidR="00BD2BA6" w:rsidRPr="002374B3" w:rsidRDefault="00BD2BA6" w:rsidP="00BC2E56">
            <w:pPr>
              <w:jc w:val="left"/>
              <w:rPr>
                <w:rFonts w:cs="Times New Roman"/>
                <w:sz w:val="20"/>
                <w:szCs w:val="20"/>
              </w:rPr>
            </w:pPr>
            <w:r w:rsidRPr="002374B3">
              <w:rPr>
                <w:rFonts w:cs="Times New Roman"/>
                <w:sz w:val="20"/>
                <w:szCs w:val="20"/>
              </w:rPr>
              <w:t>2.00</w:t>
            </w:r>
          </w:p>
        </w:tc>
        <w:tc>
          <w:tcPr>
            <w:tcW w:w="1275" w:type="dxa"/>
          </w:tcPr>
          <w:p w:rsidR="00BD2BA6" w:rsidRPr="002374B3" w:rsidRDefault="00BD2BA6" w:rsidP="00BC2E56">
            <w:pPr>
              <w:jc w:val="left"/>
              <w:rPr>
                <w:rFonts w:cs="Times New Roman"/>
                <w:sz w:val="20"/>
                <w:szCs w:val="20"/>
              </w:rPr>
            </w:pPr>
            <w:r w:rsidRPr="002374B3">
              <w:rPr>
                <w:rFonts w:cs="Times New Roman"/>
                <w:sz w:val="20"/>
                <w:szCs w:val="20"/>
              </w:rPr>
              <w:t>0.100</w:t>
            </w:r>
          </w:p>
        </w:tc>
        <w:tc>
          <w:tcPr>
            <w:tcW w:w="1263" w:type="dxa"/>
          </w:tcPr>
          <w:p w:rsidR="00BD2BA6" w:rsidRPr="002374B3" w:rsidRDefault="00BD2BA6" w:rsidP="00BC2E56">
            <w:pPr>
              <w:jc w:val="left"/>
              <w:rPr>
                <w:rFonts w:cs="Times New Roman"/>
                <w:sz w:val="20"/>
                <w:szCs w:val="20"/>
              </w:rPr>
            </w:pPr>
            <w:r w:rsidRPr="002374B3">
              <w:rPr>
                <w:rFonts w:cs="Times New Roman"/>
                <w:sz w:val="20"/>
                <w:szCs w:val="20"/>
              </w:rPr>
              <w:t>0.5</w:t>
            </w:r>
          </w:p>
        </w:tc>
        <w:tc>
          <w:tcPr>
            <w:tcW w:w="1161" w:type="dxa"/>
          </w:tcPr>
          <w:p w:rsidR="00BD2BA6" w:rsidRPr="002374B3" w:rsidRDefault="00BD2BA6" w:rsidP="00BC2E56">
            <w:pPr>
              <w:jc w:val="left"/>
              <w:rPr>
                <w:rFonts w:cs="Times New Roman"/>
                <w:sz w:val="20"/>
                <w:szCs w:val="20"/>
              </w:rPr>
            </w:pPr>
            <w:r w:rsidRPr="002374B3">
              <w:rPr>
                <w:rFonts w:cs="Times New Roman"/>
                <w:sz w:val="20"/>
                <w:szCs w:val="20"/>
              </w:rPr>
              <w:t>2.000</w:t>
            </w:r>
          </w:p>
        </w:tc>
        <w:tc>
          <w:tcPr>
            <w:tcW w:w="1288" w:type="dxa"/>
          </w:tcPr>
          <w:p w:rsidR="00BD2BA6" w:rsidRPr="002374B3" w:rsidRDefault="00BD2BA6" w:rsidP="00BC2E56">
            <w:pPr>
              <w:jc w:val="left"/>
              <w:rPr>
                <w:rFonts w:cs="Times New Roman"/>
                <w:sz w:val="20"/>
                <w:szCs w:val="20"/>
              </w:rPr>
            </w:pPr>
            <w:r w:rsidRPr="002374B3">
              <w:rPr>
                <w:rFonts w:cs="Times New Roman"/>
                <w:sz w:val="20"/>
                <w:szCs w:val="20"/>
              </w:rPr>
              <w:t>0.2</w:t>
            </w:r>
          </w:p>
        </w:tc>
        <w:tc>
          <w:tcPr>
            <w:tcW w:w="1440" w:type="dxa"/>
          </w:tcPr>
          <w:p w:rsidR="00BD2BA6" w:rsidRPr="002374B3" w:rsidRDefault="00BD2BA6" w:rsidP="00BC2E56">
            <w:pPr>
              <w:jc w:val="left"/>
              <w:rPr>
                <w:rFonts w:cs="Times New Roman"/>
                <w:sz w:val="20"/>
                <w:szCs w:val="20"/>
              </w:rPr>
            </w:pPr>
            <w:r w:rsidRPr="002374B3">
              <w:rPr>
                <w:rFonts w:cs="Times New Roman"/>
                <w:sz w:val="20"/>
                <w:szCs w:val="20"/>
              </w:rPr>
              <w:t>0.5</w:t>
            </w:r>
          </w:p>
        </w:tc>
        <w:tc>
          <w:tcPr>
            <w:tcW w:w="1511" w:type="dxa"/>
          </w:tcPr>
          <w:p w:rsidR="00BD2BA6" w:rsidRPr="002374B3" w:rsidRDefault="00BD2BA6" w:rsidP="00BC2E56">
            <w:pPr>
              <w:jc w:val="left"/>
              <w:rPr>
                <w:rFonts w:cs="Times New Roman"/>
                <w:sz w:val="20"/>
                <w:szCs w:val="20"/>
              </w:rPr>
            </w:pPr>
            <w:r w:rsidRPr="002374B3">
              <w:rPr>
                <w:rFonts w:cs="Times New Roman"/>
                <w:sz w:val="20"/>
                <w:szCs w:val="20"/>
              </w:rPr>
              <w:t>0.5</w:t>
            </w:r>
          </w:p>
        </w:tc>
      </w:tr>
      <w:tr w:rsidR="00BD2BA6" w:rsidTr="00BC2E56">
        <w:tc>
          <w:tcPr>
            <w:tcW w:w="851" w:type="dxa"/>
          </w:tcPr>
          <w:p w:rsidR="00BD2BA6" w:rsidRPr="002374B3" w:rsidRDefault="00BD2BA6" w:rsidP="00BC2E56">
            <w:pPr>
              <w:jc w:val="left"/>
              <w:rPr>
                <w:rFonts w:cs="Times New Roman"/>
                <w:sz w:val="20"/>
                <w:szCs w:val="20"/>
              </w:rPr>
            </w:pPr>
            <w:r w:rsidRPr="002374B3">
              <w:rPr>
                <w:rFonts w:cs="Times New Roman"/>
                <w:sz w:val="20"/>
                <w:szCs w:val="20"/>
              </w:rPr>
              <w:t>3.00</w:t>
            </w:r>
          </w:p>
        </w:tc>
        <w:tc>
          <w:tcPr>
            <w:tcW w:w="1275" w:type="dxa"/>
          </w:tcPr>
          <w:p w:rsidR="00BD2BA6" w:rsidRPr="002374B3" w:rsidRDefault="00BD2BA6" w:rsidP="00BC2E56">
            <w:pPr>
              <w:jc w:val="left"/>
              <w:rPr>
                <w:rFonts w:cs="Times New Roman"/>
                <w:sz w:val="20"/>
                <w:szCs w:val="20"/>
              </w:rPr>
            </w:pPr>
            <w:r w:rsidRPr="002374B3">
              <w:rPr>
                <w:rFonts w:cs="Times New Roman"/>
                <w:sz w:val="20"/>
                <w:szCs w:val="20"/>
              </w:rPr>
              <w:t>0.150</w:t>
            </w:r>
          </w:p>
        </w:tc>
        <w:tc>
          <w:tcPr>
            <w:tcW w:w="1263" w:type="dxa"/>
          </w:tcPr>
          <w:p w:rsidR="00BD2BA6" w:rsidRPr="002374B3" w:rsidRDefault="00BD2BA6" w:rsidP="00BC2E56">
            <w:pPr>
              <w:jc w:val="left"/>
              <w:rPr>
                <w:rFonts w:cs="Times New Roman"/>
                <w:sz w:val="20"/>
                <w:szCs w:val="20"/>
              </w:rPr>
            </w:pPr>
            <w:r w:rsidRPr="002374B3">
              <w:rPr>
                <w:rFonts w:cs="Times New Roman"/>
                <w:sz w:val="20"/>
                <w:szCs w:val="20"/>
              </w:rPr>
              <w:t>0.5</w:t>
            </w:r>
          </w:p>
        </w:tc>
        <w:tc>
          <w:tcPr>
            <w:tcW w:w="1161" w:type="dxa"/>
          </w:tcPr>
          <w:p w:rsidR="00BD2BA6" w:rsidRPr="002374B3" w:rsidRDefault="00BD2BA6" w:rsidP="00BC2E56">
            <w:pPr>
              <w:jc w:val="left"/>
              <w:rPr>
                <w:rFonts w:cs="Times New Roman"/>
                <w:sz w:val="20"/>
                <w:szCs w:val="20"/>
              </w:rPr>
            </w:pPr>
            <w:r w:rsidRPr="002374B3">
              <w:rPr>
                <w:rFonts w:cs="Times New Roman"/>
                <w:sz w:val="20"/>
                <w:szCs w:val="20"/>
              </w:rPr>
              <w:t>1.950</w:t>
            </w:r>
          </w:p>
        </w:tc>
        <w:tc>
          <w:tcPr>
            <w:tcW w:w="1288" w:type="dxa"/>
          </w:tcPr>
          <w:p w:rsidR="00BD2BA6" w:rsidRPr="002374B3" w:rsidRDefault="00BD2BA6" w:rsidP="00BC2E56">
            <w:pPr>
              <w:jc w:val="left"/>
              <w:rPr>
                <w:rFonts w:cs="Times New Roman"/>
                <w:sz w:val="20"/>
                <w:szCs w:val="20"/>
              </w:rPr>
            </w:pPr>
            <w:r w:rsidRPr="002374B3">
              <w:rPr>
                <w:rFonts w:cs="Times New Roman"/>
                <w:sz w:val="20"/>
                <w:szCs w:val="20"/>
              </w:rPr>
              <w:t>0.2</w:t>
            </w:r>
          </w:p>
        </w:tc>
        <w:tc>
          <w:tcPr>
            <w:tcW w:w="1440" w:type="dxa"/>
          </w:tcPr>
          <w:p w:rsidR="00BD2BA6" w:rsidRPr="002374B3" w:rsidRDefault="00BD2BA6" w:rsidP="00BC2E56">
            <w:pPr>
              <w:jc w:val="left"/>
              <w:rPr>
                <w:rFonts w:cs="Times New Roman"/>
                <w:sz w:val="20"/>
                <w:szCs w:val="20"/>
              </w:rPr>
            </w:pPr>
            <w:r w:rsidRPr="002374B3">
              <w:rPr>
                <w:rFonts w:cs="Times New Roman"/>
                <w:sz w:val="20"/>
                <w:szCs w:val="20"/>
              </w:rPr>
              <w:t>0.5</w:t>
            </w:r>
          </w:p>
        </w:tc>
        <w:tc>
          <w:tcPr>
            <w:tcW w:w="1511" w:type="dxa"/>
          </w:tcPr>
          <w:p w:rsidR="00BD2BA6" w:rsidRPr="002374B3" w:rsidRDefault="00BD2BA6" w:rsidP="00BC2E56">
            <w:pPr>
              <w:jc w:val="left"/>
              <w:rPr>
                <w:rFonts w:cs="Times New Roman"/>
                <w:sz w:val="20"/>
                <w:szCs w:val="20"/>
              </w:rPr>
            </w:pPr>
            <w:r w:rsidRPr="002374B3">
              <w:rPr>
                <w:rFonts w:cs="Times New Roman"/>
                <w:sz w:val="20"/>
                <w:szCs w:val="20"/>
              </w:rPr>
              <w:t>0.5</w:t>
            </w:r>
          </w:p>
        </w:tc>
      </w:tr>
      <w:tr w:rsidR="00BD2BA6" w:rsidTr="00BC2E56">
        <w:tc>
          <w:tcPr>
            <w:tcW w:w="851" w:type="dxa"/>
          </w:tcPr>
          <w:p w:rsidR="00BD2BA6" w:rsidRPr="002374B3" w:rsidRDefault="00BD2BA6" w:rsidP="00BC2E56">
            <w:pPr>
              <w:jc w:val="left"/>
              <w:rPr>
                <w:rFonts w:cs="Times New Roman"/>
                <w:sz w:val="20"/>
                <w:szCs w:val="20"/>
              </w:rPr>
            </w:pPr>
            <w:r w:rsidRPr="002374B3">
              <w:rPr>
                <w:rFonts w:cs="Times New Roman"/>
                <w:sz w:val="20"/>
                <w:szCs w:val="20"/>
              </w:rPr>
              <w:t>4.00</w:t>
            </w:r>
          </w:p>
        </w:tc>
        <w:tc>
          <w:tcPr>
            <w:tcW w:w="1275" w:type="dxa"/>
          </w:tcPr>
          <w:p w:rsidR="00BD2BA6" w:rsidRPr="002374B3" w:rsidRDefault="00BD2BA6" w:rsidP="00BC2E56">
            <w:pPr>
              <w:jc w:val="left"/>
              <w:rPr>
                <w:rFonts w:cs="Times New Roman"/>
                <w:sz w:val="20"/>
                <w:szCs w:val="20"/>
              </w:rPr>
            </w:pPr>
            <w:r w:rsidRPr="002374B3">
              <w:rPr>
                <w:rFonts w:cs="Times New Roman"/>
                <w:sz w:val="20"/>
                <w:szCs w:val="20"/>
              </w:rPr>
              <w:t>0.200</w:t>
            </w:r>
          </w:p>
        </w:tc>
        <w:tc>
          <w:tcPr>
            <w:tcW w:w="1263" w:type="dxa"/>
          </w:tcPr>
          <w:p w:rsidR="00BD2BA6" w:rsidRPr="002374B3" w:rsidRDefault="00BD2BA6" w:rsidP="00BC2E56">
            <w:pPr>
              <w:jc w:val="left"/>
              <w:rPr>
                <w:rFonts w:cs="Times New Roman"/>
                <w:sz w:val="20"/>
                <w:szCs w:val="20"/>
              </w:rPr>
            </w:pPr>
            <w:r w:rsidRPr="002374B3">
              <w:rPr>
                <w:rFonts w:cs="Times New Roman"/>
                <w:sz w:val="20"/>
                <w:szCs w:val="20"/>
              </w:rPr>
              <w:t>0.5</w:t>
            </w:r>
          </w:p>
        </w:tc>
        <w:tc>
          <w:tcPr>
            <w:tcW w:w="1161" w:type="dxa"/>
          </w:tcPr>
          <w:p w:rsidR="00BD2BA6" w:rsidRPr="002374B3" w:rsidRDefault="00BD2BA6" w:rsidP="00BC2E56">
            <w:pPr>
              <w:jc w:val="left"/>
              <w:rPr>
                <w:rFonts w:cs="Times New Roman"/>
                <w:sz w:val="20"/>
                <w:szCs w:val="20"/>
              </w:rPr>
            </w:pPr>
            <w:r w:rsidRPr="002374B3">
              <w:rPr>
                <w:rFonts w:cs="Times New Roman"/>
                <w:sz w:val="20"/>
                <w:szCs w:val="20"/>
              </w:rPr>
              <w:t>1.900</w:t>
            </w:r>
          </w:p>
        </w:tc>
        <w:tc>
          <w:tcPr>
            <w:tcW w:w="1288" w:type="dxa"/>
          </w:tcPr>
          <w:p w:rsidR="00BD2BA6" w:rsidRPr="002374B3" w:rsidRDefault="00BD2BA6" w:rsidP="00BC2E56">
            <w:pPr>
              <w:jc w:val="left"/>
              <w:rPr>
                <w:rFonts w:cs="Times New Roman"/>
                <w:sz w:val="20"/>
                <w:szCs w:val="20"/>
              </w:rPr>
            </w:pPr>
            <w:r w:rsidRPr="002374B3">
              <w:rPr>
                <w:rFonts w:cs="Times New Roman"/>
                <w:sz w:val="20"/>
                <w:szCs w:val="20"/>
              </w:rPr>
              <w:t>0.2</w:t>
            </w:r>
          </w:p>
        </w:tc>
        <w:tc>
          <w:tcPr>
            <w:tcW w:w="1440" w:type="dxa"/>
          </w:tcPr>
          <w:p w:rsidR="00BD2BA6" w:rsidRPr="002374B3" w:rsidRDefault="00BD2BA6" w:rsidP="00BC2E56">
            <w:pPr>
              <w:jc w:val="left"/>
              <w:rPr>
                <w:rFonts w:cs="Times New Roman"/>
                <w:sz w:val="20"/>
                <w:szCs w:val="20"/>
              </w:rPr>
            </w:pPr>
            <w:r w:rsidRPr="002374B3">
              <w:rPr>
                <w:rFonts w:cs="Times New Roman"/>
                <w:sz w:val="20"/>
                <w:szCs w:val="20"/>
              </w:rPr>
              <w:t>0.5</w:t>
            </w:r>
          </w:p>
        </w:tc>
        <w:tc>
          <w:tcPr>
            <w:tcW w:w="1511" w:type="dxa"/>
          </w:tcPr>
          <w:p w:rsidR="00BD2BA6" w:rsidRPr="002374B3" w:rsidRDefault="00BD2BA6" w:rsidP="00BC2E56">
            <w:pPr>
              <w:jc w:val="left"/>
              <w:rPr>
                <w:rFonts w:cs="Times New Roman"/>
                <w:sz w:val="20"/>
                <w:szCs w:val="20"/>
              </w:rPr>
            </w:pPr>
            <w:r w:rsidRPr="002374B3">
              <w:rPr>
                <w:rFonts w:cs="Times New Roman"/>
                <w:sz w:val="20"/>
                <w:szCs w:val="20"/>
              </w:rPr>
              <w:t>0.5</w:t>
            </w:r>
          </w:p>
        </w:tc>
      </w:tr>
      <w:tr w:rsidR="00BD2BA6" w:rsidTr="00BC2E56">
        <w:tc>
          <w:tcPr>
            <w:tcW w:w="851" w:type="dxa"/>
            <w:tcBorders>
              <w:bottom w:val="single" w:sz="4" w:space="0" w:color="auto"/>
            </w:tcBorders>
          </w:tcPr>
          <w:p w:rsidR="00BD2BA6" w:rsidRPr="002374B3" w:rsidRDefault="00BD2BA6" w:rsidP="00BC2E56">
            <w:pPr>
              <w:jc w:val="left"/>
              <w:rPr>
                <w:rFonts w:cs="Times New Roman"/>
                <w:sz w:val="20"/>
                <w:szCs w:val="20"/>
              </w:rPr>
            </w:pPr>
            <w:r w:rsidRPr="002374B3">
              <w:rPr>
                <w:rFonts w:cs="Times New Roman"/>
                <w:sz w:val="20"/>
                <w:szCs w:val="20"/>
              </w:rPr>
              <w:t>5.00</w:t>
            </w:r>
          </w:p>
        </w:tc>
        <w:tc>
          <w:tcPr>
            <w:tcW w:w="1275" w:type="dxa"/>
            <w:tcBorders>
              <w:bottom w:val="single" w:sz="4" w:space="0" w:color="auto"/>
            </w:tcBorders>
          </w:tcPr>
          <w:p w:rsidR="00BD2BA6" w:rsidRPr="002374B3" w:rsidRDefault="00BD2BA6" w:rsidP="00BC2E56">
            <w:pPr>
              <w:jc w:val="left"/>
              <w:rPr>
                <w:rFonts w:cs="Times New Roman"/>
                <w:sz w:val="20"/>
                <w:szCs w:val="20"/>
              </w:rPr>
            </w:pPr>
            <w:r w:rsidRPr="002374B3">
              <w:rPr>
                <w:rFonts w:cs="Times New Roman"/>
                <w:sz w:val="20"/>
                <w:szCs w:val="20"/>
              </w:rPr>
              <w:t>0.250</w:t>
            </w:r>
          </w:p>
        </w:tc>
        <w:tc>
          <w:tcPr>
            <w:tcW w:w="1263" w:type="dxa"/>
            <w:tcBorders>
              <w:bottom w:val="single" w:sz="4" w:space="0" w:color="auto"/>
            </w:tcBorders>
          </w:tcPr>
          <w:p w:rsidR="00BD2BA6" w:rsidRPr="002374B3" w:rsidRDefault="00BD2BA6" w:rsidP="00BC2E56">
            <w:pPr>
              <w:jc w:val="left"/>
              <w:rPr>
                <w:rFonts w:cs="Times New Roman"/>
                <w:sz w:val="20"/>
                <w:szCs w:val="20"/>
              </w:rPr>
            </w:pPr>
            <w:r w:rsidRPr="002374B3">
              <w:rPr>
                <w:rFonts w:cs="Times New Roman"/>
                <w:sz w:val="20"/>
                <w:szCs w:val="20"/>
              </w:rPr>
              <w:t>0.5</w:t>
            </w:r>
          </w:p>
        </w:tc>
        <w:tc>
          <w:tcPr>
            <w:tcW w:w="1161" w:type="dxa"/>
            <w:tcBorders>
              <w:bottom w:val="single" w:sz="4" w:space="0" w:color="auto"/>
            </w:tcBorders>
          </w:tcPr>
          <w:p w:rsidR="00BD2BA6" w:rsidRPr="002374B3" w:rsidRDefault="00BD2BA6" w:rsidP="00BC2E56">
            <w:pPr>
              <w:jc w:val="left"/>
              <w:rPr>
                <w:rFonts w:cs="Times New Roman"/>
                <w:sz w:val="20"/>
                <w:szCs w:val="20"/>
              </w:rPr>
            </w:pPr>
            <w:r w:rsidRPr="002374B3">
              <w:rPr>
                <w:rFonts w:cs="Times New Roman"/>
                <w:sz w:val="20"/>
                <w:szCs w:val="20"/>
              </w:rPr>
              <w:t>1.850</w:t>
            </w:r>
          </w:p>
        </w:tc>
        <w:tc>
          <w:tcPr>
            <w:tcW w:w="1288" w:type="dxa"/>
            <w:tcBorders>
              <w:bottom w:val="single" w:sz="4" w:space="0" w:color="auto"/>
            </w:tcBorders>
          </w:tcPr>
          <w:p w:rsidR="00BD2BA6" w:rsidRPr="002374B3" w:rsidRDefault="00BD2BA6" w:rsidP="00BC2E56">
            <w:pPr>
              <w:jc w:val="left"/>
              <w:rPr>
                <w:rFonts w:cs="Times New Roman"/>
                <w:sz w:val="20"/>
                <w:szCs w:val="20"/>
              </w:rPr>
            </w:pPr>
            <w:r w:rsidRPr="002374B3">
              <w:rPr>
                <w:rFonts w:cs="Times New Roman"/>
                <w:sz w:val="20"/>
                <w:szCs w:val="20"/>
              </w:rPr>
              <w:t>0.2</w:t>
            </w:r>
          </w:p>
        </w:tc>
        <w:tc>
          <w:tcPr>
            <w:tcW w:w="1440" w:type="dxa"/>
            <w:tcBorders>
              <w:bottom w:val="single" w:sz="4" w:space="0" w:color="auto"/>
            </w:tcBorders>
          </w:tcPr>
          <w:p w:rsidR="00BD2BA6" w:rsidRPr="002374B3" w:rsidRDefault="00BD2BA6" w:rsidP="00BC2E56">
            <w:pPr>
              <w:jc w:val="left"/>
              <w:rPr>
                <w:rFonts w:cs="Times New Roman"/>
                <w:sz w:val="20"/>
                <w:szCs w:val="20"/>
              </w:rPr>
            </w:pPr>
            <w:r w:rsidRPr="002374B3">
              <w:rPr>
                <w:rFonts w:cs="Times New Roman"/>
                <w:sz w:val="20"/>
                <w:szCs w:val="20"/>
              </w:rPr>
              <w:t>0.5</w:t>
            </w:r>
          </w:p>
        </w:tc>
        <w:tc>
          <w:tcPr>
            <w:tcW w:w="1511" w:type="dxa"/>
            <w:tcBorders>
              <w:bottom w:val="single" w:sz="4" w:space="0" w:color="auto"/>
            </w:tcBorders>
          </w:tcPr>
          <w:p w:rsidR="00BD2BA6" w:rsidRPr="002374B3" w:rsidRDefault="00BD2BA6" w:rsidP="00BC2E56">
            <w:pPr>
              <w:jc w:val="left"/>
              <w:rPr>
                <w:rFonts w:cs="Times New Roman"/>
                <w:sz w:val="20"/>
                <w:szCs w:val="20"/>
              </w:rPr>
            </w:pPr>
            <w:r w:rsidRPr="002374B3">
              <w:rPr>
                <w:rFonts w:cs="Times New Roman"/>
                <w:sz w:val="20"/>
                <w:szCs w:val="20"/>
              </w:rPr>
              <w:t>0.5</w:t>
            </w:r>
          </w:p>
        </w:tc>
      </w:tr>
    </w:tbl>
    <w:p w:rsidR="00BD2BA6" w:rsidRDefault="00BD2BA6" w:rsidP="00BD2BA6">
      <w:pPr>
        <w:jc w:val="left"/>
      </w:pPr>
    </w:p>
    <w:p w:rsidR="00BD2BA6" w:rsidRDefault="00976A72" w:rsidP="00BD2BA6">
      <w:pPr>
        <w:jc w:val="left"/>
      </w:pPr>
      <w:r>
        <w:t xml:space="preserve">After </w:t>
      </w:r>
      <w:proofErr w:type="spellStart"/>
      <w:r>
        <w:t>Kjehdahl</w:t>
      </w:r>
      <w:proofErr w:type="spellEnd"/>
      <w:r>
        <w:t xml:space="preserve"> digest, leaf tissue samples were measured using the following:</w:t>
      </w:r>
      <w:r w:rsidR="00BD2BA6">
        <w:t xml:space="preserve"> 0.5ml acid digest</w:t>
      </w:r>
      <w:r>
        <w:t xml:space="preserve"> sample</w:t>
      </w:r>
      <w:r w:rsidR="00BD2BA6">
        <w:t xml:space="preserve">, 0.5ml 3.44M </w:t>
      </w:r>
      <w:proofErr w:type="spellStart"/>
      <w:r w:rsidR="00BD2BA6">
        <w:t>NaOH</w:t>
      </w:r>
      <w:proofErr w:type="spellEnd"/>
      <w:r w:rsidR="00BD2BA6">
        <w:t xml:space="preserve">, 0.5ml ammonium </w:t>
      </w:r>
      <w:proofErr w:type="spellStart"/>
      <w:r w:rsidR="00BD2BA6">
        <w:t>molybdate</w:t>
      </w:r>
      <w:proofErr w:type="spellEnd"/>
      <w:r w:rsidR="00BD2BA6">
        <w:t xml:space="preserve"> (colour developer)</w:t>
      </w:r>
      <w:r>
        <w:t>,</w:t>
      </w:r>
      <w:r w:rsidR="002E0B83">
        <w:t xml:space="preserve"> 0.2ml 0.1 M ascorbic acid, and</w:t>
      </w:r>
      <w:r w:rsidR="00BD2BA6">
        <w:t xml:space="preserve"> 2.1ml dH</w:t>
      </w:r>
      <w:r w:rsidR="00BD2BA6" w:rsidRPr="004B0EAF">
        <w:rPr>
          <w:vertAlign w:val="subscript"/>
        </w:rPr>
        <w:t>2</w:t>
      </w:r>
      <w:r w:rsidR="00BD2BA6">
        <w:t>0</w:t>
      </w:r>
    </w:p>
    <w:p w:rsidR="00BD2BA6" w:rsidRDefault="00976A72" w:rsidP="00BD2BA6">
      <w:pPr>
        <w:spacing w:after="0"/>
      </w:pPr>
      <w:r>
        <w:t>Optical density was measured at</w:t>
      </w:r>
      <w:r w:rsidR="00BD2BA6">
        <w:t xml:space="preserve"> 882 nm on a </w:t>
      </w:r>
      <w:r w:rsidR="002E0B83" w:rsidRPr="00C043EA">
        <w:rPr>
          <w:rFonts w:cs="Times New Roman"/>
        </w:rPr>
        <w:t xml:space="preserve">Cecil Ce 1020 spectrophotometer </w:t>
      </w:r>
      <w:r w:rsidR="00BD2BA6">
        <w:t>after 45 minutes.</w:t>
      </w:r>
    </w:p>
    <w:p w:rsidR="00BD2BA6" w:rsidRDefault="00BD2BA6" w:rsidP="00BD2BA6">
      <w:pPr>
        <w:pStyle w:val="Heading7"/>
      </w:pPr>
      <w:r>
        <w:br w:type="page"/>
      </w:r>
      <w:r>
        <w:lastRenderedPageBreak/>
        <w:t>Appendix A3</w:t>
      </w:r>
    </w:p>
    <w:p w:rsidR="00BD2BA6" w:rsidRDefault="00BD2BA6" w:rsidP="00BD2BA6">
      <w:pPr>
        <w:jc w:val="left"/>
      </w:pPr>
      <w:r>
        <w:t>Apple bud burst phenology – the seven stages for scoring apple leaf development</w:t>
      </w:r>
    </w:p>
    <w:p w:rsidR="00BD2BA6" w:rsidRDefault="00BD2BA6" w:rsidP="00BD2BA6">
      <w:pPr>
        <w:jc w:val="left"/>
      </w:pPr>
      <w:r>
        <w:rPr>
          <w:noProof/>
          <w:lang w:eastAsia="en-GB"/>
        </w:rPr>
        <w:drawing>
          <wp:inline distT="0" distB="0" distL="0" distR="0" wp14:anchorId="3C42154E" wp14:editId="4E381E70">
            <wp:extent cx="5248275" cy="7648575"/>
            <wp:effectExtent l="0" t="0" r="9525"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af bud burst Phenology.png"/>
                    <pic:cNvPicPr/>
                  </pic:nvPicPr>
                  <pic:blipFill rotWithShape="1">
                    <a:blip r:embed="rId73">
                      <a:extLst>
                        <a:ext uri="{28A0092B-C50C-407E-A947-70E740481C1C}">
                          <a14:useLocalDpi xmlns:a14="http://schemas.microsoft.com/office/drawing/2010/main" val="0"/>
                        </a:ext>
                      </a:extLst>
                    </a:blip>
                    <a:srcRect t="11024" r="2719" b="9225"/>
                    <a:stretch/>
                  </pic:blipFill>
                  <pic:spPr bwMode="auto">
                    <a:xfrm>
                      <a:off x="0" y="0"/>
                      <a:ext cx="5252318" cy="7654467"/>
                    </a:xfrm>
                    <a:prstGeom prst="rect">
                      <a:avLst/>
                    </a:prstGeom>
                    <a:ln>
                      <a:noFill/>
                    </a:ln>
                    <a:extLst>
                      <a:ext uri="{53640926-AAD7-44D8-BBD7-CCE9431645EC}">
                        <a14:shadowObscured xmlns:a14="http://schemas.microsoft.com/office/drawing/2010/main"/>
                      </a:ext>
                    </a:extLst>
                  </pic:spPr>
                </pic:pic>
              </a:graphicData>
            </a:graphic>
          </wp:inline>
        </w:drawing>
      </w:r>
    </w:p>
    <w:p w:rsidR="00BD2BA6" w:rsidRDefault="00BD2BA6" w:rsidP="00BD2BA6">
      <w:pPr>
        <w:jc w:val="left"/>
      </w:pPr>
    </w:p>
    <w:p w:rsidR="00BD2BA6" w:rsidRDefault="00BD2BA6" w:rsidP="00BD2BA6">
      <w:pPr>
        <w:pStyle w:val="Heading6"/>
      </w:pPr>
    </w:p>
    <w:p w:rsidR="00BD2BA6" w:rsidRDefault="00BD2BA6" w:rsidP="00BD2BA6">
      <w:pPr>
        <w:pStyle w:val="Heading7"/>
      </w:pPr>
      <w:r>
        <w:t xml:space="preserve">TRFLP </w:t>
      </w:r>
      <w:r w:rsidR="00A54D4A">
        <w:t>OPLS-DA</w:t>
      </w:r>
      <w:r>
        <w:t xml:space="preserve"> loading plots</w:t>
      </w:r>
      <w:r>
        <w:rPr>
          <w:noProof/>
          <w:lang w:eastAsia="en-GB"/>
        </w:rPr>
        <w:drawing>
          <wp:inline distT="0" distB="0" distL="0" distR="0" wp14:anchorId="71F1C47C" wp14:editId="630BB04C">
            <wp:extent cx="4851343" cy="72000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RFLP a and b.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851343" cy="7200000"/>
                    </a:xfrm>
                    <a:prstGeom prst="rect">
                      <a:avLst/>
                    </a:prstGeom>
                  </pic:spPr>
                </pic:pic>
              </a:graphicData>
            </a:graphic>
          </wp:inline>
        </w:drawing>
      </w:r>
    </w:p>
    <w:p w:rsidR="00BD2BA6" w:rsidRDefault="00BD2BA6" w:rsidP="00BD2BA6">
      <w:pPr>
        <w:jc w:val="left"/>
      </w:pPr>
      <w:r>
        <w:rPr>
          <w:noProof/>
          <w:lang w:eastAsia="en-GB"/>
        </w:rPr>
        <w:lastRenderedPageBreak/>
        <w:drawing>
          <wp:inline distT="0" distB="0" distL="0" distR="0" wp14:anchorId="52773923" wp14:editId="42D7D246">
            <wp:extent cx="5400040" cy="801814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TRFLP c and d.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00040" cy="8018145"/>
                    </a:xfrm>
                    <a:prstGeom prst="rect">
                      <a:avLst/>
                    </a:prstGeom>
                  </pic:spPr>
                </pic:pic>
              </a:graphicData>
            </a:graphic>
          </wp:inline>
        </w:drawing>
      </w:r>
      <w:r>
        <w:rPr>
          <w:noProof/>
          <w:lang w:eastAsia="en-GB"/>
        </w:rPr>
        <w:lastRenderedPageBreak/>
        <w:drawing>
          <wp:inline distT="0" distB="0" distL="0" distR="0" wp14:anchorId="6CAAAA1C" wp14:editId="6A4CD67A">
            <wp:extent cx="5400040" cy="807339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RFLP e and f.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00040" cy="8073390"/>
                    </a:xfrm>
                    <a:prstGeom prst="rect">
                      <a:avLst/>
                    </a:prstGeom>
                  </pic:spPr>
                </pic:pic>
              </a:graphicData>
            </a:graphic>
          </wp:inline>
        </w:drawing>
      </w:r>
      <w:r>
        <w:rPr>
          <w:noProof/>
          <w:lang w:eastAsia="en-GB"/>
        </w:rPr>
        <w:lastRenderedPageBreak/>
        <w:drawing>
          <wp:inline distT="0" distB="0" distL="0" distR="0" wp14:anchorId="20CCEC26" wp14:editId="708C41DF">
            <wp:extent cx="5400040" cy="801687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RFLPg and h.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00040" cy="8016875"/>
                    </a:xfrm>
                    <a:prstGeom prst="rect">
                      <a:avLst/>
                    </a:prstGeom>
                  </pic:spPr>
                </pic:pic>
              </a:graphicData>
            </a:graphic>
          </wp:inline>
        </w:drawing>
      </w:r>
    </w:p>
    <w:p w:rsidR="00BD2BA6" w:rsidRDefault="00BD2BA6" w:rsidP="00BD2BA6">
      <w:pPr>
        <w:jc w:val="left"/>
      </w:pPr>
      <w:r>
        <w:rPr>
          <w:noProof/>
          <w:lang w:eastAsia="en-GB"/>
        </w:rPr>
        <w:lastRenderedPageBreak/>
        <w:drawing>
          <wp:inline distT="0" distB="0" distL="0" distR="0" wp14:anchorId="4FC80092" wp14:editId="46CAC4EB">
            <wp:extent cx="4401664" cy="6537278"/>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RFLP i and j.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403908" cy="6540611"/>
                    </a:xfrm>
                    <a:prstGeom prst="rect">
                      <a:avLst/>
                    </a:prstGeom>
                  </pic:spPr>
                </pic:pic>
              </a:graphicData>
            </a:graphic>
          </wp:inline>
        </w:drawing>
      </w:r>
    </w:p>
    <w:p w:rsidR="00D653CB" w:rsidRDefault="00D653CB" w:rsidP="00D653CB">
      <w:pPr>
        <w:rPr>
          <w:sz w:val="20"/>
          <w:szCs w:val="20"/>
        </w:rPr>
      </w:pPr>
      <w:r>
        <w:rPr>
          <w:b/>
          <w:sz w:val="20"/>
          <w:szCs w:val="20"/>
        </w:rPr>
        <w:t xml:space="preserve">Figure B.1. Plots (a) to (j) show </w:t>
      </w:r>
      <w:r>
        <w:rPr>
          <w:sz w:val="20"/>
          <w:szCs w:val="20"/>
        </w:rPr>
        <w:t>OPLS-DA</w:t>
      </w:r>
      <w:r w:rsidRPr="00AD20B3">
        <w:rPr>
          <w:sz w:val="20"/>
          <w:szCs w:val="20"/>
        </w:rPr>
        <w:t xml:space="preserve"> loading plot</w:t>
      </w:r>
      <w:r>
        <w:rPr>
          <w:sz w:val="20"/>
          <w:szCs w:val="20"/>
        </w:rPr>
        <w:t>s showing TRFs</w:t>
      </w:r>
      <w:r w:rsidRPr="00AD20B3">
        <w:rPr>
          <w:sz w:val="20"/>
          <w:szCs w:val="20"/>
        </w:rPr>
        <w:t xml:space="preserve"> which were driving differences in community structure when comparing habitat types. </w:t>
      </w:r>
      <w:r>
        <w:rPr>
          <w:sz w:val="20"/>
          <w:szCs w:val="20"/>
        </w:rPr>
        <w:t>Plots (a) to (</w:t>
      </w:r>
      <w:r w:rsidRPr="00AD20B3">
        <w:rPr>
          <w:sz w:val="20"/>
          <w:szCs w:val="20"/>
        </w:rPr>
        <w:t>j) show pairwise comparison of each of the five habitat types (arable, conventional bush orchard, conventional standard orchard, organic standard orchard and woodland) with one another</w:t>
      </w:r>
      <w:r>
        <w:rPr>
          <w:sz w:val="20"/>
          <w:szCs w:val="20"/>
        </w:rPr>
        <w:t>. R</w:t>
      </w:r>
      <w:r w:rsidRPr="00D447A7">
        <w:rPr>
          <w:sz w:val="20"/>
          <w:szCs w:val="20"/>
          <w:vertAlign w:val="superscript"/>
        </w:rPr>
        <w:t>2</w:t>
      </w:r>
      <w:r>
        <w:rPr>
          <w:sz w:val="20"/>
          <w:szCs w:val="20"/>
        </w:rPr>
        <w:t xml:space="preserve"> values show the proportion of variation in the data that is explained by differences in the two habitat types compared. </w:t>
      </w:r>
      <w:proofErr w:type="spellStart"/>
      <w:proofErr w:type="gramStart"/>
      <w:r>
        <w:rPr>
          <w:sz w:val="20"/>
          <w:szCs w:val="20"/>
        </w:rPr>
        <w:t>Pq</w:t>
      </w:r>
      <w:proofErr w:type="spellEnd"/>
      <w:proofErr w:type="gramEnd"/>
      <w:r>
        <w:rPr>
          <w:sz w:val="20"/>
          <w:szCs w:val="20"/>
        </w:rPr>
        <w:t xml:space="preserve"> = cumulative loading vector which is proportion to the amount of variation explained by each individual TRF.</w:t>
      </w:r>
    </w:p>
    <w:p w:rsidR="00BD2BA6" w:rsidRDefault="00BD2BA6" w:rsidP="00BD2BA6">
      <w:pPr>
        <w:jc w:val="left"/>
      </w:pPr>
    </w:p>
    <w:p w:rsidR="00BD2BA6" w:rsidRDefault="00BD2BA6" w:rsidP="00BD2BA6">
      <w:pPr>
        <w:spacing w:line="259" w:lineRule="auto"/>
        <w:jc w:val="left"/>
      </w:pPr>
      <w:r>
        <w:br w:type="page"/>
      </w:r>
    </w:p>
    <w:p w:rsidR="00BD2BA6" w:rsidRDefault="00BD2BA6" w:rsidP="00BD2BA6">
      <w:pPr>
        <w:jc w:val="left"/>
      </w:pPr>
    </w:p>
    <w:p w:rsidR="00BD2BA6" w:rsidRDefault="00BD2BA6" w:rsidP="00BD2BA6">
      <w:pPr>
        <w:pStyle w:val="Heading7"/>
      </w:pPr>
      <w:r>
        <w:t xml:space="preserve">Illumina sequencing reverse sequence </w:t>
      </w:r>
      <w:r w:rsidR="00A54D4A">
        <w:t>OPLS-DA</w:t>
      </w:r>
      <w:r>
        <w:t xml:space="preserve"> loading plots</w:t>
      </w:r>
    </w:p>
    <w:p w:rsidR="00BD2BA6" w:rsidRDefault="00BD2BA6" w:rsidP="00BD2BA6">
      <w:pPr>
        <w:jc w:val="left"/>
      </w:pPr>
      <w:r>
        <w:rPr>
          <w:noProof/>
          <w:lang w:eastAsia="en-GB"/>
        </w:rPr>
        <w:drawing>
          <wp:inline distT="0" distB="0" distL="0" distR="0" wp14:anchorId="6787A53D" wp14:editId="59DB02B4">
            <wp:extent cx="5400040" cy="738695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PLSDA_rev_seq_loadings_AB.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400040" cy="7386955"/>
                    </a:xfrm>
                    <a:prstGeom prst="rect">
                      <a:avLst/>
                    </a:prstGeom>
                  </pic:spPr>
                </pic:pic>
              </a:graphicData>
            </a:graphic>
          </wp:inline>
        </w:drawing>
      </w:r>
    </w:p>
    <w:p w:rsidR="00BD2BA6" w:rsidRDefault="00BD2BA6" w:rsidP="00BD2BA6">
      <w:pPr>
        <w:jc w:val="left"/>
      </w:pPr>
      <w:r>
        <w:rPr>
          <w:noProof/>
          <w:lang w:eastAsia="en-GB"/>
        </w:rPr>
        <w:lastRenderedPageBreak/>
        <w:drawing>
          <wp:inline distT="0" distB="0" distL="0" distR="0" wp14:anchorId="4203A2A9" wp14:editId="2083FD1F">
            <wp:extent cx="4938603" cy="72000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v_seq_OPLSDA_loadings_c,d.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938603" cy="7200000"/>
                    </a:xfrm>
                    <a:prstGeom prst="rect">
                      <a:avLst/>
                    </a:prstGeom>
                  </pic:spPr>
                </pic:pic>
              </a:graphicData>
            </a:graphic>
          </wp:inline>
        </w:drawing>
      </w:r>
    </w:p>
    <w:p w:rsidR="00BD2BA6" w:rsidRDefault="00BD2BA6" w:rsidP="00BD2BA6">
      <w:pPr>
        <w:jc w:val="left"/>
      </w:pPr>
      <w:r>
        <w:rPr>
          <w:noProof/>
          <w:lang w:eastAsia="en-GB"/>
        </w:rPr>
        <w:lastRenderedPageBreak/>
        <w:drawing>
          <wp:inline distT="0" distB="0" distL="0" distR="0" wp14:anchorId="02924BEF" wp14:editId="4177AFBE">
            <wp:extent cx="5400040" cy="787273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PLSDA_rev_seq_loadings_E,F.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00040" cy="7872730"/>
                    </a:xfrm>
                    <a:prstGeom prst="rect">
                      <a:avLst/>
                    </a:prstGeom>
                  </pic:spPr>
                </pic:pic>
              </a:graphicData>
            </a:graphic>
          </wp:inline>
        </w:drawing>
      </w:r>
    </w:p>
    <w:p w:rsidR="00BD2BA6" w:rsidRDefault="00BD2BA6" w:rsidP="00BD2BA6">
      <w:pPr>
        <w:jc w:val="left"/>
        <w:rPr>
          <w:noProof/>
          <w:lang w:eastAsia="en-GB"/>
        </w:rPr>
      </w:pPr>
    </w:p>
    <w:p w:rsidR="00BD2BA6" w:rsidRDefault="00BD2BA6" w:rsidP="00BD2BA6">
      <w:pPr>
        <w:jc w:val="left"/>
      </w:pPr>
      <w:r>
        <w:rPr>
          <w:noProof/>
          <w:lang w:eastAsia="en-GB"/>
        </w:rPr>
        <w:lastRenderedPageBreak/>
        <w:drawing>
          <wp:inline distT="0" distB="0" distL="0" distR="0" wp14:anchorId="279DF467" wp14:editId="71B5DEDE">
            <wp:extent cx="5400040" cy="787273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PLSDA_rev_seq_loadings,G,G.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00040" cy="7872730"/>
                    </a:xfrm>
                    <a:prstGeom prst="rect">
                      <a:avLst/>
                    </a:prstGeom>
                  </pic:spPr>
                </pic:pic>
              </a:graphicData>
            </a:graphic>
          </wp:inline>
        </w:drawing>
      </w:r>
    </w:p>
    <w:p w:rsidR="00BD2BA6" w:rsidRDefault="00BD2BA6" w:rsidP="00BD2BA6">
      <w:pPr>
        <w:jc w:val="left"/>
      </w:pPr>
      <w:r>
        <w:rPr>
          <w:noProof/>
          <w:lang w:eastAsia="en-GB"/>
        </w:rPr>
        <w:lastRenderedPageBreak/>
        <w:drawing>
          <wp:inline distT="0" distB="0" distL="0" distR="0" wp14:anchorId="6933E77A" wp14:editId="074424D7">
            <wp:extent cx="4984371" cy="7151427"/>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PLSDA_rev_seq_loadings,I,J.png"/>
                    <pic:cNvPicPr/>
                  </pic:nvPicPr>
                  <pic:blipFill rotWithShape="1">
                    <a:blip r:embed="rId83" cstate="print">
                      <a:extLst>
                        <a:ext uri="{28A0092B-C50C-407E-A947-70E740481C1C}">
                          <a14:useLocalDpi xmlns:a14="http://schemas.microsoft.com/office/drawing/2010/main" val="0"/>
                        </a:ext>
                      </a:extLst>
                    </a:blip>
                    <a:srcRect b="1586"/>
                    <a:stretch/>
                  </pic:blipFill>
                  <pic:spPr bwMode="auto">
                    <a:xfrm>
                      <a:off x="0" y="0"/>
                      <a:ext cx="5000304" cy="7174287"/>
                    </a:xfrm>
                    <a:prstGeom prst="rect">
                      <a:avLst/>
                    </a:prstGeom>
                    <a:ln>
                      <a:noFill/>
                    </a:ln>
                    <a:extLst>
                      <a:ext uri="{53640926-AAD7-44D8-BBD7-CCE9431645EC}">
                        <a14:shadowObscured xmlns:a14="http://schemas.microsoft.com/office/drawing/2010/main"/>
                      </a:ext>
                    </a:extLst>
                  </pic:spPr>
                </pic:pic>
              </a:graphicData>
            </a:graphic>
          </wp:inline>
        </w:drawing>
      </w:r>
    </w:p>
    <w:p w:rsidR="00BD2BA6" w:rsidRPr="00D653CB" w:rsidRDefault="00BD2BA6" w:rsidP="00BD2BA6">
      <w:pPr>
        <w:rPr>
          <w:sz w:val="20"/>
          <w:szCs w:val="20"/>
        </w:rPr>
      </w:pPr>
      <w:r>
        <w:rPr>
          <w:b/>
          <w:sz w:val="20"/>
          <w:szCs w:val="20"/>
        </w:rPr>
        <w:t xml:space="preserve">Plots (a) to (j) </w:t>
      </w:r>
      <w:r w:rsidR="00A54D4A">
        <w:rPr>
          <w:sz w:val="20"/>
          <w:szCs w:val="20"/>
        </w:rPr>
        <w:t>OPLS-DA</w:t>
      </w:r>
      <w:r w:rsidRPr="00AD20B3">
        <w:rPr>
          <w:sz w:val="20"/>
          <w:szCs w:val="20"/>
        </w:rPr>
        <w:t xml:space="preserve"> loading plots showing OTUs which were driving differences in community structure when comparing habitat types. </w:t>
      </w:r>
      <w:r>
        <w:rPr>
          <w:sz w:val="20"/>
          <w:szCs w:val="20"/>
        </w:rPr>
        <w:t>Plots (a) to (</w:t>
      </w:r>
      <w:r w:rsidRPr="00AD20B3">
        <w:rPr>
          <w:sz w:val="20"/>
          <w:szCs w:val="20"/>
        </w:rPr>
        <w:t>j) show pairwise comparison of each of the five habitat types (arable, conventional bush orchard, conventional standard orchard, organic standard orchard and woodland) with one another</w:t>
      </w:r>
      <w:r>
        <w:rPr>
          <w:sz w:val="20"/>
          <w:szCs w:val="20"/>
        </w:rPr>
        <w:t>. R</w:t>
      </w:r>
      <w:r w:rsidRPr="00D447A7">
        <w:rPr>
          <w:sz w:val="20"/>
          <w:szCs w:val="20"/>
          <w:vertAlign w:val="superscript"/>
        </w:rPr>
        <w:t>2</w:t>
      </w:r>
      <w:r>
        <w:rPr>
          <w:sz w:val="20"/>
          <w:szCs w:val="20"/>
        </w:rPr>
        <w:t xml:space="preserve"> values show the proportion of variation in the data that is explained by differences in the two habitat types compared. </w:t>
      </w:r>
      <w:proofErr w:type="spellStart"/>
      <w:proofErr w:type="gramStart"/>
      <w:r>
        <w:rPr>
          <w:sz w:val="20"/>
          <w:szCs w:val="20"/>
        </w:rPr>
        <w:t>Pq</w:t>
      </w:r>
      <w:proofErr w:type="spellEnd"/>
      <w:proofErr w:type="gramEnd"/>
      <w:r>
        <w:rPr>
          <w:sz w:val="20"/>
          <w:szCs w:val="20"/>
        </w:rPr>
        <w:t xml:space="preserve"> = cumulative loading vector which is proportion to the amount of variation explained by</w:t>
      </w:r>
      <w:r w:rsidR="00D653CB">
        <w:rPr>
          <w:sz w:val="20"/>
          <w:szCs w:val="20"/>
        </w:rPr>
        <w:t xml:space="preserve"> each individual OTU.</w:t>
      </w:r>
    </w:p>
    <w:p w:rsidR="006E78F2" w:rsidRDefault="006E78F2" w:rsidP="00BD2BA6"/>
    <w:p w:rsidR="00D653CB" w:rsidRDefault="000D5A86">
      <w:pPr>
        <w:spacing w:line="259" w:lineRule="auto"/>
        <w:jc w:val="left"/>
        <w:rPr>
          <w:rFonts w:eastAsiaTheme="majorEastAsia" w:cstheme="majorBidi"/>
          <w:b/>
          <w:sz w:val="32"/>
          <w:szCs w:val="32"/>
        </w:rPr>
      </w:pPr>
      <w:r>
        <w:br w:type="page"/>
      </w:r>
      <w:bookmarkStart w:id="515" w:name="_Toc469931991"/>
      <w:r w:rsidR="00D653CB">
        <w:lastRenderedPageBreak/>
        <w:br w:type="page"/>
      </w:r>
    </w:p>
    <w:p w:rsidR="000D5A86" w:rsidRDefault="000D5A86" w:rsidP="007342C0">
      <w:pPr>
        <w:pStyle w:val="ReferencesHeading"/>
      </w:pPr>
      <w:bookmarkStart w:id="516" w:name="_Toc469982312"/>
      <w:r>
        <w:lastRenderedPageBreak/>
        <w:t>References</w:t>
      </w:r>
      <w:bookmarkEnd w:id="515"/>
      <w:bookmarkEnd w:id="516"/>
    </w:p>
    <w:p w:rsidR="00EC4E93" w:rsidRDefault="00BC2E56" w:rsidP="00F00459">
      <w:pPr>
        <w:pStyle w:val="Bibliography"/>
      </w:pPr>
      <w:r>
        <w:fldChar w:fldCharType="begin"/>
      </w:r>
      <w:r w:rsidR="00EC4E93">
        <w:instrText xml:space="preserve"> ADDIN ZOTERO_BIBL {"custom":[]} CSL_BIBLIOGRAPHY </w:instrText>
      </w:r>
      <w:r>
        <w:fldChar w:fldCharType="separate"/>
      </w:r>
      <w:r w:rsidR="00EC4E93">
        <w:rPr>
          <w:b/>
          <w:bCs/>
        </w:rPr>
        <w:t>Abdel-Fattah GM, El-Haddad SA, Hafez EE, Rashad YM</w:t>
      </w:r>
      <w:r w:rsidR="00EC4E93">
        <w:t xml:space="preserve">. </w:t>
      </w:r>
      <w:r w:rsidR="00EC4E93">
        <w:rPr>
          <w:b/>
          <w:bCs/>
        </w:rPr>
        <w:t>2011</w:t>
      </w:r>
      <w:r w:rsidR="00EC4E93">
        <w:t xml:space="preserve">. Induction of defense responses in common bean plants by arbuscular mycorrhizal fungi. </w:t>
      </w:r>
      <w:r w:rsidR="00EC4E93">
        <w:rPr>
          <w:i/>
          <w:iCs/>
        </w:rPr>
        <w:t>Microbiological Research</w:t>
      </w:r>
      <w:r w:rsidR="00EC4E93">
        <w:t xml:space="preserve"> </w:t>
      </w:r>
      <w:r w:rsidR="00EC4E93">
        <w:rPr>
          <w:b/>
          <w:bCs/>
        </w:rPr>
        <w:t>166</w:t>
      </w:r>
      <w:r w:rsidR="00EC4E93">
        <w:t>: 268–281.</w:t>
      </w:r>
    </w:p>
    <w:p w:rsidR="00EC4E93" w:rsidRDefault="00EC4E93" w:rsidP="00F00459">
      <w:pPr>
        <w:pStyle w:val="Bibliography"/>
      </w:pPr>
      <w:r>
        <w:rPr>
          <w:b/>
          <w:bCs/>
        </w:rPr>
        <w:t>Aikawa S, Kobayashi MJ, Satake A, Shimizu KK, Kudoh H</w:t>
      </w:r>
      <w:r>
        <w:t xml:space="preserve">. </w:t>
      </w:r>
      <w:r>
        <w:rPr>
          <w:b/>
          <w:bCs/>
        </w:rPr>
        <w:t>2010</w:t>
      </w:r>
      <w:r>
        <w:t xml:space="preserve">. Robust control of the seasonal expression of the Arabidopsis FLC gene in a fluctuating environment. </w:t>
      </w:r>
      <w:r>
        <w:rPr>
          <w:i/>
          <w:iCs/>
        </w:rPr>
        <w:t>Proceedings of the National Academy of Sciences</w:t>
      </w:r>
      <w:r>
        <w:t xml:space="preserve"> </w:t>
      </w:r>
      <w:r>
        <w:rPr>
          <w:b/>
          <w:bCs/>
        </w:rPr>
        <w:t>107</w:t>
      </w:r>
      <w:r>
        <w:t>: 11632–11637.</w:t>
      </w:r>
    </w:p>
    <w:p w:rsidR="00EC4E93" w:rsidRDefault="00EC4E93" w:rsidP="00F00459">
      <w:pPr>
        <w:pStyle w:val="Bibliography"/>
      </w:pPr>
      <w:r>
        <w:rPr>
          <w:b/>
          <w:bCs/>
        </w:rPr>
        <w:t>Albacete A, Martinez-Andujar C, Martinez-Perez A, Thompson AJ, Dodd IC, Perez-Alfocea F</w:t>
      </w:r>
      <w:r>
        <w:t xml:space="preserve">. </w:t>
      </w:r>
      <w:r>
        <w:rPr>
          <w:b/>
          <w:bCs/>
        </w:rPr>
        <w:t>2015</w:t>
      </w:r>
      <w:r>
        <w:t xml:space="preserve">. Unravelling rootstockxscion interactions to improve food security. </w:t>
      </w:r>
      <w:r>
        <w:rPr>
          <w:i/>
          <w:iCs/>
        </w:rPr>
        <w:t>Journal of Experimental Botany</w:t>
      </w:r>
      <w:r>
        <w:t xml:space="preserve"> </w:t>
      </w:r>
      <w:r>
        <w:rPr>
          <w:b/>
          <w:bCs/>
        </w:rPr>
        <w:t>66</w:t>
      </w:r>
      <w:r>
        <w:t>: 2211–2226.</w:t>
      </w:r>
    </w:p>
    <w:p w:rsidR="00EC4E93" w:rsidRDefault="00EC4E93" w:rsidP="00F00459">
      <w:pPr>
        <w:pStyle w:val="Bibliography"/>
      </w:pPr>
      <w:r>
        <w:rPr>
          <w:b/>
          <w:bCs/>
        </w:rPr>
        <w:t>Alexandratos N</w:t>
      </w:r>
      <w:r>
        <w:t xml:space="preserve">. </w:t>
      </w:r>
      <w:r>
        <w:rPr>
          <w:b/>
          <w:bCs/>
        </w:rPr>
        <w:t>1999</w:t>
      </w:r>
      <w:r>
        <w:t xml:space="preserve">. World food and agriculture: Outlook for the medium and longer term. </w:t>
      </w:r>
      <w:r>
        <w:rPr>
          <w:i/>
          <w:iCs/>
        </w:rPr>
        <w:t>Proceedings of the National Academy of Sciences</w:t>
      </w:r>
      <w:r>
        <w:t xml:space="preserve"> </w:t>
      </w:r>
      <w:r>
        <w:rPr>
          <w:b/>
          <w:bCs/>
        </w:rPr>
        <w:t>96</w:t>
      </w:r>
      <w:r>
        <w:t>: 5908–5914.</w:t>
      </w:r>
    </w:p>
    <w:p w:rsidR="00EC4E93" w:rsidRDefault="00EC4E93" w:rsidP="00F00459">
      <w:pPr>
        <w:pStyle w:val="Bibliography"/>
      </w:pPr>
      <w:r>
        <w:rPr>
          <w:b/>
          <w:bCs/>
        </w:rPr>
        <w:t>Alguacil MM, Lumini E, Roldán A, Salinas-García JR, Bonfante P, Bianciotto V</w:t>
      </w:r>
      <w:r>
        <w:t xml:space="preserve">. </w:t>
      </w:r>
      <w:r>
        <w:rPr>
          <w:b/>
          <w:bCs/>
        </w:rPr>
        <w:t>2008</w:t>
      </w:r>
      <w:r>
        <w:t xml:space="preserve">. The Impact of Tillage Practices on Arbuscular Mycorrhizal Fungal Diversity in Subtropical Crops. </w:t>
      </w:r>
      <w:r>
        <w:rPr>
          <w:i/>
          <w:iCs/>
        </w:rPr>
        <w:t>Ecological Applications</w:t>
      </w:r>
      <w:r>
        <w:t xml:space="preserve"> </w:t>
      </w:r>
      <w:r>
        <w:rPr>
          <w:b/>
          <w:bCs/>
        </w:rPr>
        <w:t>18</w:t>
      </w:r>
      <w:r>
        <w:t>: 527–536.</w:t>
      </w:r>
    </w:p>
    <w:p w:rsidR="00EC4E93" w:rsidRDefault="00EC4E93" w:rsidP="00F00459">
      <w:pPr>
        <w:pStyle w:val="Bibliography"/>
      </w:pPr>
      <w:r>
        <w:rPr>
          <w:b/>
          <w:bCs/>
        </w:rPr>
        <w:t>An ZQ, Shen T, Wang HG</w:t>
      </w:r>
      <w:r>
        <w:t xml:space="preserve">. </w:t>
      </w:r>
      <w:r>
        <w:rPr>
          <w:b/>
          <w:bCs/>
        </w:rPr>
        <w:t>1993</w:t>
      </w:r>
      <w:r>
        <w:t xml:space="preserve">. Mycorrhizal fungi in relation to growth and mineral nutrition of apple seedlings. </w:t>
      </w:r>
      <w:r>
        <w:rPr>
          <w:i/>
          <w:iCs/>
        </w:rPr>
        <w:t>Scientia Horticulturae</w:t>
      </w:r>
      <w:r>
        <w:t xml:space="preserve"> </w:t>
      </w:r>
      <w:r>
        <w:rPr>
          <w:b/>
          <w:bCs/>
        </w:rPr>
        <w:t>54</w:t>
      </w:r>
      <w:r>
        <w:t>: 275–285.</w:t>
      </w:r>
    </w:p>
    <w:p w:rsidR="00EC4E93" w:rsidRDefault="00EC4E93" w:rsidP="00F00459">
      <w:pPr>
        <w:pStyle w:val="Bibliography"/>
      </w:pPr>
      <w:r>
        <w:rPr>
          <w:b/>
          <w:bCs/>
        </w:rPr>
        <w:t>Arihara J, Karasawa T</w:t>
      </w:r>
      <w:r>
        <w:t xml:space="preserve">. </w:t>
      </w:r>
      <w:r>
        <w:rPr>
          <w:b/>
          <w:bCs/>
        </w:rPr>
        <w:t>2000</w:t>
      </w:r>
      <w:r>
        <w:t xml:space="preserve">. Effect of previous crops on arbuscular mycorrhizal formation and growth of succeeding maize. </w:t>
      </w:r>
      <w:r>
        <w:rPr>
          <w:i/>
          <w:iCs/>
        </w:rPr>
        <w:t>Soil Science and Plant Nutrition</w:t>
      </w:r>
      <w:r>
        <w:t xml:space="preserve"> </w:t>
      </w:r>
      <w:r>
        <w:rPr>
          <w:b/>
          <w:bCs/>
        </w:rPr>
        <w:t>46</w:t>
      </w:r>
      <w:r>
        <w:t>: 43–51.</w:t>
      </w:r>
    </w:p>
    <w:p w:rsidR="00EC4E93" w:rsidRDefault="00EC4E93" w:rsidP="00F00459">
      <w:pPr>
        <w:pStyle w:val="Bibliography"/>
      </w:pPr>
      <w:r>
        <w:rPr>
          <w:b/>
          <w:bCs/>
        </w:rPr>
        <w:t>Arnon DI</w:t>
      </w:r>
      <w:r>
        <w:t xml:space="preserve">. </w:t>
      </w:r>
      <w:r>
        <w:rPr>
          <w:b/>
          <w:bCs/>
        </w:rPr>
        <w:t>1949</w:t>
      </w:r>
      <w:r>
        <w:t xml:space="preserve">. Copper Enzymes in Isolated Chloroplasts. Polyphenoloxidase in Beta Vulgaris. </w:t>
      </w:r>
      <w:r>
        <w:rPr>
          <w:i/>
          <w:iCs/>
        </w:rPr>
        <w:t>Plant Physiology</w:t>
      </w:r>
      <w:r>
        <w:t xml:space="preserve"> </w:t>
      </w:r>
      <w:r>
        <w:rPr>
          <w:b/>
          <w:bCs/>
        </w:rPr>
        <w:t>24</w:t>
      </w:r>
      <w:r>
        <w:t>: 1–15.</w:t>
      </w:r>
    </w:p>
    <w:p w:rsidR="00EC4E93" w:rsidRDefault="00EC4E93" w:rsidP="00F00459">
      <w:pPr>
        <w:pStyle w:val="Bibliography"/>
      </w:pPr>
      <w:r>
        <w:rPr>
          <w:b/>
          <w:bCs/>
        </w:rPr>
        <w:t>Aroca R, Alguacil MD, Vernieri P, Ruiz-Lozano JM</w:t>
      </w:r>
      <w:r>
        <w:t xml:space="preserve">. </w:t>
      </w:r>
      <w:r>
        <w:rPr>
          <w:b/>
          <w:bCs/>
        </w:rPr>
        <w:t>2008a</w:t>
      </w:r>
      <w:r>
        <w:t xml:space="preserve">. Plant Responses to Drought Stress and Exogenous ABA Application are Modulated Differently by Mycorrhization in Tomato and an ABA-deficient Mutant (Sitiens). </w:t>
      </w:r>
      <w:r>
        <w:rPr>
          <w:i/>
          <w:iCs/>
        </w:rPr>
        <w:t>Microbial Ecology</w:t>
      </w:r>
      <w:r>
        <w:t xml:space="preserve"> </w:t>
      </w:r>
      <w:r>
        <w:rPr>
          <w:b/>
          <w:bCs/>
        </w:rPr>
        <w:t>56</w:t>
      </w:r>
      <w:r>
        <w:t>: 704–719.</w:t>
      </w:r>
    </w:p>
    <w:p w:rsidR="00EC4E93" w:rsidRDefault="00EC4E93" w:rsidP="00F00459">
      <w:pPr>
        <w:pStyle w:val="Bibliography"/>
      </w:pPr>
      <w:r>
        <w:rPr>
          <w:b/>
          <w:bCs/>
        </w:rPr>
        <w:t>Aroca R, Porcel R, Ruiz-Lozano JM</w:t>
      </w:r>
      <w:r>
        <w:t xml:space="preserve">. </w:t>
      </w:r>
      <w:r>
        <w:rPr>
          <w:b/>
          <w:bCs/>
        </w:rPr>
        <w:t>2007</w:t>
      </w:r>
      <w:r>
        <w:t xml:space="preserve">. How does arbuscular mycorrhizal symbiosis regulate root hydraulic properties and plasma membrane aquaporins in Phaseolus vulgaris under drought, cold or salinity stresses? </w:t>
      </w:r>
      <w:r>
        <w:rPr>
          <w:i/>
          <w:iCs/>
        </w:rPr>
        <w:t>New Phytologist</w:t>
      </w:r>
      <w:r>
        <w:t xml:space="preserve"> </w:t>
      </w:r>
      <w:r>
        <w:rPr>
          <w:b/>
          <w:bCs/>
        </w:rPr>
        <w:t>173</w:t>
      </w:r>
      <w:r>
        <w:t>: 808–816.</w:t>
      </w:r>
    </w:p>
    <w:p w:rsidR="00EC4E93" w:rsidRDefault="00EC4E93" w:rsidP="00F00459">
      <w:pPr>
        <w:pStyle w:val="Bibliography"/>
      </w:pPr>
      <w:r>
        <w:rPr>
          <w:b/>
          <w:bCs/>
        </w:rPr>
        <w:t>Aroca R, Vernieri P, Ruiz-Lozano JM</w:t>
      </w:r>
      <w:r>
        <w:t xml:space="preserve">. </w:t>
      </w:r>
      <w:r>
        <w:rPr>
          <w:b/>
          <w:bCs/>
        </w:rPr>
        <w:t>2008b</w:t>
      </w:r>
      <w:r>
        <w:t xml:space="preserve">. Mycorrhizal and non-mycorrhizal Lactuca sativa plants exhibit contrasting responses to exogenous ABA during drought stress and recovery. </w:t>
      </w:r>
      <w:r>
        <w:rPr>
          <w:i/>
          <w:iCs/>
        </w:rPr>
        <w:t>Journal of Experimental Botany</w:t>
      </w:r>
      <w:r>
        <w:t xml:space="preserve"> </w:t>
      </w:r>
      <w:r>
        <w:rPr>
          <w:b/>
          <w:bCs/>
        </w:rPr>
        <w:t>59</w:t>
      </w:r>
      <w:r>
        <w:t>: 2029–2041.</w:t>
      </w:r>
    </w:p>
    <w:p w:rsidR="00EC4E93" w:rsidRDefault="00EC4E93" w:rsidP="00F00459">
      <w:pPr>
        <w:pStyle w:val="Bibliography"/>
      </w:pPr>
      <w:r>
        <w:rPr>
          <w:b/>
          <w:bCs/>
        </w:rPr>
        <w:t>Augé RM</w:t>
      </w:r>
      <w:r>
        <w:t xml:space="preserve">. </w:t>
      </w:r>
      <w:r>
        <w:rPr>
          <w:b/>
          <w:bCs/>
        </w:rPr>
        <w:t>2004</w:t>
      </w:r>
      <w:r>
        <w:t xml:space="preserve">. Arbuscular mycorrhizae and soil/plant water relations. </w:t>
      </w:r>
      <w:r>
        <w:rPr>
          <w:i/>
          <w:iCs/>
        </w:rPr>
        <w:t>Canadian Journal of Soil Science</w:t>
      </w:r>
      <w:r>
        <w:t xml:space="preserve"> </w:t>
      </w:r>
      <w:r>
        <w:rPr>
          <w:b/>
          <w:bCs/>
        </w:rPr>
        <w:t>84</w:t>
      </w:r>
      <w:r>
        <w:t>: 373–381.</w:t>
      </w:r>
    </w:p>
    <w:p w:rsidR="00EC4E93" w:rsidRDefault="00EC4E93" w:rsidP="00F00459">
      <w:pPr>
        <w:pStyle w:val="Bibliography"/>
      </w:pPr>
      <w:r>
        <w:rPr>
          <w:b/>
          <w:bCs/>
        </w:rPr>
        <w:t>Augé RM, Duan XG, Ebel RC, Stodola AJW</w:t>
      </w:r>
      <w:r>
        <w:t xml:space="preserve">. </w:t>
      </w:r>
      <w:r>
        <w:rPr>
          <w:b/>
          <w:bCs/>
        </w:rPr>
        <w:t>1994</w:t>
      </w:r>
      <w:r>
        <w:t xml:space="preserve">. NONHYDRAULIC SIGNALING OF SOIL DRYING IN MYCORRHIZAL MAIZE. </w:t>
      </w:r>
      <w:r>
        <w:rPr>
          <w:i/>
          <w:iCs/>
        </w:rPr>
        <w:t>Planta</w:t>
      </w:r>
      <w:r>
        <w:t xml:space="preserve"> </w:t>
      </w:r>
      <w:r>
        <w:rPr>
          <w:b/>
          <w:bCs/>
        </w:rPr>
        <w:t>193</w:t>
      </w:r>
      <w:r>
        <w:t>: 74–82.</w:t>
      </w:r>
    </w:p>
    <w:p w:rsidR="00EC4E93" w:rsidRDefault="00EC4E93" w:rsidP="00F00459">
      <w:pPr>
        <w:pStyle w:val="Bibliography"/>
      </w:pPr>
      <w:r>
        <w:rPr>
          <w:b/>
          <w:bCs/>
        </w:rPr>
        <w:t>AzconAguilar C, Barea JM</w:t>
      </w:r>
      <w:r>
        <w:t xml:space="preserve">. </w:t>
      </w:r>
      <w:r>
        <w:rPr>
          <w:b/>
          <w:bCs/>
        </w:rPr>
        <w:t>1996</w:t>
      </w:r>
      <w:r>
        <w:t xml:space="preserve">. Arbuscular mycorrhizas and biological control of soil-borne plant pathogens - An overview of the mechanisms involved. </w:t>
      </w:r>
      <w:r>
        <w:rPr>
          <w:i/>
          <w:iCs/>
        </w:rPr>
        <w:t>Mycorrhiza</w:t>
      </w:r>
      <w:r>
        <w:t xml:space="preserve"> </w:t>
      </w:r>
      <w:r>
        <w:rPr>
          <w:b/>
          <w:bCs/>
        </w:rPr>
        <w:t>6</w:t>
      </w:r>
      <w:r>
        <w:t>: 457–464.</w:t>
      </w:r>
    </w:p>
    <w:p w:rsidR="00EC4E93" w:rsidRDefault="00EC4E93" w:rsidP="00F00459">
      <w:pPr>
        <w:pStyle w:val="Bibliography"/>
      </w:pPr>
      <w:r>
        <w:rPr>
          <w:b/>
          <w:bCs/>
        </w:rPr>
        <w:t>Bainard LD, Klironomos JN, Gordon AM</w:t>
      </w:r>
      <w:r>
        <w:t xml:space="preserve">. </w:t>
      </w:r>
      <w:r>
        <w:rPr>
          <w:b/>
          <w:bCs/>
        </w:rPr>
        <w:t>2011</w:t>
      </w:r>
      <w:r>
        <w:t xml:space="preserve">. Arbuscular mycorrhizal fungi in tree-based intercropping systems: A review of their abundance and diversity. </w:t>
      </w:r>
      <w:r>
        <w:rPr>
          <w:i/>
          <w:iCs/>
        </w:rPr>
        <w:t>Pedobiologia</w:t>
      </w:r>
      <w:r>
        <w:t xml:space="preserve"> </w:t>
      </w:r>
      <w:r>
        <w:rPr>
          <w:b/>
          <w:bCs/>
        </w:rPr>
        <w:t>54</w:t>
      </w:r>
      <w:r>
        <w:t>: 57–61.</w:t>
      </w:r>
    </w:p>
    <w:p w:rsidR="00EC4E93" w:rsidRDefault="00EC4E93" w:rsidP="00F00459">
      <w:pPr>
        <w:pStyle w:val="Bibliography"/>
      </w:pPr>
      <w:r>
        <w:rPr>
          <w:b/>
          <w:bCs/>
        </w:rPr>
        <w:t>Bardgett RD, van der Putten WH</w:t>
      </w:r>
      <w:r>
        <w:t xml:space="preserve">. </w:t>
      </w:r>
      <w:r>
        <w:rPr>
          <w:b/>
          <w:bCs/>
        </w:rPr>
        <w:t>2014</w:t>
      </w:r>
      <w:r>
        <w:t xml:space="preserve">. Belowground biodiversity and ecosystem functioning. </w:t>
      </w:r>
      <w:r>
        <w:rPr>
          <w:i/>
          <w:iCs/>
        </w:rPr>
        <w:t>Nature</w:t>
      </w:r>
      <w:r>
        <w:t xml:space="preserve"> </w:t>
      </w:r>
      <w:r>
        <w:rPr>
          <w:b/>
          <w:bCs/>
        </w:rPr>
        <w:t>515</w:t>
      </w:r>
      <w:r>
        <w:t>: 505–511.</w:t>
      </w:r>
      <w:bookmarkStart w:id="517" w:name="_GoBack"/>
      <w:bookmarkEnd w:id="517"/>
    </w:p>
    <w:p w:rsidR="00EC4E93" w:rsidRDefault="00EC4E93" w:rsidP="00F00459">
      <w:pPr>
        <w:pStyle w:val="Bibliography"/>
      </w:pPr>
      <w:r>
        <w:rPr>
          <w:b/>
          <w:bCs/>
        </w:rPr>
        <w:lastRenderedPageBreak/>
        <w:t>Barrios E</w:t>
      </w:r>
      <w:r>
        <w:t xml:space="preserve">. </w:t>
      </w:r>
      <w:r>
        <w:rPr>
          <w:b/>
          <w:bCs/>
        </w:rPr>
        <w:t>2007</w:t>
      </w:r>
      <w:r>
        <w:t xml:space="preserve">. Soil biota, ecosystem services and land productivity. </w:t>
      </w:r>
      <w:r>
        <w:rPr>
          <w:i/>
          <w:iCs/>
        </w:rPr>
        <w:t>Ecological Economics</w:t>
      </w:r>
      <w:r>
        <w:t xml:space="preserve"> </w:t>
      </w:r>
      <w:r>
        <w:rPr>
          <w:b/>
          <w:bCs/>
        </w:rPr>
        <w:t>64</w:t>
      </w:r>
      <w:r>
        <w:t>: 269–285.</w:t>
      </w:r>
    </w:p>
    <w:p w:rsidR="00EC4E93" w:rsidRDefault="00EC4E93" w:rsidP="00F00459">
      <w:pPr>
        <w:pStyle w:val="Bibliography"/>
      </w:pPr>
      <w:r>
        <w:rPr>
          <w:b/>
          <w:bCs/>
        </w:rPr>
        <w:t>Bedini S, Pellegrino E, Avio L, Pellegrini S, Bazzoffi P, Argese E, Giovannetti M</w:t>
      </w:r>
      <w:r>
        <w:t xml:space="preserve">. </w:t>
      </w:r>
      <w:r>
        <w:rPr>
          <w:b/>
          <w:bCs/>
        </w:rPr>
        <w:t>2009</w:t>
      </w:r>
      <w:r>
        <w:t xml:space="preserve">. Changes in soil aggregation and glomalin-related soil protein content as affected by the arbuscular mycorrhizal fungal species Glomus mosseae and Glomus intraradices. </w:t>
      </w:r>
      <w:r>
        <w:rPr>
          <w:i/>
          <w:iCs/>
        </w:rPr>
        <w:t>Soil Biology and Biochemistry</w:t>
      </w:r>
      <w:r>
        <w:t xml:space="preserve"> </w:t>
      </w:r>
      <w:r>
        <w:rPr>
          <w:b/>
          <w:bCs/>
        </w:rPr>
        <w:t>41</w:t>
      </w:r>
      <w:r>
        <w:t>: 1491–1496.</w:t>
      </w:r>
    </w:p>
    <w:p w:rsidR="00EC4E93" w:rsidRDefault="00EC4E93" w:rsidP="00F00459">
      <w:pPr>
        <w:pStyle w:val="Bibliography"/>
      </w:pPr>
      <w:r>
        <w:rPr>
          <w:b/>
          <w:bCs/>
        </w:rPr>
        <w:t>Bender SF, Conen F, Van der Heijden MGA</w:t>
      </w:r>
      <w:r>
        <w:t xml:space="preserve">. </w:t>
      </w:r>
      <w:r>
        <w:rPr>
          <w:b/>
          <w:bCs/>
        </w:rPr>
        <w:t>2015</w:t>
      </w:r>
      <w:r>
        <w:t xml:space="preserve">. Mycorrhizal effects on nutrient cycling, nutrient leaching and N2O production in experimental grassland. </w:t>
      </w:r>
      <w:r>
        <w:rPr>
          <w:i/>
          <w:iCs/>
        </w:rPr>
        <w:t>Soil Biology &amp; Biochemistry</w:t>
      </w:r>
      <w:r>
        <w:t xml:space="preserve"> </w:t>
      </w:r>
      <w:r>
        <w:rPr>
          <w:b/>
          <w:bCs/>
        </w:rPr>
        <w:t>80</w:t>
      </w:r>
      <w:r>
        <w:t>: 283–292.</w:t>
      </w:r>
    </w:p>
    <w:p w:rsidR="00EC4E93" w:rsidRDefault="00EC4E93" w:rsidP="00F00459">
      <w:pPr>
        <w:pStyle w:val="Bibliography"/>
      </w:pPr>
      <w:r>
        <w:rPr>
          <w:b/>
          <w:bCs/>
        </w:rPr>
        <w:t>Bengtsson J, Ahnström J, Weibull A-C</w:t>
      </w:r>
      <w:r>
        <w:t xml:space="preserve">. </w:t>
      </w:r>
      <w:r>
        <w:rPr>
          <w:b/>
          <w:bCs/>
        </w:rPr>
        <w:t>2005</w:t>
      </w:r>
      <w:r>
        <w:t xml:space="preserve">. The effects of organic agriculture on biodiversity and abundance: a meta-analysis. </w:t>
      </w:r>
      <w:r>
        <w:rPr>
          <w:i/>
          <w:iCs/>
        </w:rPr>
        <w:t>Journal of Applied Ecology</w:t>
      </w:r>
      <w:r>
        <w:t xml:space="preserve"> </w:t>
      </w:r>
      <w:r>
        <w:rPr>
          <w:b/>
          <w:bCs/>
        </w:rPr>
        <w:t>42</w:t>
      </w:r>
      <w:r>
        <w:t>: 261–269.</w:t>
      </w:r>
    </w:p>
    <w:p w:rsidR="00EC4E93" w:rsidRDefault="00EC4E93" w:rsidP="00F00459">
      <w:pPr>
        <w:pStyle w:val="Bibliography"/>
      </w:pPr>
      <w:r>
        <w:rPr>
          <w:b/>
          <w:bCs/>
        </w:rPr>
        <w:t>Bennett AE, Bever JD</w:t>
      </w:r>
      <w:r>
        <w:t xml:space="preserve">. </w:t>
      </w:r>
      <w:r>
        <w:rPr>
          <w:b/>
          <w:bCs/>
        </w:rPr>
        <w:t>2009</w:t>
      </w:r>
      <w:r>
        <w:t xml:space="preserve">. Trade-offs between arbuscular mycorrhizal fungal competitive ability and host growth promotion in Plantago lanceolata. </w:t>
      </w:r>
      <w:r>
        <w:rPr>
          <w:i/>
          <w:iCs/>
        </w:rPr>
        <w:t>Oecologia</w:t>
      </w:r>
      <w:r>
        <w:t xml:space="preserve"> </w:t>
      </w:r>
      <w:r>
        <w:rPr>
          <w:b/>
          <w:bCs/>
        </w:rPr>
        <w:t>160</w:t>
      </w:r>
      <w:r>
        <w:t>: 807–816.</w:t>
      </w:r>
    </w:p>
    <w:p w:rsidR="00EC4E93" w:rsidRDefault="00EC4E93" w:rsidP="00F00459">
      <w:pPr>
        <w:pStyle w:val="Bibliography"/>
      </w:pPr>
      <w:r>
        <w:rPr>
          <w:b/>
          <w:bCs/>
        </w:rPr>
        <w:t>Beresford RM, Kim KS</w:t>
      </w:r>
      <w:r>
        <w:t xml:space="preserve">. </w:t>
      </w:r>
      <w:r>
        <w:rPr>
          <w:b/>
          <w:bCs/>
        </w:rPr>
        <w:t>2010</w:t>
      </w:r>
      <w:r>
        <w:t xml:space="preserve">. Identification of Regional Climatic Conditions Favorable for Development of European Canker of Apple. </w:t>
      </w:r>
      <w:r>
        <w:rPr>
          <w:i/>
          <w:iCs/>
        </w:rPr>
        <w:t>Phytopathology</w:t>
      </w:r>
      <w:r>
        <w:t xml:space="preserve"> </w:t>
      </w:r>
      <w:r>
        <w:rPr>
          <w:b/>
          <w:bCs/>
        </w:rPr>
        <w:t>101</w:t>
      </w:r>
      <w:r>
        <w:t>: 135–146.</w:t>
      </w:r>
    </w:p>
    <w:p w:rsidR="00EC4E93" w:rsidRDefault="00EC4E93" w:rsidP="00F00459">
      <w:pPr>
        <w:pStyle w:val="Bibliography"/>
      </w:pPr>
      <w:r>
        <w:rPr>
          <w:b/>
          <w:bCs/>
        </w:rPr>
        <w:t>Boddington CL, Dodd JC</w:t>
      </w:r>
      <w:r>
        <w:t xml:space="preserve">. </w:t>
      </w:r>
      <w:r>
        <w:rPr>
          <w:b/>
          <w:bCs/>
        </w:rPr>
        <w:t>2000</w:t>
      </w:r>
      <w:r>
        <w:t xml:space="preserve">. The effect of agricultural practices on the development of indigenous arbuscular mycorrhizal fungi. II. Studies in experimental microcosms. </w:t>
      </w:r>
      <w:r>
        <w:rPr>
          <w:i/>
          <w:iCs/>
        </w:rPr>
        <w:t>Plant and Soil</w:t>
      </w:r>
      <w:r>
        <w:t xml:space="preserve"> </w:t>
      </w:r>
      <w:r>
        <w:rPr>
          <w:b/>
          <w:bCs/>
        </w:rPr>
        <w:t>218</w:t>
      </w:r>
      <w:r>
        <w:t>: 145–157.</w:t>
      </w:r>
    </w:p>
    <w:p w:rsidR="00EC4E93" w:rsidRDefault="00EC4E93" w:rsidP="00F00459">
      <w:pPr>
        <w:pStyle w:val="Bibliography"/>
      </w:pPr>
      <w:r>
        <w:rPr>
          <w:b/>
          <w:bCs/>
        </w:rPr>
        <w:t>Borovinova M, Petrova V, Maneva S</w:t>
      </w:r>
      <w:r>
        <w:t xml:space="preserve">. </w:t>
      </w:r>
      <w:r>
        <w:rPr>
          <w:b/>
          <w:bCs/>
        </w:rPr>
        <w:t>2012</w:t>
      </w:r>
      <w:r>
        <w:t xml:space="preserve">. Effect of Different Growing Systems of Apple on Trunk and Branch Diseases and Pests. </w:t>
      </w:r>
      <w:r>
        <w:rPr>
          <w:i/>
          <w:iCs/>
        </w:rPr>
        <w:t>Notulae Botanicae Horti Agrobotanici Cluj-Napoca</w:t>
      </w:r>
      <w:r>
        <w:t xml:space="preserve"> </w:t>
      </w:r>
      <w:r>
        <w:rPr>
          <w:b/>
          <w:bCs/>
        </w:rPr>
        <w:t>40</w:t>
      </w:r>
      <w:r>
        <w:t>: 159–162.</w:t>
      </w:r>
    </w:p>
    <w:p w:rsidR="00EC4E93" w:rsidRDefault="00EC4E93" w:rsidP="00F00459">
      <w:pPr>
        <w:pStyle w:val="Bibliography"/>
      </w:pPr>
      <w:r>
        <w:rPr>
          <w:b/>
          <w:bCs/>
        </w:rPr>
        <w:t>Borriello R, Lumini E, Girlanda M, Bonfante P, Bianciotto V</w:t>
      </w:r>
      <w:r>
        <w:t xml:space="preserve">. </w:t>
      </w:r>
      <w:r>
        <w:rPr>
          <w:b/>
          <w:bCs/>
        </w:rPr>
        <w:t>2012</w:t>
      </w:r>
      <w:r>
        <w:t xml:space="preserve">. Effects of different management practices on arbuscular mycorrhizal fungal diversity in maize fields by a molecular approach. </w:t>
      </w:r>
      <w:r>
        <w:rPr>
          <w:i/>
          <w:iCs/>
        </w:rPr>
        <w:t>Biology and Fertility of Soils</w:t>
      </w:r>
      <w:r>
        <w:t xml:space="preserve"> </w:t>
      </w:r>
      <w:r>
        <w:rPr>
          <w:b/>
          <w:bCs/>
        </w:rPr>
        <w:t>48</w:t>
      </w:r>
      <w:r>
        <w:t>: 911–922.</w:t>
      </w:r>
    </w:p>
    <w:p w:rsidR="00EC4E93" w:rsidRDefault="00EC4E93" w:rsidP="00F00459">
      <w:pPr>
        <w:pStyle w:val="Bibliography"/>
      </w:pPr>
      <w:r>
        <w:rPr>
          <w:b/>
          <w:bCs/>
        </w:rPr>
        <w:t>Bowles TM, Jackson LE, Loeher M, Cavagnaro TR</w:t>
      </w:r>
      <w:r>
        <w:t xml:space="preserve">. </w:t>
      </w:r>
      <w:r>
        <w:rPr>
          <w:b/>
          <w:bCs/>
        </w:rPr>
        <w:t>2016</w:t>
      </w:r>
      <w:r>
        <w:t xml:space="preserve">. Ecological intensification and arbuscular mycorrhizas: a meta-analysis of tillage and cover crop effects. </w:t>
      </w:r>
      <w:r>
        <w:rPr>
          <w:i/>
          <w:iCs/>
        </w:rPr>
        <w:t>Journal of Applied Ecology</w:t>
      </w:r>
      <w:r>
        <w:t>.</w:t>
      </w:r>
    </w:p>
    <w:p w:rsidR="00EC4E93" w:rsidRDefault="00EC4E93" w:rsidP="00F00459">
      <w:pPr>
        <w:pStyle w:val="Bibliography"/>
      </w:pPr>
      <w:r>
        <w:rPr>
          <w:b/>
          <w:bCs/>
        </w:rPr>
        <w:t>Broeckling CD, Broz AK, Bergelson J, Manter DK, Vivanco JM</w:t>
      </w:r>
      <w:r>
        <w:t xml:space="preserve">. </w:t>
      </w:r>
      <w:r>
        <w:rPr>
          <w:b/>
          <w:bCs/>
        </w:rPr>
        <w:t>2008</w:t>
      </w:r>
      <w:r>
        <w:t xml:space="preserve">. Root Exudates Regulate Soil Fungal Community Composition and Diversity. </w:t>
      </w:r>
      <w:r>
        <w:rPr>
          <w:i/>
          <w:iCs/>
        </w:rPr>
        <w:t>Applied and Environmental Microbiology</w:t>
      </w:r>
      <w:r>
        <w:t xml:space="preserve"> </w:t>
      </w:r>
      <w:r>
        <w:rPr>
          <w:b/>
          <w:bCs/>
        </w:rPr>
        <w:t>74</w:t>
      </w:r>
      <w:r>
        <w:t>: 738–744.</w:t>
      </w:r>
    </w:p>
    <w:p w:rsidR="00EC4E93" w:rsidRDefault="00EC4E93" w:rsidP="00F00459">
      <w:pPr>
        <w:pStyle w:val="Bibliography"/>
      </w:pPr>
      <w:r>
        <w:rPr>
          <w:b/>
          <w:bCs/>
        </w:rPr>
        <w:t>Bruce A, Smith SE, Tester M</w:t>
      </w:r>
      <w:r>
        <w:t xml:space="preserve">. </w:t>
      </w:r>
      <w:r>
        <w:rPr>
          <w:b/>
          <w:bCs/>
        </w:rPr>
        <w:t>1994</w:t>
      </w:r>
      <w:r>
        <w:t xml:space="preserve">. THE DEVELOPMENT OF MYCORRHIZAL INFECTION IN CUCUMBER - EFFECTS OF P-SUPPLY ON ROOT-GROWTH, FORMATION OF ENTRY POINTS AND GROWTH OF INFECTION UNITS. </w:t>
      </w:r>
      <w:r>
        <w:rPr>
          <w:i/>
          <w:iCs/>
        </w:rPr>
        <w:t>New Phytologist</w:t>
      </w:r>
      <w:r>
        <w:t xml:space="preserve"> </w:t>
      </w:r>
      <w:r>
        <w:rPr>
          <w:b/>
          <w:bCs/>
        </w:rPr>
        <w:t>127</w:t>
      </w:r>
      <w:r>
        <w:t>: 507–514.</w:t>
      </w:r>
    </w:p>
    <w:p w:rsidR="00EC4E93" w:rsidRDefault="00EC4E93" w:rsidP="00F00459">
      <w:pPr>
        <w:pStyle w:val="Bibliography"/>
      </w:pPr>
      <w:r>
        <w:rPr>
          <w:b/>
          <w:bCs/>
        </w:rPr>
        <w:t>Brundette</w:t>
      </w:r>
      <w:r>
        <w:t xml:space="preserve">. </w:t>
      </w:r>
      <w:r>
        <w:rPr>
          <w:b/>
          <w:bCs/>
        </w:rPr>
        <w:t>2008</w:t>
      </w:r>
      <w:r>
        <w:t>. Mycorrhizal Associations: The Web Resource. Section 4 Arbuscular mycorrhizas.</w:t>
      </w:r>
    </w:p>
    <w:p w:rsidR="00EC4E93" w:rsidRDefault="00EC4E93" w:rsidP="00F00459">
      <w:pPr>
        <w:pStyle w:val="Bibliography"/>
      </w:pPr>
      <w:r>
        <w:rPr>
          <w:b/>
          <w:bCs/>
        </w:rPr>
        <w:t>Brundrett, M.C., Bougher, N.</w:t>
      </w:r>
      <w:r>
        <w:t xml:space="preserve"> </w:t>
      </w:r>
      <w:r>
        <w:rPr>
          <w:b/>
          <w:bCs/>
        </w:rPr>
        <w:t>1996</w:t>
      </w:r>
      <w:r>
        <w:t xml:space="preserve">. Working with Mycorrhizas in Forestry and Agriculture. </w:t>
      </w:r>
      <w:r>
        <w:rPr>
          <w:i/>
          <w:iCs/>
        </w:rPr>
        <w:t>Austrailian Centre for International Agricultural Research</w:t>
      </w:r>
      <w:r>
        <w:t>.</w:t>
      </w:r>
    </w:p>
    <w:p w:rsidR="00EC4E93" w:rsidRDefault="00EC4E93" w:rsidP="00F00459">
      <w:pPr>
        <w:pStyle w:val="Bibliography"/>
      </w:pPr>
      <w:r>
        <w:rPr>
          <w:b/>
          <w:bCs/>
        </w:rPr>
        <w:t>Bylesjö M, Rantalainen M, Cloarec O, Nicholson JK, Holmes E, Trygg J</w:t>
      </w:r>
      <w:r>
        <w:t xml:space="preserve">. </w:t>
      </w:r>
      <w:r>
        <w:rPr>
          <w:b/>
          <w:bCs/>
        </w:rPr>
        <w:t>2006</w:t>
      </w:r>
      <w:r>
        <w:t xml:space="preserve">. OPLS discriminant analysis: combining the strengths of PLS-DA and SIMCA classification. </w:t>
      </w:r>
      <w:r>
        <w:rPr>
          <w:i/>
          <w:iCs/>
        </w:rPr>
        <w:t>Journal of Chemometrics</w:t>
      </w:r>
      <w:r>
        <w:t xml:space="preserve"> </w:t>
      </w:r>
      <w:r>
        <w:rPr>
          <w:b/>
          <w:bCs/>
        </w:rPr>
        <w:t>20</w:t>
      </w:r>
      <w:r>
        <w:t>: 341–351.</w:t>
      </w:r>
    </w:p>
    <w:p w:rsidR="00EC4E93" w:rsidRDefault="00EC4E93" w:rsidP="00F00459">
      <w:pPr>
        <w:pStyle w:val="Bibliography"/>
      </w:pPr>
      <w:r>
        <w:rPr>
          <w:b/>
          <w:bCs/>
        </w:rPr>
        <w:t>Cameron DD</w:t>
      </w:r>
      <w:r>
        <w:t xml:space="preserve">. </w:t>
      </w:r>
      <w:r>
        <w:rPr>
          <w:b/>
          <w:bCs/>
        </w:rPr>
        <w:t>2010</w:t>
      </w:r>
      <w:r>
        <w:t xml:space="preserve">. Arbuscular mycorrhizal fungi as (agro)ecosystem engineers. </w:t>
      </w:r>
      <w:r>
        <w:rPr>
          <w:i/>
          <w:iCs/>
        </w:rPr>
        <w:t>Plant and Soil</w:t>
      </w:r>
      <w:r>
        <w:t xml:space="preserve"> </w:t>
      </w:r>
      <w:r>
        <w:rPr>
          <w:b/>
          <w:bCs/>
        </w:rPr>
        <w:t>333</w:t>
      </w:r>
      <w:r>
        <w:t>: 1–5.</w:t>
      </w:r>
    </w:p>
    <w:p w:rsidR="00EC4E93" w:rsidRDefault="00EC4E93" w:rsidP="00F00459">
      <w:pPr>
        <w:pStyle w:val="Bibliography"/>
      </w:pPr>
      <w:r>
        <w:rPr>
          <w:b/>
          <w:bCs/>
        </w:rPr>
        <w:lastRenderedPageBreak/>
        <w:t>Cameron DD, Neal AL, van Wees SCM, Ton J</w:t>
      </w:r>
      <w:r>
        <w:t xml:space="preserve">. </w:t>
      </w:r>
      <w:r>
        <w:rPr>
          <w:b/>
          <w:bCs/>
        </w:rPr>
        <w:t>2013</w:t>
      </w:r>
      <w:r>
        <w:t xml:space="preserve">. Mycorrhiza-induced resistance: more than the sum of its parts? </w:t>
      </w:r>
      <w:r>
        <w:rPr>
          <w:i/>
          <w:iCs/>
        </w:rPr>
        <w:t>Trends in Plant Science</w:t>
      </w:r>
      <w:r>
        <w:t xml:space="preserve"> </w:t>
      </w:r>
      <w:r>
        <w:rPr>
          <w:b/>
          <w:bCs/>
        </w:rPr>
        <w:t>18</w:t>
      </w:r>
      <w:r>
        <w:t>: 539–545.</w:t>
      </w:r>
    </w:p>
    <w:p w:rsidR="00EC4E93" w:rsidRDefault="00EC4E93" w:rsidP="00F00459">
      <w:pPr>
        <w:pStyle w:val="Bibliography"/>
      </w:pPr>
      <w:r>
        <w:rPr>
          <w:b/>
          <w:bCs/>
        </w:rPr>
        <w:t>Campos-Soriano L, García-Martínez J, Segundo BS</w:t>
      </w:r>
      <w:r>
        <w:t xml:space="preserve">. </w:t>
      </w:r>
      <w:r>
        <w:rPr>
          <w:b/>
          <w:bCs/>
        </w:rPr>
        <w:t>2012</w:t>
      </w:r>
      <w:r>
        <w:t xml:space="preserve">. The arbuscular mycorrhizal symbiosis promotes the systemic induction of regulatory defence-related genes in rice leaves and confers resistance to pathogen infection. </w:t>
      </w:r>
      <w:r>
        <w:rPr>
          <w:i/>
          <w:iCs/>
        </w:rPr>
        <w:t>Molecular Plant Pathology</w:t>
      </w:r>
      <w:r>
        <w:t xml:space="preserve"> </w:t>
      </w:r>
      <w:r>
        <w:rPr>
          <w:b/>
          <w:bCs/>
        </w:rPr>
        <w:t>13</w:t>
      </w:r>
      <w:r>
        <w:t>: 579–592.</w:t>
      </w:r>
    </w:p>
    <w:p w:rsidR="00EC4E93" w:rsidRDefault="00EC4E93" w:rsidP="00F00459">
      <w:pPr>
        <w:pStyle w:val="Bibliography"/>
      </w:pPr>
      <w:r>
        <w:rPr>
          <w:b/>
          <w:bCs/>
        </w:rPr>
        <w:t xml:space="preserve">Caporaso JG, Kuczynski J, Stombaugh J, Bittinger K, Bushman FD, Costello EK, Fierer N, Peña AG, Goodrich JK, Gordon JI, </w:t>
      </w:r>
      <w:r>
        <w:rPr>
          <w:b/>
          <w:bCs/>
          <w:i/>
          <w:iCs/>
        </w:rPr>
        <w:t>et al.</w:t>
      </w:r>
      <w:r>
        <w:t xml:space="preserve"> </w:t>
      </w:r>
      <w:r>
        <w:rPr>
          <w:b/>
          <w:bCs/>
        </w:rPr>
        <w:t>2010</w:t>
      </w:r>
      <w:r>
        <w:t xml:space="preserve">. QIIME allows analysis of high-throughput community sequencing data. </w:t>
      </w:r>
      <w:r>
        <w:rPr>
          <w:i/>
          <w:iCs/>
        </w:rPr>
        <w:t>Nature Methods</w:t>
      </w:r>
      <w:r>
        <w:t xml:space="preserve"> </w:t>
      </w:r>
      <w:r>
        <w:rPr>
          <w:b/>
          <w:bCs/>
        </w:rPr>
        <w:t>7</w:t>
      </w:r>
      <w:r>
        <w:t>: 335–336.</w:t>
      </w:r>
    </w:p>
    <w:p w:rsidR="00EC4E93" w:rsidRDefault="00EC4E93" w:rsidP="00F00459">
      <w:pPr>
        <w:pStyle w:val="Bibliography"/>
      </w:pPr>
      <w:r>
        <w:rPr>
          <w:b/>
          <w:bCs/>
        </w:rPr>
        <w:t>Castillo C, Astroza I, Borie F, Rubio R</w:t>
      </w:r>
      <w:r>
        <w:t xml:space="preserve">. </w:t>
      </w:r>
      <w:r>
        <w:rPr>
          <w:b/>
          <w:bCs/>
        </w:rPr>
        <w:t>2008</w:t>
      </w:r>
      <w:r>
        <w:t xml:space="preserve">. Effect of the host and non host crops on arbuscular mycorrhizal propagules. </w:t>
      </w:r>
      <w:r>
        <w:rPr>
          <w:i/>
          <w:iCs/>
        </w:rPr>
        <w:t>Revista De La Ciencia Del Suelo Y Nutricion Vegetal</w:t>
      </w:r>
      <w:r>
        <w:t xml:space="preserve"> </w:t>
      </w:r>
      <w:r>
        <w:rPr>
          <w:b/>
          <w:bCs/>
        </w:rPr>
        <w:t>8</w:t>
      </w:r>
      <w:r>
        <w:t>: 37–54.</w:t>
      </w:r>
    </w:p>
    <w:p w:rsidR="00EC4E93" w:rsidRDefault="00EC4E93" w:rsidP="00F00459">
      <w:pPr>
        <w:pStyle w:val="Bibliography"/>
      </w:pPr>
      <w:r>
        <w:rPr>
          <w:b/>
          <w:bCs/>
        </w:rPr>
        <w:t>Čatská V</w:t>
      </w:r>
      <w:r>
        <w:t xml:space="preserve">. </w:t>
      </w:r>
      <w:r>
        <w:rPr>
          <w:b/>
          <w:bCs/>
        </w:rPr>
        <w:t>1994</w:t>
      </w:r>
      <w:r>
        <w:t xml:space="preserve">. Interrelationships between vesicular-arbuscular mycorrhiza and rhizosphere microflora in apple replant disease. </w:t>
      </w:r>
      <w:r>
        <w:rPr>
          <w:i/>
          <w:iCs/>
        </w:rPr>
        <w:t>Biologia Plantarum</w:t>
      </w:r>
      <w:r>
        <w:t xml:space="preserve"> </w:t>
      </w:r>
      <w:r>
        <w:rPr>
          <w:b/>
          <w:bCs/>
        </w:rPr>
        <w:t>36</w:t>
      </w:r>
      <w:r>
        <w:t>: 99–104.</w:t>
      </w:r>
    </w:p>
    <w:p w:rsidR="00EC4E93" w:rsidRDefault="00EC4E93" w:rsidP="00F00459">
      <w:pPr>
        <w:pStyle w:val="Bibliography"/>
      </w:pPr>
      <w:r>
        <w:rPr>
          <w:b/>
          <w:bCs/>
        </w:rPr>
        <w:t>Cavagnaro TR</w:t>
      </w:r>
      <w:r>
        <w:t xml:space="preserve">. </w:t>
      </w:r>
      <w:r>
        <w:rPr>
          <w:b/>
          <w:bCs/>
        </w:rPr>
        <w:t>2008</w:t>
      </w:r>
      <w:r>
        <w:t xml:space="preserve">. The role of arbuscular mycorrhizas in improving plant zinc nutrition under low soil zinc concentrations: a review. </w:t>
      </w:r>
      <w:r>
        <w:rPr>
          <w:i/>
          <w:iCs/>
        </w:rPr>
        <w:t>Plant and Soil</w:t>
      </w:r>
      <w:r>
        <w:t xml:space="preserve"> </w:t>
      </w:r>
      <w:r>
        <w:rPr>
          <w:b/>
          <w:bCs/>
        </w:rPr>
        <w:t>304</w:t>
      </w:r>
      <w:r>
        <w:t>: 315–325.</w:t>
      </w:r>
    </w:p>
    <w:p w:rsidR="00EC4E93" w:rsidRDefault="00EC4E93" w:rsidP="00F00459">
      <w:pPr>
        <w:pStyle w:val="Bibliography"/>
      </w:pPr>
      <w:r>
        <w:rPr>
          <w:b/>
          <w:bCs/>
        </w:rPr>
        <w:t>Cavagnaro TR, Bender SF, Asghari HR, van der Heijden MGA</w:t>
      </w:r>
      <w:r>
        <w:t xml:space="preserve">. </w:t>
      </w:r>
      <w:r>
        <w:rPr>
          <w:b/>
          <w:bCs/>
        </w:rPr>
        <w:t>2015</w:t>
      </w:r>
      <w:r>
        <w:t xml:space="preserve">. The role of arbuscular mycorrhizas in reducing soil nutrient loss. </w:t>
      </w:r>
      <w:r>
        <w:rPr>
          <w:i/>
          <w:iCs/>
        </w:rPr>
        <w:t>Trends in Plant Science</w:t>
      </w:r>
      <w:r>
        <w:t xml:space="preserve"> </w:t>
      </w:r>
      <w:r>
        <w:rPr>
          <w:b/>
          <w:bCs/>
        </w:rPr>
        <w:t>20</w:t>
      </w:r>
      <w:r>
        <w:t>: 283–290.</w:t>
      </w:r>
    </w:p>
    <w:p w:rsidR="00EC4E93" w:rsidRDefault="00EC4E93" w:rsidP="00F00459">
      <w:pPr>
        <w:pStyle w:val="Bibliography"/>
      </w:pPr>
      <w:r>
        <w:rPr>
          <w:b/>
          <w:bCs/>
        </w:rPr>
        <w:t>Cavagnaro TR, Smith FA, Smith SE, Jakobsen I</w:t>
      </w:r>
      <w:r>
        <w:t xml:space="preserve">. </w:t>
      </w:r>
      <w:r>
        <w:rPr>
          <w:b/>
          <w:bCs/>
        </w:rPr>
        <w:t>2005</w:t>
      </w:r>
      <w:r>
        <w:t xml:space="preserve">. Functional diversity in arbuscular mycorrhizas: exploitation of soil patches with different phosphate enrichment differs among fungal species. </w:t>
      </w:r>
      <w:r>
        <w:rPr>
          <w:i/>
          <w:iCs/>
        </w:rPr>
        <w:t>Plant Cell and Environment</w:t>
      </w:r>
      <w:r>
        <w:t xml:space="preserve"> </w:t>
      </w:r>
      <w:r>
        <w:rPr>
          <w:b/>
          <w:bCs/>
        </w:rPr>
        <w:t>28</w:t>
      </w:r>
      <w:r>
        <w:t>: 642–650.</w:t>
      </w:r>
    </w:p>
    <w:p w:rsidR="00EC4E93" w:rsidRDefault="00EC4E93" w:rsidP="00F00459">
      <w:pPr>
        <w:pStyle w:val="Bibliography"/>
      </w:pPr>
      <w:r>
        <w:rPr>
          <w:b/>
          <w:bCs/>
        </w:rPr>
        <w:t>Cavallazzi, J.P.R, Filho OK, Stürmer SL, Rygiewicz P, Mendonça NM</w:t>
      </w:r>
      <w:r>
        <w:t xml:space="preserve">. </w:t>
      </w:r>
      <w:r>
        <w:rPr>
          <w:b/>
          <w:bCs/>
        </w:rPr>
        <w:t>2007</w:t>
      </w:r>
      <w:r>
        <w:t xml:space="preserve">. Screening and selecting arbuscular mycorrhizal fungi for inoculating micropropagated apple rootstocks in acid soils. </w:t>
      </w:r>
      <w:r>
        <w:rPr>
          <w:i/>
          <w:iCs/>
        </w:rPr>
        <w:t>Plant Cell Tissue and Organ Culture</w:t>
      </w:r>
      <w:r>
        <w:t xml:space="preserve"> </w:t>
      </w:r>
      <w:r>
        <w:rPr>
          <w:b/>
          <w:bCs/>
        </w:rPr>
        <w:t>90</w:t>
      </w:r>
      <w:r>
        <w:t>: 117–129.</w:t>
      </w:r>
    </w:p>
    <w:p w:rsidR="00EC4E93" w:rsidRDefault="00EC4E93" w:rsidP="00F00459">
      <w:pPr>
        <w:pStyle w:val="Bibliography"/>
      </w:pPr>
      <w:r>
        <w:rPr>
          <w:b/>
          <w:bCs/>
        </w:rPr>
        <w:t>Chifflot V, Rivest D, Olivier A, Cogliastro A, Khasa D</w:t>
      </w:r>
      <w:r>
        <w:t xml:space="preserve">. </w:t>
      </w:r>
      <w:r>
        <w:rPr>
          <w:b/>
          <w:bCs/>
        </w:rPr>
        <w:t>2009</w:t>
      </w:r>
      <w:r>
        <w:t xml:space="preserve">. Molecular analysis of arbuscular mycorrhizal community structure and spores distribution in tree-based intercropping and forest systems. </w:t>
      </w:r>
      <w:r>
        <w:rPr>
          <w:i/>
          <w:iCs/>
        </w:rPr>
        <w:t>Agriculture Ecosystems &amp; Environment</w:t>
      </w:r>
      <w:r>
        <w:t xml:space="preserve"> </w:t>
      </w:r>
      <w:r>
        <w:rPr>
          <w:b/>
          <w:bCs/>
        </w:rPr>
        <w:t>131</w:t>
      </w:r>
      <w:r>
        <w:t>: 32–39.</w:t>
      </w:r>
    </w:p>
    <w:p w:rsidR="00EC4E93" w:rsidRDefault="00EC4E93" w:rsidP="00F00459">
      <w:pPr>
        <w:pStyle w:val="Bibliography"/>
      </w:pPr>
      <w:r>
        <w:rPr>
          <w:b/>
          <w:bCs/>
        </w:rPr>
        <w:t>Collins CD, Foster BL</w:t>
      </w:r>
      <w:r>
        <w:t xml:space="preserve">. </w:t>
      </w:r>
      <w:r>
        <w:rPr>
          <w:b/>
          <w:bCs/>
        </w:rPr>
        <w:t>2009</w:t>
      </w:r>
      <w:r>
        <w:t xml:space="preserve">. Community-level consequences of mycorrhizae depend on phosphorus availability. </w:t>
      </w:r>
      <w:r>
        <w:rPr>
          <w:i/>
          <w:iCs/>
        </w:rPr>
        <w:t>Ecology</w:t>
      </w:r>
      <w:r>
        <w:t xml:space="preserve"> </w:t>
      </w:r>
      <w:r>
        <w:rPr>
          <w:b/>
          <w:bCs/>
        </w:rPr>
        <w:t>90</w:t>
      </w:r>
      <w:r>
        <w:t>: 2567–2576.</w:t>
      </w:r>
    </w:p>
    <w:p w:rsidR="00EC4E93" w:rsidRDefault="00EC4E93" w:rsidP="00F00459">
      <w:pPr>
        <w:pStyle w:val="Bibliography"/>
      </w:pPr>
      <w:r>
        <w:rPr>
          <w:b/>
          <w:bCs/>
        </w:rPr>
        <w:t>Cooke LR</w:t>
      </w:r>
      <w:r>
        <w:t xml:space="preserve">. </w:t>
      </w:r>
      <w:r>
        <w:rPr>
          <w:b/>
          <w:bCs/>
        </w:rPr>
        <w:t>1999</w:t>
      </w:r>
      <w:r>
        <w:t xml:space="preserve">. The Influence of Fungicide Sprays on Infection Of Apple cv. Bramley’s Seedling By Nectria galligena. </w:t>
      </w:r>
      <w:r>
        <w:rPr>
          <w:i/>
          <w:iCs/>
        </w:rPr>
        <w:t>European Journal of Plant Pathology</w:t>
      </w:r>
      <w:r>
        <w:t xml:space="preserve"> </w:t>
      </w:r>
      <w:r>
        <w:rPr>
          <w:b/>
          <w:bCs/>
        </w:rPr>
        <w:t>105</w:t>
      </w:r>
      <w:r>
        <w:t>: 783–790.</w:t>
      </w:r>
    </w:p>
    <w:p w:rsidR="00EC4E93" w:rsidRDefault="00EC4E93" w:rsidP="00F00459">
      <w:pPr>
        <w:pStyle w:val="Bibliography"/>
      </w:pPr>
      <w:r>
        <w:rPr>
          <w:b/>
          <w:bCs/>
        </w:rPr>
        <w:t>Copas L</w:t>
      </w:r>
      <w:r>
        <w:t xml:space="preserve">. </w:t>
      </w:r>
      <w:r>
        <w:rPr>
          <w:b/>
          <w:bCs/>
        </w:rPr>
        <w:t>2002</w:t>
      </w:r>
      <w:r>
        <w:t>. Pre planting treatments to aid tree establishment Vaminoc mycorrhiza and Rindomil plus dips. NACM short report 2.8.</w:t>
      </w:r>
    </w:p>
    <w:p w:rsidR="00EC4E93" w:rsidRDefault="00EC4E93" w:rsidP="00F00459">
      <w:pPr>
        <w:pStyle w:val="Bibliography"/>
      </w:pPr>
      <w:r>
        <w:rPr>
          <w:b/>
          <w:bCs/>
        </w:rPr>
        <w:t>Cordell D, Drangert J-O, White S</w:t>
      </w:r>
      <w:r>
        <w:t xml:space="preserve">. </w:t>
      </w:r>
      <w:r>
        <w:rPr>
          <w:b/>
          <w:bCs/>
        </w:rPr>
        <w:t>2009</w:t>
      </w:r>
      <w:r>
        <w:t xml:space="preserve">. The story of phosphorus: Global food security and food for thought. </w:t>
      </w:r>
      <w:r>
        <w:rPr>
          <w:i/>
          <w:iCs/>
        </w:rPr>
        <w:t>Global Environmental Change</w:t>
      </w:r>
      <w:r>
        <w:t xml:space="preserve"> </w:t>
      </w:r>
      <w:r>
        <w:rPr>
          <w:b/>
          <w:bCs/>
        </w:rPr>
        <w:t>19</w:t>
      </w:r>
      <w:r>
        <w:t>: 292–305.</w:t>
      </w:r>
    </w:p>
    <w:p w:rsidR="00EC4E93" w:rsidRDefault="00EC4E93" w:rsidP="00F00459">
      <w:pPr>
        <w:pStyle w:val="Bibliography"/>
      </w:pPr>
      <w:r>
        <w:rPr>
          <w:b/>
          <w:bCs/>
        </w:rPr>
        <w:t>Cordier C, Pozo MJ, Barea JM, Gianinazzi S, Gianinazzi-Pearson V</w:t>
      </w:r>
      <w:r>
        <w:t xml:space="preserve">. </w:t>
      </w:r>
      <w:r>
        <w:rPr>
          <w:b/>
          <w:bCs/>
        </w:rPr>
        <w:t>1998</w:t>
      </w:r>
      <w:r>
        <w:t xml:space="preserve">. Cell defense responses associated with localized and systemic resistance to Phytophthora parasitica induced in tomato by an arbuscular mycorrhizal fungus. </w:t>
      </w:r>
      <w:r>
        <w:rPr>
          <w:i/>
          <w:iCs/>
        </w:rPr>
        <w:t>Molecular Plant-Microbe Interactions</w:t>
      </w:r>
      <w:r>
        <w:t xml:space="preserve"> </w:t>
      </w:r>
      <w:r>
        <w:rPr>
          <w:b/>
          <w:bCs/>
        </w:rPr>
        <w:t>11</w:t>
      </w:r>
      <w:r>
        <w:t>: 1017–1028.</w:t>
      </w:r>
    </w:p>
    <w:p w:rsidR="00EC4E93" w:rsidRDefault="00EC4E93" w:rsidP="00F00459">
      <w:pPr>
        <w:pStyle w:val="Bibliography"/>
      </w:pPr>
      <w:r>
        <w:rPr>
          <w:b/>
          <w:bCs/>
        </w:rPr>
        <w:t>Cotton TEA, Fitter AH, Miller RM, Dumbrell AJ, Helgason T</w:t>
      </w:r>
      <w:r>
        <w:t xml:space="preserve">. </w:t>
      </w:r>
      <w:r>
        <w:rPr>
          <w:b/>
          <w:bCs/>
        </w:rPr>
        <w:t>2015</w:t>
      </w:r>
      <w:r>
        <w:t xml:space="preserve">. Fungi in the future: interannual variation and effects of atmospheric change on arbuscular mycorrhizal fungal communities. </w:t>
      </w:r>
      <w:r>
        <w:rPr>
          <w:i/>
          <w:iCs/>
        </w:rPr>
        <w:t>New Phytologist</w:t>
      </w:r>
      <w:r>
        <w:t xml:space="preserve"> </w:t>
      </w:r>
      <w:r>
        <w:rPr>
          <w:b/>
          <w:bCs/>
        </w:rPr>
        <w:t>205</w:t>
      </w:r>
      <w:r>
        <w:t>: 1598–1607.</w:t>
      </w:r>
    </w:p>
    <w:p w:rsidR="00EC4E93" w:rsidRDefault="00EC4E93" w:rsidP="00F00459">
      <w:pPr>
        <w:pStyle w:val="Bibliography"/>
      </w:pPr>
      <w:r>
        <w:rPr>
          <w:b/>
          <w:bCs/>
        </w:rPr>
        <w:lastRenderedPageBreak/>
        <w:t>Covey R, Koch B, Larsen H</w:t>
      </w:r>
      <w:r>
        <w:t xml:space="preserve">. </w:t>
      </w:r>
      <w:r>
        <w:rPr>
          <w:b/>
          <w:bCs/>
        </w:rPr>
        <w:t>1981</w:t>
      </w:r>
      <w:r>
        <w:t xml:space="preserve">. Influence of Vesicular Arbuscular Mycorrhizae on the Growth of Apple and Corn in Low-Phosphorous Soil. </w:t>
      </w:r>
      <w:r>
        <w:rPr>
          <w:i/>
          <w:iCs/>
        </w:rPr>
        <w:t>Phytopathology</w:t>
      </w:r>
      <w:r>
        <w:t xml:space="preserve"> </w:t>
      </w:r>
      <w:r>
        <w:rPr>
          <w:b/>
          <w:bCs/>
        </w:rPr>
        <w:t>71</w:t>
      </w:r>
      <w:r>
        <w:t>: 712–715.</w:t>
      </w:r>
    </w:p>
    <w:p w:rsidR="00EC4E93" w:rsidRDefault="00EC4E93" w:rsidP="00F00459">
      <w:pPr>
        <w:pStyle w:val="Bibliography"/>
      </w:pPr>
      <w:r>
        <w:rPr>
          <w:b/>
          <w:bCs/>
        </w:rPr>
        <w:t>Culman SW, Gauch HG, Blackwood CB, Thies JE</w:t>
      </w:r>
      <w:r>
        <w:t xml:space="preserve">. </w:t>
      </w:r>
      <w:r>
        <w:rPr>
          <w:b/>
          <w:bCs/>
        </w:rPr>
        <w:t>2008</w:t>
      </w:r>
      <w:r>
        <w:t xml:space="preserve">. Analysis of T-RFLP data using analysis of variance and ordination methods: a comparative study. </w:t>
      </w:r>
      <w:r>
        <w:rPr>
          <w:i/>
          <w:iCs/>
        </w:rPr>
        <w:t>Journal of Microbiological Methods</w:t>
      </w:r>
      <w:r>
        <w:t xml:space="preserve"> </w:t>
      </w:r>
      <w:r>
        <w:rPr>
          <w:b/>
          <w:bCs/>
        </w:rPr>
        <w:t>75</w:t>
      </w:r>
      <w:r>
        <w:t>: 55–63.</w:t>
      </w:r>
    </w:p>
    <w:p w:rsidR="00EC4E93" w:rsidRDefault="00EC4E93" w:rsidP="00F00459">
      <w:pPr>
        <w:pStyle w:val="Bibliography"/>
      </w:pPr>
      <w:r>
        <w:rPr>
          <w:b/>
          <w:bCs/>
        </w:rPr>
        <w:t>Daei G, Ardekani MR, Rejali F, Teimuri S, Miransari M</w:t>
      </w:r>
      <w:r>
        <w:t xml:space="preserve">. </w:t>
      </w:r>
      <w:r>
        <w:rPr>
          <w:b/>
          <w:bCs/>
        </w:rPr>
        <w:t>2009</w:t>
      </w:r>
      <w:r>
        <w:t xml:space="preserve">. Alleviation of salinity stress on wheat yield, yield components, and nutrient uptake using arbuscular mycorrhizal fungi under field conditions. </w:t>
      </w:r>
      <w:r>
        <w:rPr>
          <w:i/>
          <w:iCs/>
        </w:rPr>
        <w:t>Journal of Plant Physiology</w:t>
      </w:r>
      <w:r>
        <w:t xml:space="preserve"> </w:t>
      </w:r>
      <w:r>
        <w:rPr>
          <w:b/>
          <w:bCs/>
        </w:rPr>
        <w:t>166</w:t>
      </w:r>
      <w:r>
        <w:t>: 617–625.</w:t>
      </w:r>
    </w:p>
    <w:p w:rsidR="00EC4E93" w:rsidRDefault="00EC4E93" w:rsidP="00F00459">
      <w:pPr>
        <w:pStyle w:val="Bibliography"/>
      </w:pPr>
      <w:r>
        <w:rPr>
          <w:b/>
          <w:bCs/>
        </w:rPr>
        <w:t>D’Alessandro M, Erb M, Ton J, Brandenburg A, Karlen D, Zopfi J, Turlings TCJ</w:t>
      </w:r>
      <w:r>
        <w:t xml:space="preserve">. </w:t>
      </w:r>
      <w:r>
        <w:rPr>
          <w:b/>
          <w:bCs/>
        </w:rPr>
        <w:t>2014</w:t>
      </w:r>
      <w:r>
        <w:t xml:space="preserve">. Volatiles produced by soil-borne endophytic bacteria increase plant pathogen resistance and affect tritrophic interactions. </w:t>
      </w:r>
      <w:r>
        <w:rPr>
          <w:i/>
          <w:iCs/>
        </w:rPr>
        <w:t>Plant, Cell &amp; Environment</w:t>
      </w:r>
      <w:r>
        <w:t xml:space="preserve"> </w:t>
      </w:r>
      <w:r>
        <w:rPr>
          <w:b/>
          <w:bCs/>
        </w:rPr>
        <w:t>37</w:t>
      </w:r>
      <w:r>
        <w:t>: 813–826.</w:t>
      </w:r>
    </w:p>
    <w:p w:rsidR="00EC4E93" w:rsidRDefault="00EC4E93" w:rsidP="00F00459">
      <w:pPr>
        <w:pStyle w:val="Bibliography"/>
      </w:pPr>
      <w:r>
        <w:rPr>
          <w:b/>
          <w:bCs/>
        </w:rPr>
        <w:t>Daniell TJ, Husband R, Fitter AH, Young JPW</w:t>
      </w:r>
      <w:r>
        <w:t xml:space="preserve">. </w:t>
      </w:r>
      <w:r>
        <w:rPr>
          <w:b/>
          <w:bCs/>
        </w:rPr>
        <w:t>2001</w:t>
      </w:r>
      <w:r>
        <w:t xml:space="preserve">. Molecular diversity of arbuscular mycorrhizal fungi colonising arable crops. </w:t>
      </w:r>
      <w:r>
        <w:rPr>
          <w:i/>
          <w:iCs/>
        </w:rPr>
        <w:t>Fems Microbiology Ecology</w:t>
      </w:r>
      <w:r>
        <w:t xml:space="preserve"> </w:t>
      </w:r>
      <w:r>
        <w:rPr>
          <w:b/>
          <w:bCs/>
        </w:rPr>
        <w:t>36</w:t>
      </w:r>
      <w:r>
        <w:t>: 203–209.</w:t>
      </w:r>
    </w:p>
    <w:p w:rsidR="00EC4E93" w:rsidRDefault="00EC4E93" w:rsidP="00F00459">
      <w:pPr>
        <w:pStyle w:val="Bibliography"/>
      </w:pPr>
      <w:r>
        <w:rPr>
          <w:b/>
          <w:bCs/>
        </w:rPr>
        <w:t>Davis RM, Menge JA, Zentmyer GA</w:t>
      </w:r>
      <w:r>
        <w:t xml:space="preserve">. </w:t>
      </w:r>
      <w:r>
        <w:rPr>
          <w:b/>
          <w:bCs/>
        </w:rPr>
        <w:t>1978</w:t>
      </w:r>
      <w:r>
        <w:t xml:space="preserve">. INFLUENCE OF VESICULAR-ARBUSCULAR MYCORRHIZAE ON PHYTOPHTHORA ROOT-ROT OF 3 CROP PLANTS. </w:t>
      </w:r>
      <w:r>
        <w:rPr>
          <w:i/>
          <w:iCs/>
        </w:rPr>
        <w:t>Phytopathology</w:t>
      </w:r>
      <w:r>
        <w:t xml:space="preserve"> </w:t>
      </w:r>
      <w:r>
        <w:rPr>
          <w:b/>
          <w:bCs/>
        </w:rPr>
        <w:t>68</w:t>
      </w:r>
      <w:r>
        <w:t>: 1614–1617.</w:t>
      </w:r>
    </w:p>
    <w:p w:rsidR="00EC4E93" w:rsidRDefault="00EC4E93" w:rsidP="00F00459">
      <w:pPr>
        <w:pStyle w:val="Bibliography"/>
      </w:pPr>
      <w:r>
        <w:rPr>
          <w:b/>
          <w:bCs/>
        </w:rPr>
        <w:t>DEFRA</w:t>
      </w:r>
      <w:r>
        <w:t xml:space="preserve">. </w:t>
      </w:r>
      <w:r>
        <w:rPr>
          <w:b/>
          <w:bCs/>
        </w:rPr>
        <w:t>2008</w:t>
      </w:r>
      <w:r>
        <w:t>. UK Biodiversity Action Plan Priority Habitats Descriptions: Traditional Orchards.</w:t>
      </w:r>
    </w:p>
    <w:p w:rsidR="00EC4E93" w:rsidRDefault="00EC4E93" w:rsidP="00F00459">
      <w:pPr>
        <w:pStyle w:val="Bibliography"/>
      </w:pPr>
      <w:r>
        <w:rPr>
          <w:b/>
          <w:bCs/>
        </w:rPr>
        <w:t>DEFRA</w:t>
      </w:r>
      <w:r>
        <w:t xml:space="preserve">. </w:t>
      </w:r>
      <w:r>
        <w:rPr>
          <w:b/>
          <w:bCs/>
        </w:rPr>
        <w:t>2010a</w:t>
      </w:r>
      <w:r>
        <w:t>. Apple best practice guide.</w:t>
      </w:r>
    </w:p>
    <w:p w:rsidR="00EC4E93" w:rsidRDefault="00EC4E93" w:rsidP="00F00459">
      <w:pPr>
        <w:pStyle w:val="Bibliography"/>
      </w:pPr>
      <w:r>
        <w:rPr>
          <w:b/>
          <w:bCs/>
        </w:rPr>
        <w:t>DEFRA</w:t>
      </w:r>
      <w:r>
        <w:t xml:space="preserve">. </w:t>
      </w:r>
      <w:r>
        <w:rPr>
          <w:b/>
          <w:bCs/>
        </w:rPr>
        <w:t>2010b</w:t>
      </w:r>
      <w:r>
        <w:t>. Reccommendations for controlling Neonectria ditissima in cider apple orchards (Agriculture and Horticultural Development Board).</w:t>
      </w:r>
    </w:p>
    <w:p w:rsidR="00EC4E93" w:rsidRDefault="00EC4E93" w:rsidP="00F00459">
      <w:pPr>
        <w:pStyle w:val="Bibliography"/>
      </w:pPr>
      <w:r>
        <w:rPr>
          <w:b/>
          <w:bCs/>
        </w:rPr>
        <w:t>DEFRA</w:t>
      </w:r>
      <w:r>
        <w:t xml:space="preserve">. </w:t>
      </w:r>
      <w:r>
        <w:rPr>
          <w:b/>
          <w:bCs/>
        </w:rPr>
        <w:t>2010c</w:t>
      </w:r>
      <w:r>
        <w:t>. Fertiliser Manual (RB209) 8th Edition.</w:t>
      </w:r>
    </w:p>
    <w:p w:rsidR="00EC4E93" w:rsidRDefault="00EC4E93" w:rsidP="00F00459">
      <w:pPr>
        <w:pStyle w:val="Bibliography"/>
      </w:pPr>
      <w:r>
        <w:rPr>
          <w:b/>
          <w:bCs/>
        </w:rPr>
        <w:t>DEFRA</w:t>
      </w:r>
      <w:r>
        <w:t xml:space="preserve">. </w:t>
      </w:r>
      <w:r>
        <w:rPr>
          <w:b/>
          <w:bCs/>
        </w:rPr>
        <w:t>2014</w:t>
      </w:r>
      <w:r>
        <w:t>. Basic horticultural statistics 2014.</w:t>
      </w:r>
    </w:p>
    <w:p w:rsidR="00EC4E93" w:rsidRDefault="00EC4E93" w:rsidP="00F00459">
      <w:pPr>
        <w:pStyle w:val="Bibliography"/>
      </w:pPr>
      <w:r>
        <w:rPr>
          <w:b/>
          <w:bCs/>
        </w:rPr>
        <w:t>Delgado A, Scalenghe R</w:t>
      </w:r>
      <w:r>
        <w:t xml:space="preserve">. </w:t>
      </w:r>
      <w:r>
        <w:rPr>
          <w:b/>
          <w:bCs/>
        </w:rPr>
        <w:t>2008</w:t>
      </w:r>
      <w:r>
        <w:t xml:space="preserve">. Aspects of phosphorus transfer from soils in Europe. </w:t>
      </w:r>
      <w:r>
        <w:rPr>
          <w:i/>
          <w:iCs/>
        </w:rPr>
        <w:t>Journal of Plant Nutrition and Soil Science</w:t>
      </w:r>
      <w:r>
        <w:t xml:space="preserve"> </w:t>
      </w:r>
      <w:r>
        <w:rPr>
          <w:b/>
          <w:bCs/>
        </w:rPr>
        <w:t>171</w:t>
      </w:r>
      <w:r>
        <w:t>: 552–575.</w:t>
      </w:r>
    </w:p>
    <w:p w:rsidR="00EC4E93" w:rsidRDefault="00EC4E93" w:rsidP="00F00459">
      <w:pPr>
        <w:pStyle w:val="Bibliography"/>
      </w:pPr>
      <w:r>
        <w:rPr>
          <w:b/>
          <w:bCs/>
        </w:rPr>
        <w:t>Dickie IA, FitzJohn RG</w:t>
      </w:r>
      <w:r>
        <w:t xml:space="preserve">. </w:t>
      </w:r>
      <w:r>
        <w:rPr>
          <w:b/>
          <w:bCs/>
        </w:rPr>
        <w:t>2007</w:t>
      </w:r>
      <w:r>
        <w:t xml:space="preserve">. Using terminal restriction fragment length polymorphism (T-RFLP) to identify mycorrhizal fungi: a methods review. </w:t>
      </w:r>
      <w:r>
        <w:rPr>
          <w:i/>
          <w:iCs/>
        </w:rPr>
        <w:t>Mycorrhiza</w:t>
      </w:r>
      <w:r>
        <w:t xml:space="preserve"> </w:t>
      </w:r>
      <w:r>
        <w:rPr>
          <w:b/>
          <w:bCs/>
        </w:rPr>
        <w:t>17</w:t>
      </w:r>
      <w:r>
        <w:t>: 259–270.</w:t>
      </w:r>
    </w:p>
    <w:p w:rsidR="00EC4E93" w:rsidRDefault="00EC4E93" w:rsidP="00F00459">
      <w:pPr>
        <w:pStyle w:val="Bibliography"/>
      </w:pPr>
      <w:r>
        <w:rPr>
          <w:b/>
          <w:bCs/>
        </w:rPr>
        <w:t>Douds DD, Galvez L, Franke-Snyder M, Reider C, Drinkwater LE</w:t>
      </w:r>
      <w:r>
        <w:t xml:space="preserve">. </w:t>
      </w:r>
      <w:r>
        <w:rPr>
          <w:b/>
          <w:bCs/>
        </w:rPr>
        <w:t>1997</w:t>
      </w:r>
      <w:r>
        <w:t xml:space="preserve">. Effect of compost addition and crop rotation point upon VAM fungi. </w:t>
      </w:r>
      <w:r>
        <w:rPr>
          <w:i/>
          <w:iCs/>
        </w:rPr>
        <w:t>Agriculture Ecosystems &amp; Environment</w:t>
      </w:r>
      <w:r>
        <w:t xml:space="preserve"> </w:t>
      </w:r>
      <w:r>
        <w:rPr>
          <w:b/>
          <w:bCs/>
        </w:rPr>
        <w:t>65</w:t>
      </w:r>
      <w:r>
        <w:t>: 257–266.</w:t>
      </w:r>
    </w:p>
    <w:p w:rsidR="00EC4E93" w:rsidRDefault="00EC4E93" w:rsidP="00F00459">
      <w:pPr>
        <w:pStyle w:val="Bibliography"/>
      </w:pPr>
      <w:r>
        <w:rPr>
          <w:b/>
          <w:bCs/>
        </w:rPr>
        <w:t>Douds DD, Galvez L, Janke RR, Wagoner P</w:t>
      </w:r>
      <w:r>
        <w:t xml:space="preserve">. </w:t>
      </w:r>
      <w:r>
        <w:rPr>
          <w:b/>
          <w:bCs/>
        </w:rPr>
        <w:t>1995</w:t>
      </w:r>
      <w:r>
        <w:t xml:space="preserve">. EFFECT OF TILLAGE AND FARMING SYSTEM UPON POPULATIONS AND DISTRIBUTION OF VESICULAR-ARBUSCULAR MYCORRHIZAL FUNGI. </w:t>
      </w:r>
      <w:r>
        <w:rPr>
          <w:i/>
          <w:iCs/>
        </w:rPr>
        <w:t>Agriculture Ecosystems &amp; Environment</w:t>
      </w:r>
      <w:r>
        <w:t xml:space="preserve"> </w:t>
      </w:r>
      <w:r>
        <w:rPr>
          <w:b/>
          <w:bCs/>
        </w:rPr>
        <w:t>52</w:t>
      </w:r>
      <w:r>
        <w:t>: 111–118.</w:t>
      </w:r>
    </w:p>
    <w:p w:rsidR="00EC4E93" w:rsidRDefault="00EC4E93" w:rsidP="00F00459">
      <w:pPr>
        <w:pStyle w:val="Bibliography"/>
      </w:pPr>
      <w:r>
        <w:rPr>
          <w:b/>
          <w:bCs/>
        </w:rPr>
        <w:t>Drew EA, Murray RS, Smith SE, Jakobsen I</w:t>
      </w:r>
      <w:r>
        <w:t xml:space="preserve">. </w:t>
      </w:r>
      <w:r>
        <w:rPr>
          <w:b/>
          <w:bCs/>
        </w:rPr>
        <w:t>2003</w:t>
      </w:r>
      <w:r>
        <w:t xml:space="preserve">. Beyond the rhizosphere: growth and function of arbuscular mycorrhizal external hyphae in sands of varying pore sizes. </w:t>
      </w:r>
      <w:r>
        <w:rPr>
          <w:i/>
          <w:iCs/>
        </w:rPr>
        <w:t>Plant and Soil</w:t>
      </w:r>
      <w:r>
        <w:t xml:space="preserve"> </w:t>
      </w:r>
      <w:r>
        <w:rPr>
          <w:b/>
          <w:bCs/>
        </w:rPr>
        <w:t>251</w:t>
      </w:r>
      <w:r>
        <w:t>: 105–114.</w:t>
      </w:r>
    </w:p>
    <w:p w:rsidR="00EC4E93" w:rsidRDefault="00EC4E93" w:rsidP="00F00459">
      <w:pPr>
        <w:pStyle w:val="Bibliography"/>
      </w:pPr>
      <w:r>
        <w:rPr>
          <w:b/>
          <w:bCs/>
        </w:rPr>
        <w:t>Druille M, Cabello MN, Omacini M, Golluscio RA</w:t>
      </w:r>
      <w:r>
        <w:t xml:space="preserve">. </w:t>
      </w:r>
      <w:r>
        <w:rPr>
          <w:b/>
          <w:bCs/>
        </w:rPr>
        <w:t>2013</w:t>
      </w:r>
      <w:r>
        <w:t xml:space="preserve">. Glyphosate reduces spore viability and root colonization of arbuscular mycorrhizal fungi. </w:t>
      </w:r>
      <w:r>
        <w:rPr>
          <w:i/>
          <w:iCs/>
        </w:rPr>
        <w:t>Applied Soil Ecology</w:t>
      </w:r>
      <w:r>
        <w:t xml:space="preserve"> </w:t>
      </w:r>
      <w:r>
        <w:rPr>
          <w:b/>
          <w:bCs/>
        </w:rPr>
        <w:t>64</w:t>
      </w:r>
      <w:r>
        <w:t>: 99–103.</w:t>
      </w:r>
    </w:p>
    <w:p w:rsidR="00EC4E93" w:rsidRDefault="00EC4E93" w:rsidP="00F00459">
      <w:pPr>
        <w:pStyle w:val="Bibliography"/>
      </w:pPr>
      <w:r>
        <w:rPr>
          <w:b/>
          <w:bCs/>
        </w:rPr>
        <w:t>Dumbrell AJ, Nelson M, Helgason T, Dytham C, Fitter AH</w:t>
      </w:r>
      <w:r>
        <w:t xml:space="preserve">. </w:t>
      </w:r>
      <w:r>
        <w:rPr>
          <w:b/>
          <w:bCs/>
        </w:rPr>
        <w:t>2010</w:t>
      </w:r>
      <w:r>
        <w:t xml:space="preserve">. Relative roles of niche and neutral processes in structuring a soil microbial community. </w:t>
      </w:r>
      <w:r>
        <w:rPr>
          <w:i/>
          <w:iCs/>
        </w:rPr>
        <w:t>The ISME journal</w:t>
      </w:r>
      <w:r>
        <w:t xml:space="preserve"> </w:t>
      </w:r>
      <w:r>
        <w:rPr>
          <w:b/>
          <w:bCs/>
        </w:rPr>
        <w:t>4</w:t>
      </w:r>
      <w:r>
        <w:t>: 337–345.</w:t>
      </w:r>
    </w:p>
    <w:p w:rsidR="00EC4E93" w:rsidRDefault="00EC4E93" w:rsidP="00F00459">
      <w:pPr>
        <w:pStyle w:val="Bibliography"/>
      </w:pPr>
      <w:r>
        <w:rPr>
          <w:b/>
          <w:bCs/>
        </w:rPr>
        <w:lastRenderedPageBreak/>
        <w:t>Dunemann F, Kahnau R, Schmidt H</w:t>
      </w:r>
      <w:r>
        <w:t xml:space="preserve">. </w:t>
      </w:r>
      <w:r>
        <w:rPr>
          <w:b/>
          <w:bCs/>
        </w:rPr>
        <w:t>1994</w:t>
      </w:r>
      <w:r>
        <w:t xml:space="preserve">. Genetic relationships in Malus evaluated by RAPD ‘fingerprinting’of cultivars and wild species. </w:t>
      </w:r>
      <w:r>
        <w:rPr>
          <w:i/>
          <w:iCs/>
        </w:rPr>
        <w:t>Plant Breeding</w:t>
      </w:r>
      <w:r>
        <w:t xml:space="preserve"> </w:t>
      </w:r>
      <w:r>
        <w:rPr>
          <w:b/>
          <w:bCs/>
        </w:rPr>
        <w:t>113</w:t>
      </w:r>
      <w:r>
        <w:t>: 150–159.</w:t>
      </w:r>
    </w:p>
    <w:p w:rsidR="00EC4E93" w:rsidRDefault="00EC4E93" w:rsidP="00F00459">
      <w:pPr>
        <w:pStyle w:val="Bibliography"/>
      </w:pPr>
      <w:r>
        <w:rPr>
          <w:b/>
          <w:bCs/>
        </w:rPr>
        <w:t>Edgar RC</w:t>
      </w:r>
      <w:r>
        <w:t xml:space="preserve">. </w:t>
      </w:r>
      <w:r>
        <w:rPr>
          <w:b/>
          <w:bCs/>
        </w:rPr>
        <w:t>2004</w:t>
      </w:r>
      <w:r>
        <w:t xml:space="preserve">. MUSCLE: multiple sequence alignment with high accuracy and high throughput. </w:t>
      </w:r>
      <w:r>
        <w:rPr>
          <w:i/>
          <w:iCs/>
        </w:rPr>
        <w:t>Nucleic Acids Research</w:t>
      </w:r>
      <w:r>
        <w:t xml:space="preserve"> </w:t>
      </w:r>
      <w:r>
        <w:rPr>
          <w:b/>
          <w:bCs/>
        </w:rPr>
        <w:t>32</w:t>
      </w:r>
      <w:r>
        <w:t>: 1792–1797.</w:t>
      </w:r>
    </w:p>
    <w:p w:rsidR="00EC4E93" w:rsidRDefault="00EC4E93" w:rsidP="00F00459">
      <w:pPr>
        <w:pStyle w:val="Bibliography"/>
      </w:pPr>
      <w:r>
        <w:rPr>
          <w:b/>
          <w:bCs/>
        </w:rPr>
        <w:t>Edgar RC</w:t>
      </w:r>
      <w:r>
        <w:t xml:space="preserve">. </w:t>
      </w:r>
      <w:r>
        <w:rPr>
          <w:b/>
          <w:bCs/>
        </w:rPr>
        <w:t>2010</w:t>
      </w:r>
      <w:r>
        <w:t xml:space="preserve">. Search and clustering orders of magnitude faster than BLAST. </w:t>
      </w:r>
      <w:r>
        <w:rPr>
          <w:i/>
          <w:iCs/>
        </w:rPr>
        <w:t>Bioinformatics</w:t>
      </w:r>
      <w:r>
        <w:t xml:space="preserve"> </w:t>
      </w:r>
      <w:r>
        <w:rPr>
          <w:b/>
          <w:bCs/>
        </w:rPr>
        <w:t>26</w:t>
      </w:r>
      <w:r>
        <w:t>: 2460–2461.</w:t>
      </w:r>
    </w:p>
    <w:p w:rsidR="00EC4E93" w:rsidRDefault="00EC4E93" w:rsidP="00F00459">
      <w:pPr>
        <w:pStyle w:val="Bibliography"/>
      </w:pPr>
      <w:r>
        <w:rPr>
          <w:b/>
          <w:bCs/>
        </w:rPr>
        <w:t>Elser J, Bennett E</w:t>
      </w:r>
      <w:r>
        <w:t xml:space="preserve">. </w:t>
      </w:r>
      <w:r>
        <w:rPr>
          <w:b/>
          <w:bCs/>
        </w:rPr>
        <w:t>2011</w:t>
      </w:r>
      <w:r>
        <w:t xml:space="preserve">. Phosphorus cycle: A broken biogeochemical cycle. </w:t>
      </w:r>
      <w:r>
        <w:rPr>
          <w:i/>
          <w:iCs/>
        </w:rPr>
        <w:t>Nature</w:t>
      </w:r>
      <w:r>
        <w:t xml:space="preserve"> </w:t>
      </w:r>
      <w:r>
        <w:rPr>
          <w:b/>
          <w:bCs/>
        </w:rPr>
        <w:t>478</w:t>
      </w:r>
      <w:r>
        <w:t>: 29–31.</w:t>
      </w:r>
    </w:p>
    <w:p w:rsidR="00EC4E93" w:rsidRDefault="00EC4E93" w:rsidP="00F00459">
      <w:pPr>
        <w:pStyle w:val="Bibliography"/>
      </w:pPr>
      <w:r>
        <w:rPr>
          <w:b/>
          <w:bCs/>
        </w:rPr>
        <w:t>Evelin H, Kapoor R, Giri B</w:t>
      </w:r>
      <w:r>
        <w:t xml:space="preserve">. </w:t>
      </w:r>
      <w:r>
        <w:rPr>
          <w:b/>
          <w:bCs/>
        </w:rPr>
        <w:t>2009</w:t>
      </w:r>
      <w:r>
        <w:t xml:space="preserve">. Arbuscular mycorrhizal fungi in alleviation of salt stress: a review. </w:t>
      </w:r>
      <w:r>
        <w:rPr>
          <w:i/>
          <w:iCs/>
        </w:rPr>
        <w:t>Annals of Botany</w:t>
      </w:r>
      <w:r>
        <w:t xml:space="preserve"> </w:t>
      </w:r>
      <w:r>
        <w:rPr>
          <w:b/>
          <w:bCs/>
        </w:rPr>
        <w:t>104</w:t>
      </w:r>
      <w:r>
        <w:t>: 1263–1280.</w:t>
      </w:r>
    </w:p>
    <w:p w:rsidR="00EC4E93" w:rsidRDefault="00EC4E93" w:rsidP="00F00459">
      <w:pPr>
        <w:pStyle w:val="Bibliography"/>
      </w:pPr>
      <w:r>
        <w:rPr>
          <w:b/>
          <w:bCs/>
        </w:rPr>
        <w:t>FAO</w:t>
      </w:r>
      <w:r>
        <w:t xml:space="preserve">. </w:t>
      </w:r>
      <w:r>
        <w:rPr>
          <w:b/>
          <w:bCs/>
        </w:rPr>
        <w:t>2014</w:t>
      </w:r>
      <w:r>
        <w:t>. FAOSTAT database collections. Food and Agriculture Organization of the United Nations.Rome.</w:t>
      </w:r>
    </w:p>
    <w:p w:rsidR="00EC4E93" w:rsidRDefault="00EC4E93" w:rsidP="00F00459">
      <w:pPr>
        <w:pStyle w:val="Bibliography"/>
      </w:pPr>
      <w:r>
        <w:rPr>
          <w:b/>
          <w:bCs/>
        </w:rPr>
        <w:t>Fester T, Sawers R</w:t>
      </w:r>
      <w:r>
        <w:t xml:space="preserve">. </w:t>
      </w:r>
      <w:r>
        <w:rPr>
          <w:b/>
          <w:bCs/>
        </w:rPr>
        <w:t>2011</w:t>
      </w:r>
      <w:r>
        <w:t xml:space="preserve">. Progress and Challenges in Agricultural Applications of Arbuscular Mycorrhizal Fungi. </w:t>
      </w:r>
      <w:r>
        <w:rPr>
          <w:i/>
          <w:iCs/>
        </w:rPr>
        <w:t>Critical Reviews in Plant Sciences</w:t>
      </w:r>
      <w:r>
        <w:t xml:space="preserve"> </w:t>
      </w:r>
      <w:r>
        <w:rPr>
          <w:b/>
          <w:bCs/>
        </w:rPr>
        <w:t>30</w:t>
      </w:r>
      <w:r>
        <w:t>: 459–470.</w:t>
      </w:r>
    </w:p>
    <w:p w:rsidR="00EC4E93" w:rsidRDefault="00EC4E93" w:rsidP="00F00459">
      <w:pPr>
        <w:pStyle w:val="Bibliography"/>
      </w:pPr>
      <w:r>
        <w:rPr>
          <w:b/>
          <w:bCs/>
        </w:rPr>
        <w:t>Field K, Davidson S, Alghamdi S, Cameron D</w:t>
      </w:r>
      <w:r>
        <w:t xml:space="preserve">. </w:t>
      </w:r>
      <w:r>
        <w:rPr>
          <w:b/>
          <w:bCs/>
        </w:rPr>
        <w:t>2017</w:t>
      </w:r>
      <w:r>
        <w:t>. Magnitude, Dynamics, and Control of the Carbon Flow to Mycorrhizas. Mycorrhizal Mediation of Soil : Fertility, Structure, and Carbon Storage. Elsevier Science Publishing, USA., .</w:t>
      </w:r>
    </w:p>
    <w:p w:rsidR="00EC4E93" w:rsidRDefault="00EC4E93" w:rsidP="00F00459">
      <w:pPr>
        <w:pStyle w:val="Bibliography"/>
      </w:pPr>
      <w:r>
        <w:rPr>
          <w:b/>
          <w:bCs/>
        </w:rPr>
        <w:t xml:space="preserve">Foley JA, DeFries R, Asner GP, Barford C, Bonan G, Carpenter SR, Chapin FS, Coe MT, Daily GC, Gibbs HK, </w:t>
      </w:r>
      <w:r>
        <w:rPr>
          <w:b/>
          <w:bCs/>
          <w:i/>
          <w:iCs/>
        </w:rPr>
        <w:t>et al.</w:t>
      </w:r>
      <w:r>
        <w:t xml:space="preserve"> </w:t>
      </w:r>
      <w:r>
        <w:rPr>
          <w:b/>
          <w:bCs/>
        </w:rPr>
        <w:t>2005</w:t>
      </w:r>
      <w:r>
        <w:t xml:space="preserve">. Global Consequences of Land Use. </w:t>
      </w:r>
      <w:r>
        <w:rPr>
          <w:i/>
          <w:iCs/>
        </w:rPr>
        <w:t>Science</w:t>
      </w:r>
      <w:r>
        <w:t xml:space="preserve"> </w:t>
      </w:r>
      <w:r>
        <w:rPr>
          <w:b/>
          <w:bCs/>
        </w:rPr>
        <w:t>309</w:t>
      </w:r>
      <w:r>
        <w:t>: 570–574.</w:t>
      </w:r>
    </w:p>
    <w:p w:rsidR="00EC4E93" w:rsidRDefault="00EC4E93" w:rsidP="00F00459">
      <w:pPr>
        <w:pStyle w:val="Bibliography"/>
      </w:pPr>
      <w:r>
        <w:rPr>
          <w:b/>
          <w:bCs/>
        </w:rPr>
        <w:t>Fontana A, Reichelt M, Hempel S, Gershenzon J, Unsicker SB</w:t>
      </w:r>
      <w:r>
        <w:t xml:space="preserve">. </w:t>
      </w:r>
      <w:r>
        <w:rPr>
          <w:b/>
          <w:bCs/>
        </w:rPr>
        <w:t>2009</w:t>
      </w:r>
      <w:r>
        <w:t xml:space="preserve">. The Effects of Arbuscular Mycorrhizal Fungi on Direct and Indirect Defense Metabolites of Plantago lanceolata L. </w:t>
      </w:r>
      <w:r>
        <w:rPr>
          <w:i/>
          <w:iCs/>
        </w:rPr>
        <w:t>Journal of Chemical Ecology</w:t>
      </w:r>
      <w:r>
        <w:t xml:space="preserve"> </w:t>
      </w:r>
      <w:r>
        <w:rPr>
          <w:b/>
          <w:bCs/>
        </w:rPr>
        <w:t>35</w:t>
      </w:r>
      <w:r>
        <w:t>: 833–843.</w:t>
      </w:r>
    </w:p>
    <w:p w:rsidR="00EC4E93" w:rsidRDefault="00EC4E93" w:rsidP="00F00459">
      <w:pPr>
        <w:pStyle w:val="Bibliography"/>
      </w:pPr>
      <w:r>
        <w:rPr>
          <w:b/>
          <w:bCs/>
        </w:rPr>
        <w:t>Forge T, Muehlchen A, Hackenberg C, Neilsen G, Vrain T</w:t>
      </w:r>
      <w:r>
        <w:t xml:space="preserve">. </w:t>
      </w:r>
      <w:r>
        <w:rPr>
          <w:b/>
          <w:bCs/>
        </w:rPr>
        <w:t>2001</w:t>
      </w:r>
      <w:r>
        <w:t xml:space="preserve">. Effects of preplant inoculation of apple (Malus domestica Borkh.) with arbuscular mycorrhizal fungi on population growth of the root-lesion nematode, Pratylenchus penetrans. </w:t>
      </w:r>
      <w:r>
        <w:rPr>
          <w:i/>
          <w:iCs/>
        </w:rPr>
        <w:t>Plant and Soil</w:t>
      </w:r>
      <w:r>
        <w:t xml:space="preserve"> </w:t>
      </w:r>
      <w:r>
        <w:rPr>
          <w:b/>
          <w:bCs/>
        </w:rPr>
        <w:t>236</w:t>
      </w:r>
      <w:r>
        <w:t>: 185–196.</w:t>
      </w:r>
    </w:p>
    <w:p w:rsidR="00EC4E93" w:rsidRDefault="00EC4E93" w:rsidP="00F00459">
      <w:pPr>
        <w:pStyle w:val="Bibliography"/>
      </w:pPr>
      <w:r>
        <w:rPr>
          <w:b/>
          <w:bCs/>
        </w:rPr>
        <w:t>Forte AV, Ignatov AN, Ponomarenko VV, Dorokhov DB, Savelyev NI</w:t>
      </w:r>
      <w:r>
        <w:t xml:space="preserve">. </w:t>
      </w:r>
      <w:r>
        <w:rPr>
          <w:b/>
          <w:bCs/>
        </w:rPr>
        <w:t>2002</w:t>
      </w:r>
      <w:r>
        <w:t xml:space="preserve">. Phylogeny of the Malus (Apple Tree) Species, Inferred from the Morphological Traits and Molecular DNA Analysis. </w:t>
      </w:r>
      <w:r>
        <w:rPr>
          <w:i/>
          <w:iCs/>
        </w:rPr>
        <w:t>Russian Journal of Genetics</w:t>
      </w:r>
      <w:r>
        <w:t xml:space="preserve"> </w:t>
      </w:r>
      <w:r>
        <w:rPr>
          <w:b/>
          <w:bCs/>
        </w:rPr>
        <w:t>38</w:t>
      </w:r>
      <w:r>
        <w:t>: 1150–1161.</w:t>
      </w:r>
    </w:p>
    <w:p w:rsidR="00EC4E93" w:rsidRDefault="00EC4E93" w:rsidP="00F00459">
      <w:pPr>
        <w:pStyle w:val="Bibliography"/>
      </w:pPr>
      <w:r>
        <w:rPr>
          <w:b/>
          <w:bCs/>
        </w:rPr>
        <w:t>Frey SD, Elliott ET, Paustian K</w:t>
      </w:r>
      <w:r>
        <w:t xml:space="preserve">. </w:t>
      </w:r>
      <w:r>
        <w:rPr>
          <w:b/>
          <w:bCs/>
        </w:rPr>
        <w:t>1999</w:t>
      </w:r>
      <w:r>
        <w:t xml:space="preserve">. Bacterial and fungal abundance and biomass in conventional and no-tillage agroecosystems along two climatic gradients. </w:t>
      </w:r>
      <w:r>
        <w:rPr>
          <w:i/>
          <w:iCs/>
        </w:rPr>
        <w:t>Soil Biology and Biochemistry</w:t>
      </w:r>
      <w:r>
        <w:t xml:space="preserve"> </w:t>
      </w:r>
      <w:r>
        <w:rPr>
          <w:b/>
          <w:bCs/>
        </w:rPr>
        <w:t>31</w:t>
      </w:r>
      <w:r>
        <w:t>: 573–585.</w:t>
      </w:r>
    </w:p>
    <w:p w:rsidR="00EC4E93" w:rsidRDefault="00EC4E93" w:rsidP="00F00459">
      <w:pPr>
        <w:pStyle w:val="Bibliography"/>
      </w:pPr>
      <w:r>
        <w:rPr>
          <w:b/>
          <w:bCs/>
        </w:rPr>
        <w:t>Frey-Klett P, Garbaye J, Tarkka M</w:t>
      </w:r>
      <w:r>
        <w:t xml:space="preserve">. </w:t>
      </w:r>
      <w:r>
        <w:rPr>
          <w:b/>
          <w:bCs/>
        </w:rPr>
        <w:t>2007</w:t>
      </w:r>
      <w:r>
        <w:t xml:space="preserve">. The mycorrhiza helper bacteria revisited. </w:t>
      </w:r>
      <w:r>
        <w:rPr>
          <w:i/>
          <w:iCs/>
        </w:rPr>
        <w:t>The New Phytologist</w:t>
      </w:r>
      <w:r>
        <w:t xml:space="preserve"> </w:t>
      </w:r>
      <w:r>
        <w:rPr>
          <w:b/>
          <w:bCs/>
        </w:rPr>
        <w:t>176</w:t>
      </w:r>
      <w:r>
        <w:t>: 22–36.</w:t>
      </w:r>
    </w:p>
    <w:p w:rsidR="00EC4E93" w:rsidRDefault="00EC4E93" w:rsidP="00F00459">
      <w:pPr>
        <w:pStyle w:val="Bibliography"/>
      </w:pPr>
      <w:r>
        <w:rPr>
          <w:b/>
          <w:bCs/>
        </w:rPr>
        <w:t>Fritz M, Jakobsen I, Lyngkjær MF, Thordal-Christensen H, Pons-Kühnemann J</w:t>
      </w:r>
      <w:r>
        <w:t xml:space="preserve">. </w:t>
      </w:r>
      <w:r>
        <w:rPr>
          <w:b/>
          <w:bCs/>
        </w:rPr>
        <w:t>2006</w:t>
      </w:r>
      <w:r>
        <w:t xml:space="preserve">. Arbuscular mycorrhiza reduces susceptibility of tomato to Alternaria solani. </w:t>
      </w:r>
      <w:r>
        <w:rPr>
          <w:i/>
          <w:iCs/>
        </w:rPr>
        <w:t>Mycorrhiza</w:t>
      </w:r>
      <w:r>
        <w:t xml:space="preserve"> </w:t>
      </w:r>
      <w:r>
        <w:rPr>
          <w:b/>
          <w:bCs/>
        </w:rPr>
        <w:t>16</w:t>
      </w:r>
      <w:r>
        <w:t>: 413–419.</w:t>
      </w:r>
    </w:p>
    <w:p w:rsidR="00EC4E93" w:rsidRDefault="00EC4E93" w:rsidP="00F00459">
      <w:pPr>
        <w:pStyle w:val="Bibliography"/>
      </w:pPr>
      <w:r>
        <w:rPr>
          <w:b/>
          <w:bCs/>
        </w:rPr>
        <w:t>Gallou A, Lucero Mosquera HP, Cranenbrouck S, Suárez JP, Declerck S</w:t>
      </w:r>
      <w:r>
        <w:t xml:space="preserve">. </w:t>
      </w:r>
      <w:r>
        <w:rPr>
          <w:b/>
          <w:bCs/>
        </w:rPr>
        <w:t>2011</w:t>
      </w:r>
      <w:r>
        <w:t xml:space="preserve">. Mycorrhiza induced resistance in potato plantlets challenged by Phytophthora infestans. </w:t>
      </w:r>
      <w:r>
        <w:rPr>
          <w:i/>
          <w:iCs/>
        </w:rPr>
        <w:t>Physiological and Molecular Plant Pathology</w:t>
      </w:r>
      <w:r>
        <w:t xml:space="preserve"> </w:t>
      </w:r>
      <w:r>
        <w:rPr>
          <w:b/>
          <w:bCs/>
        </w:rPr>
        <w:t>76</w:t>
      </w:r>
      <w:r>
        <w:t>: 20–26.</w:t>
      </w:r>
    </w:p>
    <w:p w:rsidR="00EC4E93" w:rsidRDefault="00EC4E93" w:rsidP="00F00459">
      <w:pPr>
        <w:pStyle w:val="Bibliography"/>
      </w:pPr>
      <w:r>
        <w:rPr>
          <w:b/>
          <w:bCs/>
        </w:rPr>
        <w:t>Gange A, West H</w:t>
      </w:r>
      <w:r>
        <w:t xml:space="preserve">. </w:t>
      </w:r>
      <w:r>
        <w:rPr>
          <w:b/>
          <w:bCs/>
        </w:rPr>
        <w:t>1994</w:t>
      </w:r>
      <w:r>
        <w:t xml:space="preserve">. Interactions Between Arbuscular Mycorrhizal Fungi and Foliar-Feeding Insects in Plantago-Lanceolata L. </w:t>
      </w:r>
      <w:r>
        <w:rPr>
          <w:i/>
          <w:iCs/>
        </w:rPr>
        <w:t>New Phytologist</w:t>
      </w:r>
      <w:r>
        <w:t xml:space="preserve"> </w:t>
      </w:r>
      <w:r>
        <w:rPr>
          <w:b/>
          <w:bCs/>
        </w:rPr>
        <w:t>128</w:t>
      </w:r>
      <w:r>
        <w:t>: 79–87.</w:t>
      </w:r>
    </w:p>
    <w:p w:rsidR="00EC4E93" w:rsidRDefault="00EC4E93" w:rsidP="00F00459">
      <w:pPr>
        <w:pStyle w:val="Bibliography"/>
      </w:pPr>
      <w:r>
        <w:rPr>
          <w:b/>
          <w:bCs/>
        </w:rPr>
        <w:lastRenderedPageBreak/>
        <w:t>van Geel M, Beenhouwer MD, Ceulemans T, Caes K, Ceustermans A, Bylemans D, Gomand A, Lievens B, Honnay O</w:t>
      </w:r>
      <w:r>
        <w:t xml:space="preserve">. </w:t>
      </w:r>
      <w:r>
        <w:rPr>
          <w:b/>
          <w:bCs/>
        </w:rPr>
        <w:t>2016</w:t>
      </w:r>
      <w:r>
        <w:t xml:space="preserve">. Application of slow-release phosphorus fertilizers increases arbuscular mycorrhizal fungal diversity in the roots of apple trees. </w:t>
      </w:r>
      <w:r>
        <w:rPr>
          <w:i/>
          <w:iCs/>
        </w:rPr>
        <w:t>Plant and Soil</w:t>
      </w:r>
      <w:r>
        <w:t xml:space="preserve"> </w:t>
      </w:r>
      <w:r>
        <w:rPr>
          <w:b/>
          <w:bCs/>
        </w:rPr>
        <w:t>402</w:t>
      </w:r>
      <w:r>
        <w:t>: 291–301.</w:t>
      </w:r>
    </w:p>
    <w:p w:rsidR="00EC4E93" w:rsidRDefault="00EC4E93" w:rsidP="00F00459">
      <w:pPr>
        <w:pStyle w:val="Bibliography"/>
      </w:pPr>
      <w:r>
        <w:rPr>
          <w:b/>
          <w:bCs/>
        </w:rPr>
        <w:t>van Geel M, Ceustermans A, van Hemelrijck W, Lievens B, Honnay O</w:t>
      </w:r>
      <w:r>
        <w:t xml:space="preserve">. </w:t>
      </w:r>
      <w:r>
        <w:rPr>
          <w:b/>
          <w:bCs/>
        </w:rPr>
        <w:t>2015</w:t>
      </w:r>
      <w:r>
        <w:t xml:space="preserve">. Decrease in diversity and changes in community composition of arbuscular mycorrhizal fungi in roots of apple trees with increasing orchard management intensity across a regional scale. </w:t>
      </w:r>
      <w:r>
        <w:rPr>
          <w:i/>
          <w:iCs/>
        </w:rPr>
        <w:t>Molecular Ecology</w:t>
      </w:r>
      <w:r>
        <w:t xml:space="preserve"> </w:t>
      </w:r>
      <w:r>
        <w:rPr>
          <w:b/>
          <w:bCs/>
        </w:rPr>
        <w:t>24</w:t>
      </w:r>
      <w:r>
        <w:t>: 941–952.</w:t>
      </w:r>
    </w:p>
    <w:p w:rsidR="00EC4E93" w:rsidRDefault="00EC4E93" w:rsidP="00F00459">
      <w:pPr>
        <w:pStyle w:val="Bibliography"/>
      </w:pPr>
      <w:r>
        <w:rPr>
          <w:b/>
          <w:bCs/>
        </w:rPr>
        <w:t>Génard M, Dauzat J, Franck N, Lescourret F, Moitrier N, Vaast P, Vercambre G</w:t>
      </w:r>
      <w:r>
        <w:t xml:space="preserve">. </w:t>
      </w:r>
      <w:r>
        <w:rPr>
          <w:b/>
          <w:bCs/>
        </w:rPr>
        <w:t>2008</w:t>
      </w:r>
      <w:r>
        <w:t xml:space="preserve">. Carbon allocation in fruit trees: from theory to modelling. </w:t>
      </w:r>
      <w:r>
        <w:rPr>
          <w:i/>
          <w:iCs/>
        </w:rPr>
        <w:t>Trees</w:t>
      </w:r>
      <w:r>
        <w:t xml:space="preserve"> </w:t>
      </w:r>
      <w:r>
        <w:rPr>
          <w:b/>
          <w:bCs/>
        </w:rPr>
        <w:t>22</w:t>
      </w:r>
      <w:r>
        <w:t>: 269–282.</w:t>
      </w:r>
    </w:p>
    <w:p w:rsidR="00EC4E93" w:rsidRDefault="00EC4E93" w:rsidP="00F00459">
      <w:pPr>
        <w:pStyle w:val="Bibliography"/>
      </w:pPr>
      <w:r>
        <w:rPr>
          <w:b/>
          <w:bCs/>
        </w:rPr>
        <w:t>Gianinazzi S, Gollotte A, Binet M-N, van Tuinen D, Redecker D, Wipf D</w:t>
      </w:r>
      <w:r>
        <w:t xml:space="preserve">. </w:t>
      </w:r>
      <w:r>
        <w:rPr>
          <w:b/>
          <w:bCs/>
        </w:rPr>
        <w:t>2010</w:t>
      </w:r>
      <w:r>
        <w:t xml:space="preserve">. Agroecology: the key role of arbuscular mycorrhizas in ecosystem services. </w:t>
      </w:r>
      <w:r>
        <w:rPr>
          <w:i/>
          <w:iCs/>
        </w:rPr>
        <w:t>Mycorrhiza</w:t>
      </w:r>
      <w:r>
        <w:t xml:space="preserve"> </w:t>
      </w:r>
      <w:r>
        <w:rPr>
          <w:b/>
          <w:bCs/>
        </w:rPr>
        <w:t>20</w:t>
      </w:r>
      <w:r>
        <w:t>: 519–530.</w:t>
      </w:r>
    </w:p>
    <w:p w:rsidR="00EC4E93" w:rsidRDefault="00EC4E93" w:rsidP="00F00459">
      <w:pPr>
        <w:pStyle w:val="Bibliography"/>
      </w:pPr>
      <w:r>
        <w:rPr>
          <w:b/>
          <w:bCs/>
        </w:rPr>
        <w:t>Giri B, Kapoor R, Mukerji KG</w:t>
      </w:r>
      <w:r>
        <w:t xml:space="preserve">. </w:t>
      </w:r>
      <w:r>
        <w:rPr>
          <w:b/>
          <w:bCs/>
        </w:rPr>
        <w:t>2003</w:t>
      </w:r>
      <w:r>
        <w:t xml:space="preserve">. Influence of arbuscular mycorrhizal fungi and salinity on growth, biomass, and mineral nutrition of Acacia auriculiformis. </w:t>
      </w:r>
      <w:r>
        <w:rPr>
          <w:i/>
          <w:iCs/>
        </w:rPr>
        <w:t>Biology and Fertility of Soils</w:t>
      </w:r>
      <w:r>
        <w:t xml:space="preserve"> </w:t>
      </w:r>
      <w:r>
        <w:rPr>
          <w:b/>
          <w:bCs/>
        </w:rPr>
        <w:t>38</w:t>
      </w:r>
      <w:r>
        <w:t>: 170–175.</w:t>
      </w:r>
    </w:p>
    <w:p w:rsidR="00EC4E93" w:rsidRDefault="00EC4E93" w:rsidP="00F00459">
      <w:pPr>
        <w:pStyle w:val="Bibliography"/>
      </w:pPr>
      <w:r>
        <w:rPr>
          <w:b/>
          <w:bCs/>
        </w:rPr>
        <w:t>Gosling P, Hodge A, Goodlass G, Bending GD</w:t>
      </w:r>
      <w:r>
        <w:t xml:space="preserve">. </w:t>
      </w:r>
      <w:r>
        <w:rPr>
          <w:b/>
          <w:bCs/>
        </w:rPr>
        <w:t>2006</w:t>
      </w:r>
      <w:r>
        <w:t xml:space="preserve">. Arbuscular mycorrhizal fungi and organic farming. </w:t>
      </w:r>
      <w:r>
        <w:rPr>
          <w:i/>
          <w:iCs/>
        </w:rPr>
        <w:t>Agriculture, Ecosystems &amp; Environment</w:t>
      </w:r>
      <w:r>
        <w:t xml:space="preserve"> </w:t>
      </w:r>
      <w:r>
        <w:rPr>
          <w:b/>
          <w:bCs/>
        </w:rPr>
        <w:t>113</w:t>
      </w:r>
      <w:r>
        <w:t>: 17–35.</w:t>
      </w:r>
    </w:p>
    <w:p w:rsidR="00EC4E93" w:rsidRDefault="00EC4E93" w:rsidP="00F00459">
      <w:pPr>
        <w:pStyle w:val="Bibliography"/>
      </w:pPr>
      <w:r>
        <w:rPr>
          <w:b/>
          <w:bCs/>
        </w:rPr>
        <w:t>Goverde M, van der Heijden MGA, Wiemken A, Sanders IR, Erhardt A</w:t>
      </w:r>
      <w:r>
        <w:t xml:space="preserve">. </w:t>
      </w:r>
      <w:r>
        <w:rPr>
          <w:b/>
          <w:bCs/>
        </w:rPr>
        <w:t>2000</w:t>
      </w:r>
      <w:r>
        <w:t xml:space="preserve">. Arbuscular mycorrhizal fungi influence life history traits of a lepidopteran herbivore. </w:t>
      </w:r>
      <w:r>
        <w:rPr>
          <w:i/>
          <w:iCs/>
        </w:rPr>
        <w:t>Oecologia</w:t>
      </w:r>
      <w:r>
        <w:t xml:space="preserve"> </w:t>
      </w:r>
      <w:r>
        <w:rPr>
          <w:b/>
          <w:bCs/>
        </w:rPr>
        <w:t>125</w:t>
      </w:r>
      <w:r>
        <w:t>: 362–369.</w:t>
      </w:r>
    </w:p>
    <w:p w:rsidR="00EC4E93" w:rsidRDefault="00EC4E93" w:rsidP="00F00459">
      <w:pPr>
        <w:pStyle w:val="Bibliography"/>
      </w:pPr>
      <w:r>
        <w:rPr>
          <w:b/>
          <w:bCs/>
        </w:rPr>
        <w:t>Grant C, Bittman S, Montreal M, Plenchette C, Morel C</w:t>
      </w:r>
      <w:r>
        <w:t xml:space="preserve">. </w:t>
      </w:r>
      <w:r>
        <w:rPr>
          <w:b/>
          <w:bCs/>
        </w:rPr>
        <w:t>2005</w:t>
      </w:r>
      <w:r>
        <w:t xml:space="preserve">. Soil and fertilizer phosphorus: Effects on plant P supply and mycorrhizal development. </w:t>
      </w:r>
      <w:r>
        <w:rPr>
          <w:i/>
          <w:iCs/>
        </w:rPr>
        <w:t>Canadian Journal of Plant Science</w:t>
      </w:r>
      <w:r>
        <w:t xml:space="preserve"> </w:t>
      </w:r>
      <w:r>
        <w:rPr>
          <w:b/>
          <w:bCs/>
        </w:rPr>
        <w:t>85</w:t>
      </w:r>
      <w:r>
        <w:t>: 3–14.</w:t>
      </w:r>
    </w:p>
    <w:p w:rsidR="00EC4E93" w:rsidRDefault="00EC4E93" w:rsidP="00F00459">
      <w:pPr>
        <w:pStyle w:val="Bibliography"/>
      </w:pPr>
      <w:r>
        <w:rPr>
          <w:b/>
          <w:bCs/>
        </w:rPr>
        <w:t>Guo BZ, An ZQ, Hendrix JW</w:t>
      </w:r>
      <w:r>
        <w:t xml:space="preserve">. </w:t>
      </w:r>
      <w:r>
        <w:rPr>
          <w:b/>
          <w:bCs/>
        </w:rPr>
        <w:t>1994</w:t>
      </w:r>
      <w:r>
        <w:t xml:space="preserve">. A mycorrhizal pathogen (Glomus macrocarpum Tul. &amp; Tul.) of tobacco: effects of long- and short-term cropping on the mycorrhizal fungal community and stunt disease. </w:t>
      </w:r>
      <w:r>
        <w:rPr>
          <w:i/>
          <w:iCs/>
        </w:rPr>
        <w:t>Applied Soil Ecology</w:t>
      </w:r>
      <w:r>
        <w:t xml:space="preserve"> </w:t>
      </w:r>
      <w:r>
        <w:rPr>
          <w:b/>
          <w:bCs/>
        </w:rPr>
        <w:t>1</w:t>
      </w:r>
      <w:r>
        <w:t>: 269–276.</w:t>
      </w:r>
    </w:p>
    <w:p w:rsidR="00EC4E93" w:rsidRDefault="00EC4E93" w:rsidP="00F00459">
      <w:pPr>
        <w:pStyle w:val="Bibliography"/>
      </w:pPr>
      <w:r>
        <w:rPr>
          <w:b/>
          <w:bCs/>
        </w:rPr>
        <w:t>Hallett PD, Feeney DS, Bengough AG, Rillig MC, Scrimgeour CM, Young IM</w:t>
      </w:r>
      <w:r>
        <w:t xml:space="preserve">. </w:t>
      </w:r>
      <w:r>
        <w:rPr>
          <w:b/>
          <w:bCs/>
        </w:rPr>
        <w:t>2009</w:t>
      </w:r>
      <w:r>
        <w:t xml:space="preserve">. Disentangling the impact of AM fungi versus roots on soil structure and water transport. </w:t>
      </w:r>
      <w:r>
        <w:rPr>
          <w:i/>
          <w:iCs/>
        </w:rPr>
        <w:t>Plant and Soil</w:t>
      </w:r>
      <w:r>
        <w:t xml:space="preserve"> </w:t>
      </w:r>
      <w:r>
        <w:rPr>
          <w:b/>
          <w:bCs/>
        </w:rPr>
        <w:t>314</w:t>
      </w:r>
      <w:r>
        <w:t>: 183–196.</w:t>
      </w:r>
    </w:p>
    <w:p w:rsidR="00EC4E93" w:rsidRDefault="00EC4E93" w:rsidP="00F00459">
      <w:pPr>
        <w:pStyle w:val="Bibliography"/>
      </w:pPr>
      <w:r>
        <w:rPr>
          <w:b/>
          <w:bCs/>
        </w:rPr>
        <w:t>Hamel C, Morin F, Fortin A, Granger RL, Smith DL</w:t>
      </w:r>
      <w:r>
        <w:t xml:space="preserve">. </w:t>
      </w:r>
      <w:r>
        <w:rPr>
          <w:b/>
          <w:bCs/>
        </w:rPr>
        <w:t>1994</w:t>
      </w:r>
      <w:r>
        <w:t xml:space="preserve">. MYCORRHIZAL COLONIZATION INCREASES HERBICIDE TOXICITY IN APPLE. </w:t>
      </w:r>
      <w:r>
        <w:rPr>
          <w:i/>
          <w:iCs/>
        </w:rPr>
        <w:t>Journal of the American Society for Horticultural Science</w:t>
      </w:r>
      <w:r>
        <w:t xml:space="preserve"> </w:t>
      </w:r>
      <w:r>
        <w:rPr>
          <w:b/>
          <w:bCs/>
        </w:rPr>
        <w:t>119</w:t>
      </w:r>
      <w:r>
        <w:t>: 1255–1260.</w:t>
      </w:r>
    </w:p>
    <w:p w:rsidR="00EC4E93" w:rsidRDefault="00EC4E93" w:rsidP="00F00459">
      <w:pPr>
        <w:pStyle w:val="Bibliography"/>
      </w:pPr>
      <w:r>
        <w:rPr>
          <w:b/>
          <w:bCs/>
        </w:rPr>
        <w:t>Hao Z, Fayolle L, Tuinen D van, Chatagnier O, Li X, Gianinazzi S, Gianinazzi-Pearson V</w:t>
      </w:r>
      <w:r>
        <w:t xml:space="preserve">. </w:t>
      </w:r>
      <w:r>
        <w:rPr>
          <w:b/>
          <w:bCs/>
        </w:rPr>
        <w:t>2012</w:t>
      </w:r>
      <w:r>
        <w:t xml:space="preserve">. Local and systemic mycorrhiza-induced protection against the ectoparasitic nematode Xiphinema index involves priming of defence gene responses in grapevine. </w:t>
      </w:r>
      <w:r>
        <w:rPr>
          <w:i/>
          <w:iCs/>
        </w:rPr>
        <w:t>Journal of Experimental Botany</w:t>
      </w:r>
      <w:r>
        <w:t xml:space="preserve"> </w:t>
      </w:r>
      <w:r>
        <w:rPr>
          <w:b/>
          <w:bCs/>
        </w:rPr>
        <w:t>63</w:t>
      </w:r>
      <w:r>
        <w:t>: 3657–3672.</w:t>
      </w:r>
    </w:p>
    <w:p w:rsidR="00EC4E93" w:rsidRDefault="00EC4E93" w:rsidP="00F00459">
      <w:pPr>
        <w:pStyle w:val="Bibliography"/>
      </w:pPr>
      <w:r>
        <w:rPr>
          <w:b/>
          <w:bCs/>
        </w:rPr>
        <w:t>Harrier LA, Watson CA</w:t>
      </w:r>
      <w:r>
        <w:t xml:space="preserve">. </w:t>
      </w:r>
      <w:r>
        <w:rPr>
          <w:b/>
          <w:bCs/>
        </w:rPr>
        <w:t>2004</w:t>
      </w:r>
      <w:r>
        <w:t xml:space="preserve">. The potential role of arbuscular mycorrhizal (AM) fungi in the bioprotection of plants against soil-borne pathogens in organic and/or other sustainable farming systems. </w:t>
      </w:r>
      <w:r>
        <w:rPr>
          <w:i/>
          <w:iCs/>
        </w:rPr>
        <w:t>Pest Management Science</w:t>
      </w:r>
      <w:r>
        <w:t xml:space="preserve"> </w:t>
      </w:r>
      <w:r>
        <w:rPr>
          <w:b/>
          <w:bCs/>
        </w:rPr>
        <w:t>60</w:t>
      </w:r>
      <w:r>
        <w:t>: 149–157.</w:t>
      </w:r>
    </w:p>
    <w:p w:rsidR="00EC4E93" w:rsidRDefault="00EC4E93" w:rsidP="00F00459">
      <w:pPr>
        <w:pStyle w:val="Bibliography"/>
      </w:pPr>
      <w:r>
        <w:rPr>
          <w:b/>
          <w:bCs/>
        </w:rPr>
        <w:t>Hart M, Reader R</w:t>
      </w:r>
      <w:r>
        <w:t xml:space="preserve">. </w:t>
      </w:r>
      <w:r>
        <w:rPr>
          <w:b/>
          <w:bCs/>
        </w:rPr>
        <w:t>2002</w:t>
      </w:r>
      <w:r>
        <w:t xml:space="preserve">. Host plant benefit from association with arbuscular mycorrhizal fungi: variation due to differences in size of mycelium. </w:t>
      </w:r>
      <w:r>
        <w:rPr>
          <w:i/>
          <w:iCs/>
        </w:rPr>
        <w:t>Biology and Fertility of Soils</w:t>
      </w:r>
      <w:r>
        <w:t xml:space="preserve"> </w:t>
      </w:r>
      <w:r>
        <w:rPr>
          <w:b/>
          <w:bCs/>
        </w:rPr>
        <w:t>36</w:t>
      </w:r>
      <w:r>
        <w:t>: 357–366.</w:t>
      </w:r>
    </w:p>
    <w:p w:rsidR="00EC4E93" w:rsidRDefault="00EC4E93" w:rsidP="00F00459">
      <w:pPr>
        <w:pStyle w:val="Bibliography"/>
      </w:pPr>
      <w:r>
        <w:rPr>
          <w:b/>
          <w:bCs/>
        </w:rPr>
        <w:lastRenderedPageBreak/>
        <w:t>Hazard C, Gosling P, van der Gast CJ, Mitchell DT, Doohan FM, Bending GD</w:t>
      </w:r>
      <w:r>
        <w:t xml:space="preserve">. </w:t>
      </w:r>
      <w:r>
        <w:rPr>
          <w:b/>
          <w:bCs/>
        </w:rPr>
        <w:t>2013</w:t>
      </w:r>
      <w:r>
        <w:t xml:space="preserve">. The role of local environment and geographical distance in determining community composition of arbuscular mycorrhizal fungi at the landscape scale. </w:t>
      </w:r>
      <w:r>
        <w:rPr>
          <w:i/>
          <w:iCs/>
        </w:rPr>
        <w:t>The ISME journal</w:t>
      </w:r>
      <w:r>
        <w:t xml:space="preserve"> </w:t>
      </w:r>
      <w:r>
        <w:rPr>
          <w:b/>
          <w:bCs/>
        </w:rPr>
        <w:t>7</w:t>
      </w:r>
      <w:r>
        <w:t>: 498–508.</w:t>
      </w:r>
    </w:p>
    <w:p w:rsidR="00EC4E93" w:rsidRDefault="00EC4E93" w:rsidP="00F00459">
      <w:pPr>
        <w:pStyle w:val="Bibliography"/>
      </w:pPr>
      <w:r>
        <w:rPr>
          <w:b/>
          <w:bCs/>
        </w:rPr>
        <w:t>van der Heijden MGA</w:t>
      </w:r>
      <w:r>
        <w:t xml:space="preserve">. </w:t>
      </w:r>
      <w:r>
        <w:rPr>
          <w:b/>
          <w:bCs/>
        </w:rPr>
        <w:t>2010</w:t>
      </w:r>
      <w:r>
        <w:t xml:space="preserve">. Mycorrhizal fungi reduce nutrient loss from model grassland ecosystems. </w:t>
      </w:r>
      <w:r>
        <w:rPr>
          <w:i/>
          <w:iCs/>
        </w:rPr>
        <w:t>Ecology</w:t>
      </w:r>
      <w:r>
        <w:t xml:space="preserve"> </w:t>
      </w:r>
      <w:r>
        <w:rPr>
          <w:b/>
          <w:bCs/>
        </w:rPr>
        <w:t>91</w:t>
      </w:r>
      <w:r>
        <w:t>: 1163–1171.</w:t>
      </w:r>
    </w:p>
    <w:p w:rsidR="00EC4E93" w:rsidRDefault="00EC4E93" w:rsidP="00F00459">
      <w:pPr>
        <w:pStyle w:val="Bibliography"/>
      </w:pPr>
      <w:r>
        <w:rPr>
          <w:b/>
          <w:bCs/>
        </w:rPr>
        <w:t>van der Heijden MGA, Bardgett RD, Van Straalen NM</w:t>
      </w:r>
      <w:r>
        <w:t xml:space="preserve">. </w:t>
      </w:r>
      <w:r>
        <w:rPr>
          <w:b/>
          <w:bCs/>
        </w:rPr>
        <w:t>2008</w:t>
      </w:r>
      <w:r>
        <w:t xml:space="preserve">. The unseen majority: soil microbes as drivers of plant diversity and productivity in terrestrial ecosystems. </w:t>
      </w:r>
      <w:r>
        <w:rPr>
          <w:i/>
          <w:iCs/>
        </w:rPr>
        <w:t>Ecology Letters</w:t>
      </w:r>
      <w:r>
        <w:t xml:space="preserve"> </w:t>
      </w:r>
      <w:r>
        <w:rPr>
          <w:b/>
          <w:bCs/>
        </w:rPr>
        <w:t>11</w:t>
      </w:r>
      <w:r>
        <w:t>: 296–310.</w:t>
      </w:r>
    </w:p>
    <w:p w:rsidR="00EC4E93" w:rsidRDefault="00EC4E93" w:rsidP="00F00459">
      <w:pPr>
        <w:pStyle w:val="Bibliography"/>
      </w:pPr>
      <w:r>
        <w:rPr>
          <w:b/>
          <w:bCs/>
        </w:rPr>
        <w:t>van der Heijden MGA, Klironomos JN, Ursic M, Moutoglis P, Streitwolf-Engel R, Boller T, Wiemken A, Sanders IR</w:t>
      </w:r>
      <w:r>
        <w:t xml:space="preserve">. </w:t>
      </w:r>
      <w:r>
        <w:rPr>
          <w:b/>
          <w:bCs/>
        </w:rPr>
        <w:t>1998</w:t>
      </w:r>
      <w:r>
        <w:t xml:space="preserve">. Mycorrhizal fungal diversity determines plant biodiversity, ecosystem variability and productivity. </w:t>
      </w:r>
      <w:r>
        <w:rPr>
          <w:i/>
          <w:iCs/>
        </w:rPr>
        <w:t>Nature</w:t>
      </w:r>
      <w:r>
        <w:t xml:space="preserve"> </w:t>
      </w:r>
      <w:r>
        <w:rPr>
          <w:b/>
          <w:bCs/>
        </w:rPr>
        <w:t>396</w:t>
      </w:r>
      <w:r>
        <w:t>: 69–72.</w:t>
      </w:r>
    </w:p>
    <w:p w:rsidR="00EC4E93" w:rsidRDefault="00EC4E93" w:rsidP="00F00459">
      <w:pPr>
        <w:pStyle w:val="Bibliography"/>
      </w:pPr>
      <w:r>
        <w:rPr>
          <w:b/>
          <w:bCs/>
        </w:rPr>
        <w:t>Heinemeyer A, Fitter AH</w:t>
      </w:r>
      <w:r>
        <w:t xml:space="preserve">. </w:t>
      </w:r>
      <w:r>
        <w:rPr>
          <w:b/>
          <w:bCs/>
        </w:rPr>
        <w:t>2004</w:t>
      </w:r>
      <w:r>
        <w:t xml:space="preserve">. Impact of temperature on the arbuscular mycorrhizal (AM) symbiosis: growth responses of the host plant and its AM fungal partner. </w:t>
      </w:r>
      <w:r>
        <w:rPr>
          <w:i/>
          <w:iCs/>
        </w:rPr>
        <w:t>Journal of Experimental Botany</w:t>
      </w:r>
      <w:r>
        <w:t xml:space="preserve"> </w:t>
      </w:r>
      <w:r>
        <w:rPr>
          <w:b/>
          <w:bCs/>
        </w:rPr>
        <w:t>55</w:t>
      </w:r>
      <w:r>
        <w:t>: 525–534.</w:t>
      </w:r>
    </w:p>
    <w:p w:rsidR="00EC4E93" w:rsidRDefault="00EC4E93" w:rsidP="00F00459">
      <w:pPr>
        <w:pStyle w:val="Bibliography"/>
      </w:pPr>
      <w:r>
        <w:rPr>
          <w:b/>
          <w:bCs/>
        </w:rPr>
        <w:t>Helgason T, Daniell TJ, Husband R, Fitter AH, Young JPW</w:t>
      </w:r>
      <w:r>
        <w:t xml:space="preserve">. </w:t>
      </w:r>
      <w:r>
        <w:rPr>
          <w:b/>
          <w:bCs/>
        </w:rPr>
        <w:t>1998</w:t>
      </w:r>
      <w:r>
        <w:t xml:space="preserve">. Ploughing up the wood-wide web? </w:t>
      </w:r>
      <w:r>
        <w:rPr>
          <w:i/>
          <w:iCs/>
        </w:rPr>
        <w:t>Nature</w:t>
      </w:r>
      <w:r>
        <w:t xml:space="preserve"> </w:t>
      </w:r>
      <w:r>
        <w:rPr>
          <w:b/>
          <w:bCs/>
        </w:rPr>
        <w:t>394</w:t>
      </w:r>
      <w:r>
        <w:t>: 431–431.</w:t>
      </w:r>
    </w:p>
    <w:p w:rsidR="00EC4E93" w:rsidRDefault="00EC4E93" w:rsidP="00F00459">
      <w:pPr>
        <w:pStyle w:val="Bibliography"/>
      </w:pPr>
      <w:r>
        <w:rPr>
          <w:b/>
          <w:bCs/>
        </w:rPr>
        <w:t>Hepper CM, Azcon-Aguilar C, Rosendahl S, Sen R</w:t>
      </w:r>
      <w:r>
        <w:t xml:space="preserve">. </w:t>
      </w:r>
      <w:r>
        <w:rPr>
          <w:b/>
          <w:bCs/>
        </w:rPr>
        <w:t>1988</w:t>
      </w:r>
      <w:r>
        <w:t xml:space="preserve">. Competition Between Three Species of Glomus Used as Spatially Separated Introduced and Indigenous Mycorrhizal Inocula for Leek (Allium porrum L.). </w:t>
      </w:r>
      <w:r>
        <w:rPr>
          <w:i/>
          <w:iCs/>
        </w:rPr>
        <w:t>The New Phytologist</w:t>
      </w:r>
      <w:r>
        <w:t xml:space="preserve"> </w:t>
      </w:r>
      <w:r>
        <w:rPr>
          <w:b/>
          <w:bCs/>
        </w:rPr>
        <w:t>110</w:t>
      </w:r>
      <w:r>
        <w:t>: 207–215.</w:t>
      </w:r>
    </w:p>
    <w:p w:rsidR="00EC4E93" w:rsidRDefault="00EC4E93" w:rsidP="00F00459">
      <w:pPr>
        <w:pStyle w:val="Bibliography"/>
      </w:pPr>
      <w:r>
        <w:rPr>
          <w:b/>
          <w:bCs/>
        </w:rPr>
        <w:t>Hetrick B, Wilson G, Cox T</w:t>
      </w:r>
      <w:r>
        <w:t xml:space="preserve">. </w:t>
      </w:r>
      <w:r>
        <w:rPr>
          <w:b/>
          <w:bCs/>
        </w:rPr>
        <w:t>1993</w:t>
      </w:r>
      <w:r>
        <w:t xml:space="preserve">. Mycorrhizal Dependence of Modern Wheat Cultivars and Ancestors - a Synthesis. </w:t>
      </w:r>
      <w:r>
        <w:rPr>
          <w:i/>
          <w:iCs/>
        </w:rPr>
        <w:t>Canadian Journal of Botany-Revue Canadienne De Botanique</w:t>
      </w:r>
      <w:r>
        <w:t xml:space="preserve"> </w:t>
      </w:r>
      <w:r>
        <w:rPr>
          <w:b/>
          <w:bCs/>
        </w:rPr>
        <w:t>71</w:t>
      </w:r>
      <w:r>
        <w:t>: 512–518.</w:t>
      </w:r>
    </w:p>
    <w:p w:rsidR="00EC4E93" w:rsidRDefault="00EC4E93" w:rsidP="00F00459">
      <w:pPr>
        <w:pStyle w:val="Bibliography"/>
      </w:pPr>
      <w:r>
        <w:rPr>
          <w:b/>
          <w:bCs/>
        </w:rPr>
        <w:t>Hetrick B a. D, Wilson GWT, Todd TC</w:t>
      </w:r>
      <w:r>
        <w:t xml:space="preserve">. </w:t>
      </w:r>
      <w:r>
        <w:rPr>
          <w:b/>
          <w:bCs/>
        </w:rPr>
        <w:t>1996</w:t>
      </w:r>
      <w:r>
        <w:t xml:space="preserve">. Mycorrhizal response in wheat cultivars: Relationship to phosphorus. </w:t>
      </w:r>
      <w:r>
        <w:rPr>
          <w:i/>
          <w:iCs/>
        </w:rPr>
        <w:t>Canadian Journal of Botany-Revue Canadienne De Botanique</w:t>
      </w:r>
      <w:r>
        <w:t xml:space="preserve"> </w:t>
      </w:r>
      <w:r>
        <w:rPr>
          <w:b/>
          <w:bCs/>
        </w:rPr>
        <w:t>74</w:t>
      </w:r>
      <w:r>
        <w:t>: 19–25.</w:t>
      </w:r>
    </w:p>
    <w:p w:rsidR="00EC4E93" w:rsidRDefault="00EC4E93" w:rsidP="00F00459">
      <w:pPr>
        <w:pStyle w:val="Bibliography"/>
      </w:pPr>
      <w:r>
        <w:rPr>
          <w:b/>
          <w:bCs/>
        </w:rPr>
        <w:t>Hiiesalu I, Pärtel M, Davison J, Gerhold P, Metsis M, Moora M, Öpik M, Vasar M, Zobel M, Wilson SD</w:t>
      </w:r>
      <w:r>
        <w:t xml:space="preserve">. </w:t>
      </w:r>
      <w:r>
        <w:rPr>
          <w:b/>
          <w:bCs/>
        </w:rPr>
        <w:t>2014</w:t>
      </w:r>
      <w:r>
        <w:t xml:space="preserve">. Species richness of arbuscular mycorrhizal fungi: associations with grassland plant richness and biomass. </w:t>
      </w:r>
      <w:r>
        <w:rPr>
          <w:i/>
          <w:iCs/>
        </w:rPr>
        <w:t>New Phytologist</w:t>
      </w:r>
      <w:r>
        <w:t xml:space="preserve"> </w:t>
      </w:r>
      <w:r>
        <w:rPr>
          <w:b/>
          <w:bCs/>
        </w:rPr>
        <w:t>203</w:t>
      </w:r>
      <w:r>
        <w:t>: 233–244.</w:t>
      </w:r>
    </w:p>
    <w:p w:rsidR="00EC4E93" w:rsidRDefault="00EC4E93" w:rsidP="00F00459">
      <w:pPr>
        <w:pStyle w:val="Bibliography"/>
      </w:pPr>
      <w:r>
        <w:rPr>
          <w:b/>
          <w:bCs/>
        </w:rPr>
        <w:t>Hijri I, Sykorova Z, Oehl F, Ineichen K, Maeder P, Wiemken A, Redecker D</w:t>
      </w:r>
      <w:r>
        <w:t xml:space="preserve">. </w:t>
      </w:r>
      <w:r>
        <w:rPr>
          <w:b/>
          <w:bCs/>
        </w:rPr>
        <w:t>2006</w:t>
      </w:r>
      <w:r>
        <w:t xml:space="preserve">. Communities of arbuscular mycorrhizal fungi in arable soils are not necessarily low in diversity. </w:t>
      </w:r>
      <w:r>
        <w:rPr>
          <w:i/>
          <w:iCs/>
        </w:rPr>
        <w:t>Molecular Ecology</w:t>
      </w:r>
      <w:r>
        <w:t xml:space="preserve"> </w:t>
      </w:r>
      <w:r>
        <w:rPr>
          <w:b/>
          <w:bCs/>
        </w:rPr>
        <w:t>15</w:t>
      </w:r>
      <w:r>
        <w:t>: 2277–2289.</w:t>
      </w:r>
    </w:p>
    <w:p w:rsidR="00EC4E93" w:rsidRDefault="00EC4E93" w:rsidP="00F00459">
      <w:pPr>
        <w:pStyle w:val="Bibliography"/>
      </w:pPr>
      <w:r>
        <w:rPr>
          <w:b/>
          <w:bCs/>
        </w:rPr>
        <w:t>Hodge A, Fitter AH</w:t>
      </w:r>
      <w:r>
        <w:t xml:space="preserve">. </w:t>
      </w:r>
      <w:r>
        <w:rPr>
          <w:b/>
          <w:bCs/>
        </w:rPr>
        <w:t>2010</w:t>
      </w:r>
      <w:r>
        <w:t xml:space="preserve">. Substantial nitrogen acquisition by arbuscular mycorrhizal fungi from organic material has implications for N cycling. </w:t>
      </w:r>
      <w:r>
        <w:rPr>
          <w:i/>
          <w:iCs/>
        </w:rPr>
        <w:t>Proceedings of the National Academy of Sciences of the United States of America</w:t>
      </w:r>
      <w:r>
        <w:t xml:space="preserve"> </w:t>
      </w:r>
      <w:r>
        <w:rPr>
          <w:b/>
          <w:bCs/>
        </w:rPr>
        <w:t>107</w:t>
      </w:r>
      <w:r>
        <w:t>: 13754–13759.</w:t>
      </w:r>
    </w:p>
    <w:p w:rsidR="00EC4E93" w:rsidRDefault="00EC4E93" w:rsidP="00F00459">
      <w:pPr>
        <w:pStyle w:val="Bibliography"/>
      </w:pPr>
      <w:r>
        <w:rPr>
          <w:b/>
          <w:bCs/>
        </w:rPr>
        <w:t>Hoffmann D, Vierheilig H, Riegler P, Schausberger P</w:t>
      </w:r>
      <w:r>
        <w:t xml:space="preserve">. </w:t>
      </w:r>
      <w:r>
        <w:rPr>
          <w:b/>
          <w:bCs/>
        </w:rPr>
        <w:t>2009</w:t>
      </w:r>
      <w:r>
        <w:t xml:space="preserve">. Arbuscular mycorrhizal symbiosis increases host plant acceptance and population growth rates of the two-spotted spider mite Tetranychus urticae. </w:t>
      </w:r>
      <w:r>
        <w:rPr>
          <w:i/>
          <w:iCs/>
        </w:rPr>
        <w:t>Oecologia</w:t>
      </w:r>
      <w:r>
        <w:t xml:space="preserve"> </w:t>
      </w:r>
      <w:r>
        <w:rPr>
          <w:b/>
          <w:bCs/>
        </w:rPr>
        <w:t>158</w:t>
      </w:r>
      <w:r>
        <w:t>: 663–671.</w:t>
      </w:r>
    </w:p>
    <w:p w:rsidR="00EC4E93" w:rsidRDefault="00EC4E93" w:rsidP="00F00459">
      <w:pPr>
        <w:pStyle w:val="Bibliography"/>
      </w:pPr>
      <w:r>
        <w:rPr>
          <w:b/>
          <w:bCs/>
        </w:rPr>
        <w:t>Hole DG, Perkins AJ, Wilson JD, Alexander IH, Grice PV, Evans AD</w:t>
      </w:r>
      <w:r>
        <w:t xml:space="preserve">. </w:t>
      </w:r>
      <w:r>
        <w:rPr>
          <w:b/>
          <w:bCs/>
        </w:rPr>
        <w:t>2005</w:t>
      </w:r>
      <w:r>
        <w:t xml:space="preserve">. Does organic farming benefit biodiversity? </w:t>
      </w:r>
      <w:r>
        <w:rPr>
          <w:i/>
          <w:iCs/>
        </w:rPr>
        <w:t>Biological Conservation</w:t>
      </w:r>
      <w:r>
        <w:t xml:space="preserve"> </w:t>
      </w:r>
      <w:r>
        <w:rPr>
          <w:b/>
          <w:bCs/>
        </w:rPr>
        <w:t>122</w:t>
      </w:r>
      <w:r>
        <w:t>: 113–130.</w:t>
      </w:r>
    </w:p>
    <w:p w:rsidR="00EC4E93" w:rsidRDefault="00EC4E93" w:rsidP="00F00459">
      <w:pPr>
        <w:pStyle w:val="Bibliography"/>
      </w:pPr>
      <w:r>
        <w:rPr>
          <w:b/>
          <w:bCs/>
        </w:rPr>
        <w:t>Holste EK, Holl KD, Zahawi RA, Kobe RK</w:t>
      </w:r>
      <w:r>
        <w:t xml:space="preserve">. </w:t>
      </w:r>
      <w:r>
        <w:rPr>
          <w:b/>
          <w:bCs/>
        </w:rPr>
        <w:t>2016</w:t>
      </w:r>
      <w:r>
        <w:t xml:space="preserve">. Reduced aboveground tree growth associated with higher arbuscular mycorrhizal fungal diversity in tropical forest restoration. </w:t>
      </w:r>
      <w:r>
        <w:rPr>
          <w:i/>
          <w:iCs/>
        </w:rPr>
        <w:t>Ecology and Evolution</w:t>
      </w:r>
      <w:r>
        <w:t xml:space="preserve"> </w:t>
      </w:r>
      <w:r>
        <w:rPr>
          <w:b/>
          <w:bCs/>
        </w:rPr>
        <w:t>6</w:t>
      </w:r>
      <w:r>
        <w:t>: 7253–7262.</w:t>
      </w:r>
    </w:p>
    <w:p w:rsidR="00EC4E93" w:rsidRDefault="00EC4E93" w:rsidP="00F00459">
      <w:pPr>
        <w:pStyle w:val="Bibliography"/>
      </w:pPr>
      <w:r>
        <w:rPr>
          <w:b/>
          <w:bCs/>
        </w:rPr>
        <w:lastRenderedPageBreak/>
        <w:t>Husband R, Herre EA, Young JPW</w:t>
      </w:r>
      <w:r>
        <w:t xml:space="preserve">. </w:t>
      </w:r>
      <w:r>
        <w:rPr>
          <w:b/>
          <w:bCs/>
        </w:rPr>
        <w:t>2002</w:t>
      </w:r>
      <w:r>
        <w:t xml:space="preserve">. Temporal variation in the arbuscular mycorrhizal communities colonising seedlings in a tropical forest. </w:t>
      </w:r>
      <w:r>
        <w:rPr>
          <w:i/>
          <w:iCs/>
        </w:rPr>
        <w:t>FEMS Microbiology Ecology</w:t>
      </w:r>
      <w:r>
        <w:t xml:space="preserve"> </w:t>
      </w:r>
      <w:r>
        <w:rPr>
          <w:b/>
          <w:bCs/>
        </w:rPr>
        <w:t>42</w:t>
      </w:r>
      <w:r>
        <w:t>: 131–136.</w:t>
      </w:r>
    </w:p>
    <w:p w:rsidR="00EC4E93" w:rsidRDefault="00EC4E93" w:rsidP="00F00459">
      <w:pPr>
        <w:pStyle w:val="Bibliography"/>
      </w:pPr>
      <w:r>
        <w:rPr>
          <w:b/>
          <w:bCs/>
        </w:rPr>
        <w:t>IPCC</w:t>
      </w:r>
      <w:r>
        <w:t xml:space="preserve">. </w:t>
      </w:r>
      <w:r>
        <w:rPr>
          <w:b/>
          <w:bCs/>
        </w:rPr>
        <w:t>2014</w:t>
      </w:r>
      <w:r>
        <w:t xml:space="preserve">. </w:t>
      </w:r>
      <w:r>
        <w:rPr>
          <w:i/>
          <w:iCs/>
        </w:rPr>
        <w:t>Climate Change 2014: Synthesis Report. Contribution of Working Groups I, II and III to the Fifth Assessment Report of the Intergovernmental Panel on Climate Change</w:t>
      </w:r>
      <w:r>
        <w:t>. Geneva, Switzerland: Core Writing Team R.K. Pachauri and L.A. Meyer (eds.).</w:t>
      </w:r>
    </w:p>
    <w:p w:rsidR="00EC4E93" w:rsidRDefault="00EC4E93" w:rsidP="00F00459">
      <w:pPr>
        <w:pStyle w:val="Bibliography"/>
      </w:pPr>
      <w:r>
        <w:rPr>
          <w:b/>
          <w:bCs/>
        </w:rPr>
        <w:t>Jandrić Z, Haughey SA, Frew RD, McComb K, Galvin-King P, Elliott CT, Cannavan A</w:t>
      </w:r>
      <w:r>
        <w:t xml:space="preserve">. </w:t>
      </w:r>
      <w:r>
        <w:rPr>
          <w:b/>
          <w:bCs/>
        </w:rPr>
        <w:t>2015</w:t>
      </w:r>
      <w:r>
        <w:t xml:space="preserve">. Discrimination of honey of different floral origins by a combination of various chemical parameters. </w:t>
      </w:r>
      <w:r>
        <w:rPr>
          <w:i/>
          <w:iCs/>
        </w:rPr>
        <w:t>Food Chemistry</w:t>
      </w:r>
      <w:r>
        <w:t xml:space="preserve"> </w:t>
      </w:r>
      <w:r>
        <w:rPr>
          <w:b/>
          <w:bCs/>
        </w:rPr>
        <w:t>189</w:t>
      </w:r>
      <w:r>
        <w:t>: 52–59.</w:t>
      </w:r>
    </w:p>
    <w:p w:rsidR="00EC4E93" w:rsidRDefault="00EC4E93" w:rsidP="00F00459">
      <w:pPr>
        <w:pStyle w:val="Bibliography"/>
      </w:pPr>
      <w:r>
        <w:rPr>
          <w:b/>
          <w:bCs/>
        </w:rPr>
        <w:t>Janouskova M, Pavlikova D, Vosatka M</w:t>
      </w:r>
      <w:r>
        <w:t xml:space="preserve">. </w:t>
      </w:r>
      <w:r>
        <w:rPr>
          <w:b/>
          <w:bCs/>
        </w:rPr>
        <w:t>2006</w:t>
      </w:r>
      <w:r>
        <w:t xml:space="preserve">. Potential contribution of arbuscular mycorrhiza to cadmium immobilisation in soil. </w:t>
      </w:r>
      <w:r>
        <w:rPr>
          <w:i/>
          <w:iCs/>
        </w:rPr>
        <w:t>Chemosphere</w:t>
      </w:r>
      <w:r>
        <w:t xml:space="preserve"> </w:t>
      </w:r>
      <w:r>
        <w:rPr>
          <w:b/>
          <w:bCs/>
        </w:rPr>
        <w:t>65</w:t>
      </w:r>
      <w:r>
        <w:t>: 1959–1965.</w:t>
      </w:r>
    </w:p>
    <w:p w:rsidR="00EC4E93" w:rsidRDefault="00EC4E93" w:rsidP="00F00459">
      <w:pPr>
        <w:pStyle w:val="Bibliography"/>
      </w:pPr>
      <w:r>
        <w:rPr>
          <w:b/>
          <w:bCs/>
        </w:rPr>
        <w:t>Jansa J, Erb A, Oberholzer H-R, Šmilauer P, Egli S</w:t>
      </w:r>
      <w:r>
        <w:t xml:space="preserve">. </w:t>
      </w:r>
      <w:r>
        <w:rPr>
          <w:b/>
          <w:bCs/>
        </w:rPr>
        <w:t>2014</w:t>
      </w:r>
      <w:r>
        <w:t xml:space="preserve">. Soil and geography are more important determinants of indigenous arbuscular mycorrhizal communities than management practices in Swiss agricultural soils. </w:t>
      </w:r>
      <w:r>
        <w:rPr>
          <w:i/>
          <w:iCs/>
        </w:rPr>
        <w:t>Molecular Ecology</w:t>
      </w:r>
      <w:r>
        <w:t xml:space="preserve"> </w:t>
      </w:r>
      <w:r>
        <w:rPr>
          <w:b/>
          <w:bCs/>
        </w:rPr>
        <w:t>23</w:t>
      </w:r>
      <w:r>
        <w:t>: 2118–2135.</w:t>
      </w:r>
    </w:p>
    <w:p w:rsidR="00EC4E93" w:rsidRDefault="00EC4E93" w:rsidP="00F00459">
      <w:pPr>
        <w:pStyle w:val="Bibliography"/>
      </w:pPr>
      <w:r>
        <w:rPr>
          <w:b/>
          <w:bCs/>
        </w:rPr>
        <w:t>Jansa J, Mozafar A, Anken T, Ruh R, Sanders IR, Frossard E</w:t>
      </w:r>
      <w:r>
        <w:t xml:space="preserve">. </w:t>
      </w:r>
      <w:r>
        <w:rPr>
          <w:b/>
          <w:bCs/>
        </w:rPr>
        <w:t>2002</w:t>
      </w:r>
      <w:r>
        <w:t xml:space="preserve">. Diversity and structure of AMF communities as affected by tillage in a temperate soil. </w:t>
      </w:r>
      <w:r>
        <w:rPr>
          <w:i/>
          <w:iCs/>
        </w:rPr>
        <w:t>Mycorrhiza</w:t>
      </w:r>
      <w:r>
        <w:t xml:space="preserve"> </w:t>
      </w:r>
      <w:r>
        <w:rPr>
          <w:b/>
          <w:bCs/>
        </w:rPr>
        <w:t>12</w:t>
      </w:r>
      <w:r>
        <w:t>: 225–234.</w:t>
      </w:r>
    </w:p>
    <w:p w:rsidR="00EC4E93" w:rsidRDefault="00EC4E93" w:rsidP="00F00459">
      <w:pPr>
        <w:pStyle w:val="Bibliography"/>
      </w:pPr>
      <w:r>
        <w:rPr>
          <w:b/>
          <w:bCs/>
        </w:rPr>
        <w:t>Jansa J, Mozafar A, Frossard E</w:t>
      </w:r>
      <w:r>
        <w:t xml:space="preserve">. </w:t>
      </w:r>
      <w:r>
        <w:rPr>
          <w:b/>
          <w:bCs/>
        </w:rPr>
        <w:t>2005</w:t>
      </w:r>
      <w:r>
        <w:t xml:space="preserve">. Phosphorus Acquisition Strategies within Arbuscular Mycorrhizal Fungal Community of a Single Field Site. </w:t>
      </w:r>
      <w:r>
        <w:rPr>
          <w:i/>
          <w:iCs/>
        </w:rPr>
        <w:t>Plant and Soil</w:t>
      </w:r>
      <w:r>
        <w:t xml:space="preserve"> </w:t>
      </w:r>
      <w:r>
        <w:rPr>
          <w:b/>
          <w:bCs/>
        </w:rPr>
        <w:t>276</w:t>
      </w:r>
      <w:r>
        <w:t>: 163–176.</w:t>
      </w:r>
    </w:p>
    <w:p w:rsidR="00EC4E93" w:rsidRDefault="00EC4E93" w:rsidP="00F00459">
      <w:pPr>
        <w:pStyle w:val="Bibliography"/>
      </w:pPr>
      <w:r>
        <w:rPr>
          <w:b/>
          <w:bCs/>
        </w:rPr>
        <w:t>Jansa J, Mozafar A, Kuhn G, Anken T, Ruh R, Sanders IR, Frossard E</w:t>
      </w:r>
      <w:r>
        <w:t xml:space="preserve">. </w:t>
      </w:r>
      <w:r>
        <w:rPr>
          <w:b/>
          <w:bCs/>
        </w:rPr>
        <w:t>2003</w:t>
      </w:r>
      <w:r>
        <w:t xml:space="preserve">. Soil Tillage Affects the Community Structure of Mycorrhizal Fungi in Maize Roots. </w:t>
      </w:r>
      <w:r>
        <w:rPr>
          <w:i/>
          <w:iCs/>
        </w:rPr>
        <w:t>Ecological Applications</w:t>
      </w:r>
      <w:r>
        <w:t xml:space="preserve"> </w:t>
      </w:r>
      <w:r>
        <w:rPr>
          <w:b/>
          <w:bCs/>
        </w:rPr>
        <w:t>13</w:t>
      </w:r>
      <w:r>
        <w:t>: 1164–1176.</w:t>
      </w:r>
    </w:p>
    <w:p w:rsidR="00EC4E93" w:rsidRDefault="00EC4E93" w:rsidP="00F00459">
      <w:pPr>
        <w:pStyle w:val="Bibliography"/>
      </w:pPr>
      <w:r>
        <w:rPr>
          <w:b/>
          <w:bCs/>
        </w:rPr>
        <w:t>Jansa J, Rezacova V, Smilauer P, Oberholzer H-R, Egli S</w:t>
      </w:r>
      <w:r>
        <w:t xml:space="preserve">. </w:t>
      </w:r>
      <w:r>
        <w:rPr>
          <w:b/>
          <w:bCs/>
        </w:rPr>
        <w:t>2016</w:t>
      </w:r>
      <w:r>
        <w:t xml:space="preserve">. Root colonization of bait plants by indigenous arbuscular mycorrhizal fungal communities is not a suitable indicator of agricultural land-use legacy. </w:t>
      </w:r>
      <w:r>
        <w:rPr>
          <w:i/>
          <w:iCs/>
        </w:rPr>
        <w:t>Agriculture Ecosystems &amp; Environment</w:t>
      </w:r>
      <w:r>
        <w:t xml:space="preserve"> </w:t>
      </w:r>
      <w:r>
        <w:rPr>
          <w:b/>
          <w:bCs/>
        </w:rPr>
        <w:t>231</w:t>
      </w:r>
      <w:r>
        <w:t>: 310–319.</w:t>
      </w:r>
    </w:p>
    <w:p w:rsidR="00EC4E93" w:rsidRDefault="00EC4E93" w:rsidP="00F00459">
      <w:pPr>
        <w:pStyle w:val="Bibliography"/>
      </w:pPr>
      <w:r>
        <w:rPr>
          <w:b/>
          <w:bCs/>
        </w:rPr>
        <w:t>Johnson NC, Angelard C, Sanders IR, Kiers ET</w:t>
      </w:r>
      <w:r>
        <w:t xml:space="preserve">. </w:t>
      </w:r>
      <w:r>
        <w:rPr>
          <w:b/>
          <w:bCs/>
        </w:rPr>
        <w:t>2013</w:t>
      </w:r>
      <w:r>
        <w:t xml:space="preserve">. Predicting community and ecosystem outcomes of mycorrhizal responses to global change. </w:t>
      </w:r>
      <w:r>
        <w:rPr>
          <w:i/>
          <w:iCs/>
        </w:rPr>
        <w:t>Ecology Letters</w:t>
      </w:r>
      <w:r>
        <w:t xml:space="preserve"> </w:t>
      </w:r>
      <w:r>
        <w:rPr>
          <w:b/>
          <w:bCs/>
        </w:rPr>
        <w:t>16</w:t>
      </w:r>
      <w:r>
        <w:t>: 140–153.</w:t>
      </w:r>
    </w:p>
    <w:p w:rsidR="00EC4E93" w:rsidRDefault="00EC4E93" w:rsidP="00F00459">
      <w:pPr>
        <w:pStyle w:val="Bibliography"/>
      </w:pPr>
      <w:r>
        <w:rPr>
          <w:b/>
          <w:bCs/>
        </w:rPr>
        <w:t>Johnson D, Leake JR, Read DJ</w:t>
      </w:r>
      <w:r>
        <w:t xml:space="preserve">. </w:t>
      </w:r>
      <w:r>
        <w:rPr>
          <w:b/>
          <w:bCs/>
        </w:rPr>
        <w:t>2005</w:t>
      </w:r>
      <w:r>
        <w:t xml:space="preserve">. Liming and nitrogen fertilization affects phosphatase activities, microbial biomass and mycorrhizal colonisation in upland grassland. </w:t>
      </w:r>
      <w:r>
        <w:rPr>
          <w:i/>
          <w:iCs/>
        </w:rPr>
        <w:t>Plant and Soil</w:t>
      </w:r>
      <w:r>
        <w:t xml:space="preserve"> </w:t>
      </w:r>
      <w:r>
        <w:rPr>
          <w:b/>
          <w:bCs/>
        </w:rPr>
        <w:t>271</w:t>
      </w:r>
      <w:r>
        <w:t>: 157–164.</w:t>
      </w:r>
    </w:p>
    <w:p w:rsidR="00EC4E93" w:rsidRDefault="00EC4E93" w:rsidP="00F00459">
      <w:pPr>
        <w:pStyle w:val="Bibliography"/>
      </w:pPr>
      <w:r>
        <w:rPr>
          <w:b/>
          <w:bCs/>
        </w:rPr>
        <w:t>Johnson NC, Rowland DL, Corkida L, Egerton-Warburton LM, Allen E.</w:t>
      </w:r>
      <w:r>
        <w:t xml:space="preserve"> </w:t>
      </w:r>
      <w:r>
        <w:rPr>
          <w:b/>
          <w:bCs/>
        </w:rPr>
        <w:t>2003</w:t>
      </w:r>
      <w:r>
        <w:t xml:space="preserve">. Nitrogen enrichment alters mycorrhizal allocation at five semiarid grassland. </w:t>
      </w:r>
      <w:r>
        <w:rPr>
          <w:i/>
          <w:iCs/>
        </w:rPr>
        <w:t>Ecology</w:t>
      </w:r>
      <w:r>
        <w:t xml:space="preserve"> </w:t>
      </w:r>
      <w:r>
        <w:rPr>
          <w:b/>
          <w:bCs/>
        </w:rPr>
        <w:t>84</w:t>
      </w:r>
      <w:r>
        <w:t>: 1895–1908.</w:t>
      </w:r>
    </w:p>
    <w:p w:rsidR="00EC4E93" w:rsidRDefault="00EC4E93" w:rsidP="00F00459">
      <w:pPr>
        <w:pStyle w:val="Bibliography"/>
      </w:pPr>
      <w:r>
        <w:rPr>
          <w:b/>
          <w:bCs/>
        </w:rPr>
        <w:t>Jung SC, Martinez-Medina A, Lopez-Raez JA, Pozo MJ</w:t>
      </w:r>
      <w:r>
        <w:t xml:space="preserve">. </w:t>
      </w:r>
      <w:r>
        <w:rPr>
          <w:b/>
          <w:bCs/>
        </w:rPr>
        <w:t>2012</w:t>
      </w:r>
      <w:r>
        <w:t xml:space="preserve">. Mycorrhiza-Induced Resistance and Priming of Plant Defenses. </w:t>
      </w:r>
      <w:r>
        <w:rPr>
          <w:i/>
          <w:iCs/>
        </w:rPr>
        <w:t>Journal of Chemical Ecology</w:t>
      </w:r>
      <w:r>
        <w:t xml:space="preserve"> </w:t>
      </w:r>
      <w:r>
        <w:rPr>
          <w:b/>
          <w:bCs/>
        </w:rPr>
        <w:t>38</w:t>
      </w:r>
      <w:r>
        <w:t>: 651–664.</w:t>
      </w:r>
    </w:p>
    <w:p w:rsidR="00EC4E93" w:rsidRDefault="00EC4E93" w:rsidP="00F00459">
      <w:pPr>
        <w:pStyle w:val="Bibliography"/>
      </w:pPr>
      <w:r>
        <w:rPr>
          <w:b/>
          <w:bCs/>
        </w:rPr>
        <w:t>Juniper BE</w:t>
      </w:r>
      <w:r>
        <w:t xml:space="preserve">. </w:t>
      </w:r>
      <w:r>
        <w:rPr>
          <w:b/>
          <w:bCs/>
        </w:rPr>
        <w:t>2007</w:t>
      </w:r>
      <w:r>
        <w:t xml:space="preserve">. The Mysterious Origin of the Sweet Apple: On its way to a grocery counter near you, this delicious fruit traversed continents and mastered coevolution. </w:t>
      </w:r>
      <w:r>
        <w:rPr>
          <w:i/>
          <w:iCs/>
        </w:rPr>
        <w:t>American Scientist</w:t>
      </w:r>
      <w:r>
        <w:t xml:space="preserve"> </w:t>
      </w:r>
      <w:r>
        <w:rPr>
          <w:b/>
          <w:bCs/>
        </w:rPr>
        <w:t>95</w:t>
      </w:r>
      <w:r>
        <w:t>: 44–51.</w:t>
      </w:r>
    </w:p>
    <w:p w:rsidR="00EC4E93" w:rsidRDefault="00EC4E93" w:rsidP="00F00459">
      <w:pPr>
        <w:pStyle w:val="Bibliography"/>
      </w:pPr>
      <w:r>
        <w:rPr>
          <w:b/>
          <w:bCs/>
        </w:rPr>
        <w:t>Juniper S, Abbott LK</w:t>
      </w:r>
      <w:r>
        <w:t xml:space="preserve">. </w:t>
      </w:r>
      <w:r>
        <w:rPr>
          <w:b/>
          <w:bCs/>
        </w:rPr>
        <w:t>2006</w:t>
      </w:r>
      <w:r>
        <w:t xml:space="preserve">. Soil salinity delays germination and limits growth of hyphae from propagules of arbuscular mycorrhizal fungi. </w:t>
      </w:r>
      <w:r>
        <w:rPr>
          <w:i/>
          <w:iCs/>
        </w:rPr>
        <w:t>Mycorrhiza</w:t>
      </w:r>
      <w:r>
        <w:t xml:space="preserve"> </w:t>
      </w:r>
      <w:r>
        <w:rPr>
          <w:b/>
          <w:bCs/>
        </w:rPr>
        <w:t>16</w:t>
      </w:r>
      <w:r>
        <w:t>: 371–379.</w:t>
      </w:r>
    </w:p>
    <w:p w:rsidR="00EC4E93" w:rsidRDefault="00EC4E93" w:rsidP="00F00459">
      <w:pPr>
        <w:pStyle w:val="Bibliography"/>
      </w:pPr>
      <w:r>
        <w:rPr>
          <w:b/>
          <w:bCs/>
        </w:rPr>
        <w:t>Kahiluoto H, Ketoja E, Vestberg M, Saarela I</w:t>
      </w:r>
      <w:r>
        <w:t xml:space="preserve">. </w:t>
      </w:r>
      <w:r>
        <w:rPr>
          <w:b/>
          <w:bCs/>
        </w:rPr>
        <w:t>2001</w:t>
      </w:r>
      <w:r>
        <w:t xml:space="preserve">. Promotion of AM utilization through reduced P fertilization 2. Field studies. </w:t>
      </w:r>
      <w:r>
        <w:rPr>
          <w:i/>
          <w:iCs/>
        </w:rPr>
        <w:t>Plant and Soil</w:t>
      </w:r>
      <w:r>
        <w:t xml:space="preserve"> </w:t>
      </w:r>
      <w:r>
        <w:rPr>
          <w:b/>
          <w:bCs/>
        </w:rPr>
        <w:t>231</w:t>
      </w:r>
      <w:r>
        <w:t>: 65–79.</w:t>
      </w:r>
    </w:p>
    <w:p w:rsidR="00EC4E93" w:rsidRDefault="00EC4E93" w:rsidP="00F00459">
      <w:pPr>
        <w:pStyle w:val="Bibliography"/>
      </w:pPr>
      <w:r>
        <w:rPr>
          <w:b/>
          <w:bCs/>
        </w:rPr>
        <w:lastRenderedPageBreak/>
        <w:t xml:space="preserve">Kiers ET, Duhamel M, Beesetty Y, Mensah JA, Franken O, Verbruggen E, Fellbaum CR, Kowalchuk GA, Hart MM, Bago A, </w:t>
      </w:r>
      <w:r>
        <w:rPr>
          <w:b/>
          <w:bCs/>
          <w:i/>
          <w:iCs/>
        </w:rPr>
        <w:t>et al.</w:t>
      </w:r>
      <w:r>
        <w:t xml:space="preserve"> </w:t>
      </w:r>
      <w:r>
        <w:rPr>
          <w:b/>
          <w:bCs/>
        </w:rPr>
        <w:t>2011</w:t>
      </w:r>
      <w:r>
        <w:t xml:space="preserve">. Reciprocal Rewards Stabilize Cooperation in the Mycorrhizal Symbiosis. </w:t>
      </w:r>
      <w:r>
        <w:rPr>
          <w:i/>
          <w:iCs/>
        </w:rPr>
        <w:t>Science</w:t>
      </w:r>
      <w:r>
        <w:t xml:space="preserve"> </w:t>
      </w:r>
      <w:r>
        <w:rPr>
          <w:b/>
          <w:bCs/>
        </w:rPr>
        <w:t>333</w:t>
      </w:r>
      <w:r>
        <w:t>: 880–882.</w:t>
      </w:r>
    </w:p>
    <w:p w:rsidR="00EC4E93" w:rsidRDefault="00EC4E93" w:rsidP="00F00459">
      <w:pPr>
        <w:pStyle w:val="Bibliography"/>
      </w:pPr>
      <w:r>
        <w:rPr>
          <w:b/>
          <w:bCs/>
        </w:rPr>
        <w:t>Klironomos JN</w:t>
      </w:r>
      <w:r>
        <w:t xml:space="preserve">. </w:t>
      </w:r>
      <w:r>
        <w:rPr>
          <w:b/>
          <w:bCs/>
        </w:rPr>
        <w:t>2003</w:t>
      </w:r>
      <w:r>
        <w:t xml:space="preserve">. Variation in Plant Response to Native and Exotic Arbuscular Mycorrhizal Fungi. </w:t>
      </w:r>
      <w:r>
        <w:rPr>
          <w:i/>
          <w:iCs/>
        </w:rPr>
        <w:t>Ecology</w:t>
      </w:r>
      <w:r>
        <w:t xml:space="preserve"> </w:t>
      </w:r>
      <w:r>
        <w:rPr>
          <w:b/>
          <w:bCs/>
        </w:rPr>
        <w:t>84</w:t>
      </w:r>
      <w:r>
        <w:t>: 2292–2301.</w:t>
      </w:r>
    </w:p>
    <w:p w:rsidR="00EC4E93" w:rsidRDefault="00EC4E93" w:rsidP="00F00459">
      <w:pPr>
        <w:pStyle w:val="Bibliography"/>
      </w:pPr>
      <w:r>
        <w:rPr>
          <w:b/>
          <w:bCs/>
        </w:rPr>
        <w:t>Köhl L, van der Heijden MGA</w:t>
      </w:r>
      <w:r>
        <w:t xml:space="preserve">. </w:t>
      </w:r>
      <w:r>
        <w:rPr>
          <w:b/>
          <w:bCs/>
        </w:rPr>
        <w:t>2016</w:t>
      </w:r>
      <w:r>
        <w:t xml:space="preserve">. Arbuscular mycorrhizal fungal species differ in their effect on nutrient leaching. </w:t>
      </w:r>
      <w:r>
        <w:rPr>
          <w:i/>
          <w:iCs/>
        </w:rPr>
        <w:t>Soil Biology and Biochemistry</w:t>
      </w:r>
      <w:r>
        <w:t xml:space="preserve"> </w:t>
      </w:r>
      <w:r>
        <w:rPr>
          <w:b/>
          <w:bCs/>
        </w:rPr>
        <w:t>94</w:t>
      </w:r>
      <w:r>
        <w:t>: 191–199.</w:t>
      </w:r>
    </w:p>
    <w:p w:rsidR="00EC4E93" w:rsidRDefault="00EC4E93" w:rsidP="00F00459">
      <w:pPr>
        <w:pStyle w:val="Bibliography"/>
      </w:pPr>
      <w:r>
        <w:rPr>
          <w:b/>
          <w:bCs/>
        </w:rPr>
        <w:t>Kohl L, Oehl F, van der Heijden MGA</w:t>
      </w:r>
      <w:r>
        <w:t xml:space="preserve">. </w:t>
      </w:r>
      <w:r>
        <w:rPr>
          <w:b/>
          <w:bCs/>
        </w:rPr>
        <w:t>2014</w:t>
      </w:r>
      <w:r>
        <w:t xml:space="preserve">. Agricultural practices indirectly influence plant productivity and ecosystem services through effects on soil biota. </w:t>
      </w:r>
      <w:r>
        <w:rPr>
          <w:i/>
          <w:iCs/>
        </w:rPr>
        <w:t>Ecological Applications</w:t>
      </w:r>
      <w:r>
        <w:t xml:space="preserve"> </w:t>
      </w:r>
      <w:r>
        <w:rPr>
          <w:b/>
          <w:bCs/>
        </w:rPr>
        <w:t>24</w:t>
      </w:r>
      <w:r>
        <w:t>: 1842–1853.</w:t>
      </w:r>
    </w:p>
    <w:p w:rsidR="00EC4E93" w:rsidRDefault="00EC4E93" w:rsidP="00F00459">
      <w:pPr>
        <w:pStyle w:val="Bibliography"/>
      </w:pPr>
      <w:r>
        <w:rPr>
          <w:b/>
          <w:bCs/>
        </w:rPr>
        <w:t>Koide RT, Peoples MS</w:t>
      </w:r>
      <w:r>
        <w:t xml:space="preserve">. </w:t>
      </w:r>
      <w:r>
        <w:rPr>
          <w:b/>
          <w:bCs/>
        </w:rPr>
        <w:t>2012</w:t>
      </w:r>
      <w:r>
        <w:t xml:space="preserve">. On the nature of temporary yield loss in maize following canola. </w:t>
      </w:r>
      <w:r>
        <w:rPr>
          <w:i/>
          <w:iCs/>
        </w:rPr>
        <w:t>Plant and Soil</w:t>
      </w:r>
      <w:r>
        <w:t xml:space="preserve"> </w:t>
      </w:r>
      <w:r>
        <w:rPr>
          <w:b/>
          <w:bCs/>
        </w:rPr>
        <w:t>360</w:t>
      </w:r>
      <w:r>
        <w:t>: 259–269.</w:t>
      </w:r>
    </w:p>
    <w:p w:rsidR="00EC4E93" w:rsidRDefault="00EC4E93" w:rsidP="00F00459">
      <w:pPr>
        <w:pStyle w:val="Bibliography"/>
      </w:pPr>
      <w:r>
        <w:rPr>
          <w:b/>
          <w:bCs/>
        </w:rPr>
        <w:t>Krishna H, Das B, Attri BL, Grover M, Ahmed N</w:t>
      </w:r>
      <w:r>
        <w:t xml:space="preserve">. </w:t>
      </w:r>
      <w:r>
        <w:rPr>
          <w:b/>
          <w:bCs/>
        </w:rPr>
        <w:t>2010</w:t>
      </w:r>
      <w:r>
        <w:t xml:space="preserve">. Suppression of Botryosphaeria canker of apple by arbuscular mycorrhizal fungi. </w:t>
      </w:r>
      <w:r>
        <w:rPr>
          <w:i/>
          <w:iCs/>
        </w:rPr>
        <w:t>Crop Protection</w:t>
      </w:r>
      <w:r>
        <w:t xml:space="preserve"> </w:t>
      </w:r>
      <w:r>
        <w:rPr>
          <w:b/>
          <w:bCs/>
        </w:rPr>
        <w:t>29</w:t>
      </w:r>
      <w:r>
        <w:t>: 1049–1054.</w:t>
      </w:r>
    </w:p>
    <w:p w:rsidR="00EC4E93" w:rsidRDefault="00EC4E93" w:rsidP="00F00459">
      <w:pPr>
        <w:pStyle w:val="Bibliography"/>
      </w:pPr>
      <w:r>
        <w:rPr>
          <w:b/>
          <w:bCs/>
        </w:rPr>
        <w:t>Lacombe S, Bradley RL, Hamel C, Beaulieu C</w:t>
      </w:r>
      <w:r>
        <w:t xml:space="preserve">. </w:t>
      </w:r>
      <w:r>
        <w:rPr>
          <w:b/>
          <w:bCs/>
        </w:rPr>
        <w:t>2009</w:t>
      </w:r>
      <w:r>
        <w:t xml:space="preserve">. Do tree-based intercropping systems increase the diversity and stability of soil microbial communities? </w:t>
      </w:r>
      <w:r>
        <w:rPr>
          <w:i/>
          <w:iCs/>
        </w:rPr>
        <w:t>Agriculture, Ecosystems &amp; Environment</w:t>
      </w:r>
      <w:r>
        <w:t xml:space="preserve"> </w:t>
      </w:r>
      <w:r>
        <w:rPr>
          <w:b/>
          <w:bCs/>
        </w:rPr>
        <w:t>131</w:t>
      </w:r>
      <w:r>
        <w:t>: 25–31.</w:t>
      </w:r>
    </w:p>
    <w:p w:rsidR="00EC4E93" w:rsidRDefault="00EC4E93" w:rsidP="00F00459">
      <w:pPr>
        <w:pStyle w:val="Bibliography"/>
      </w:pPr>
      <w:r>
        <w:rPr>
          <w:b/>
          <w:bCs/>
        </w:rPr>
        <w:t>Lau JA, Lennon JT</w:t>
      </w:r>
      <w:r>
        <w:t xml:space="preserve">. </w:t>
      </w:r>
      <w:r>
        <w:rPr>
          <w:b/>
          <w:bCs/>
        </w:rPr>
        <w:t>2011</w:t>
      </w:r>
      <w:r>
        <w:t xml:space="preserve">. Evolutionary ecology of plant-microbe interactions: soil microbial structure alters selection on plant traits. </w:t>
      </w:r>
      <w:r>
        <w:rPr>
          <w:i/>
          <w:iCs/>
        </w:rPr>
        <w:t>The New Phytologist</w:t>
      </w:r>
      <w:r>
        <w:t xml:space="preserve"> </w:t>
      </w:r>
      <w:r>
        <w:rPr>
          <w:b/>
          <w:bCs/>
        </w:rPr>
        <w:t>192</w:t>
      </w:r>
      <w:r>
        <w:t>: 215–224.</w:t>
      </w:r>
    </w:p>
    <w:p w:rsidR="00EC4E93" w:rsidRDefault="00EC4E93" w:rsidP="00F00459">
      <w:pPr>
        <w:pStyle w:val="Bibliography"/>
      </w:pPr>
      <w:r>
        <w:rPr>
          <w:b/>
          <w:bCs/>
        </w:rPr>
        <w:t>Leake J, Johnson D, Donnelly D, Muckle G, Boddy L, Read D</w:t>
      </w:r>
      <w:r>
        <w:t xml:space="preserve">. </w:t>
      </w:r>
      <w:r>
        <w:rPr>
          <w:b/>
          <w:bCs/>
        </w:rPr>
        <w:t>2004</w:t>
      </w:r>
      <w:r>
        <w:t xml:space="preserve">. Networks of power and influence: the role of mycorrhizal mycelium in controlling plant communities and agroecosystem functioning. </w:t>
      </w:r>
      <w:r>
        <w:rPr>
          <w:i/>
          <w:iCs/>
        </w:rPr>
        <w:t>Canadian Journal of Botany</w:t>
      </w:r>
      <w:r>
        <w:t xml:space="preserve"> </w:t>
      </w:r>
      <w:r>
        <w:rPr>
          <w:b/>
          <w:bCs/>
        </w:rPr>
        <w:t>82</w:t>
      </w:r>
      <w:r>
        <w:t>: 1016–1045.</w:t>
      </w:r>
    </w:p>
    <w:p w:rsidR="00EC4E93" w:rsidRDefault="00EC4E93" w:rsidP="00F00459">
      <w:pPr>
        <w:pStyle w:val="Bibliography"/>
      </w:pPr>
      <w:r>
        <w:rPr>
          <w:b/>
          <w:bCs/>
        </w:rPr>
        <w:t>Lee J, Lee S, Young JPW</w:t>
      </w:r>
      <w:r>
        <w:t xml:space="preserve">. </w:t>
      </w:r>
      <w:r>
        <w:rPr>
          <w:b/>
          <w:bCs/>
        </w:rPr>
        <w:t>2008</w:t>
      </w:r>
      <w:r>
        <w:t xml:space="preserve">. Improved PCR primers for the detection and identification of arbuscular mycorrhizal fungi. </w:t>
      </w:r>
      <w:r>
        <w:rPr>
          <w:i/>
          <w:iCs/>
        </w:rPr>
        <w:t>FEMS Microbiology Ecology</w:t>
      </w:r>
      <w:r>
        <w:t xml:space="preserve"> </w:t>
      </w:r>
      <w:r>
        <w:rPr>
          <w:b/>
          <w:bCs/>
        </w:rPr>
        <w:t>65</w:t>
      </w:r>
      <w:r>
        <w:t>: 339–349.</w:t>
      </w:r>
    </w:p>
    <w:p w:rsidR="00EC4E93" w:rsidRDefault="00EC4E93" w:rsidP="00F00459">
      <w:pPr>
        <w:pStyle w:val="Bibliography"/>
      </w:pPr>
      <w:r>
        <w:rPr>
          <w:b/>
          <w:bCs/>
        </w:rPr>
        <w:t>Lekberg Y, Koide RT</w:t>
      </w:r>
      <w:r>
        <w:t xml:space="preserve">. </w:t>
      </w:r>
      <w:r>
        <w:rPr>
          <w:b/>
          <w:bCs/>
        </w:rPr>
        <w:t>2005</w:t>
      </w:r>
      <w:r>
        <w:t xml:space="preserve">. Is plant performance limited by abundance of arbuscular mycorrhizal fungi? A meta-analysis of studies published between 1988 and 2003. </w:t>
      </w:r>
      <w:r>
        <w:rPr>
          <w:i/>
          <w:iCs/>
        </w:rPr>
        <w:t>The New Phytologist</w:t>
      </w:r>
      <w:r>
        <w:t xml:space="preserve"> </w:t>
      </w:r>
      <w:r>
        <w:rPr>
          <w:b/>
          <w:bCs/>
        </w:rPr>
        <w:t>168</w:t>
      </w:r>
      <w:r>
        <w:t>: 189–204.</w:t>
      </w:r>
    </w:p>
    <w:p w:rsidR="00EC4E93" w:rsidRDefault="00EC4E93" w:rsidP="00F00459">
      <w:pPr>
        <w:pStyle w:val="Bibliography"/>
      </w:pPr>
      <w:r>
        <w:rPr>
          <w:b/>
          <w:bCs/>
        </w:rPr>
        <w:t>de Leon DG, Moora M, Opik M, Neuenkamp L, Gerz M, Jairus T, Vasar M, Bueno CG, Davison J, Zobel M</w:t>
      </w:r>
      <w:r>
        <w:t xml:space="preserve">. </w:t>
      </w:r>
      <w:r>
        <w:rPr>
          <w:b/>
          <w:bCs/>
        </w:rPr>
        <w:t>2016</w:t>
      </w:r>
      <w:r>
        <w:t xml:space="preserve">. Symbiont dynamics during ecosystem succession: co-occurring plant and arbuscular mycorrhizal fungal communities. </w:t>
      </w:r>
      <w:r>
        <w:rPr>
          <w:i/>
          <w:iCs/>
        </w:rPr>
        <w:t>Fems Microbiology Ecology</w:t>
      </w:r>
      <w:r>
        <w:t xml:space="preserve"> </w:t>
      </w:r>
      <w:r>
        <w:rPr>
          <w:b/>
          <w:bCs/>
        </w:rPr>
        <w:t>92</w:t>
      </w:r>
      <w:r>
        <w:t>: UNSP fiw097.</w:t>
      </w:r>
    </w:p>
    <w:p w:rsidR="00EC4E93" w:rsidRDefault="00EC4E93" w:rsidP="00F00459">
      <w:pPr>
        <w:pStyle w:val="Bibliography"/>
      </w:pPr>
      <w:r>
        <w:rPr>
          <w:b/>
          <w:bCs/>
        </w:rPr>
        <w:t>Lioussanne L</w:t>
      </w:r>
      <w:r>
        <w:t xml:space="preserve">. </w:t>
      </w:r>
      <w:r>
        <w:rPr>
          <w:b/>
          <w:bCs/>
        </w:rPr>
        <w:t>2013</w:t>
      </w:r>
      <w:r>
        <w:t xml:space="preserve">. The role of the arbuscular mycorrhiza-associated rhizobacteria in the biocontrol of soilborne phytopathogens: a review. </w:t>
      </w:r>
      <w:r>
        <w:rPr>
          <w:i/>
          <w:iCs/>
        </w:rPr>
        <w:t>Spanish Journal of Agricultural Research</w:t>
      </w:r>
      <w:r>
        <w:t xml:space="preserve"> </w:t>
      </w:r>
      <w:r>
        <w:rPr>
          <w:b/>
          <w:bCs/>
        </w:rPr>
        <w:t>8</w:t>
      </w:r>
      <w:r>
        <w:t>: 51–61.</w:t>
      </w:r>
    </w:p>
    <w:p w:rsidR="00EC4E93" w:rsidRDefault="00EC4E93" w:rsidP="00F00459">
      <w:pPr>
        <w:pStyle w:val="Bibliography"/>
      </w:pPr>
      <w:r>
        <w:rPr>
          <w:b/>
          <w:bCs/>
        </w:rPr>
        <w:t>Liu J, Maldonado-Mendoza I, Lopez-Meyer M, Cheung F, Town CD, Harrison MJ</w:t>
      </w:r>
      <w:r>
        <w:t xml:space="preserve">. </w:t>
      </w:r>
      <w:r>
        <w:rPr>
          <w:b/>
          <w:bCs/>
        </w:rPr>
        <w:t>2007</w:t>
      </w:r>
      <w:r>
        <w:t xml:space="preserve">. Arbuscular mycorrhizal symbiosis is accompanied by local and systemic alterations in gene expression and an increase in disease resistance in the shoots. </w:t>
      </w:r>
      <w:r>
        <w:rPr>
          <w:i/>
          <w:iCs/>
        </w:rPr>
        <w:t>Plant Journal</w:t>
      </w:r>
      <w:r>
        <w:t xml:space="preserve"> </w:t>
      </w:r>
      <w:r>
        <w:rPr>
          <w:b/>
          <w:bCs/>
        </w:rPr>
        <w:t>50</w:t>
      </w:r>
      <w:r>
        <w:t>: 529–544.</w:t>
      </w:r>
    </w:p>
    <w:p w:rsidR="00EC4E93" w:rsidRDefault="00EC4E93" w:rsidP="00F00459">
      <w:pPr>
        <w:pStyle w:val="Bibliography"/>
      </w:pPr>
      <w:r>
        <w:rPr>
          <w:b/>
          <w:bCs/>
        </w:rPr>
        <w:t>Liu Y, Shi G, Mao L, Cheng G, Jiang S, Ma X, An L, Du G, Johnson NC, Feng H</w:t>
      </w:r>
      <w:r>
        <w:t xml:space="preserve">. </w:t>
      </w:r>
      <w:r>
        <w:rPr>
          <w:b/>
          <w:bCs/>
        </w:rPr>
        <w:t>2012</w:t>
      </w:r>
      <w:r>
        <w:t xml:space="preserve">. Direct and indirect influences of 8 yr of nitrogen and phosphorus fertilization on Glomeromycota in an alpine meadow ecosystem. </w:t>
      </w:r>
      <w:r>
        <w:rPr>
          <w:i/>
          <w:iCs/>
        </w:rPr>
        <w:t>New Phytologist</w:t>
      </w:r>
      <w:r>
        <w:t xml:space="preserve"> </w:t>
      </w:r>
      <w:r>
        <w:rPr>
          <w:b/>
          <w:bCs/>
        </w:rPr>
        <w:t>194</w:t>
      </w:r>
      <w:r>
        <w:t>: 523–535.</w:t>
      </w:r>
    </w:p>
    <w:p w:rsidR="00EC4E93" w:rsidRDefault="00EC4E93" w:rsidP="00F00459">
      <w:pPr>
        <w:pStyle w:val="Bibliography"/>
      </w:pPr>
      <w:r>
        <w:rPr>
          <w:b/>
          <w:bCs/>
        </w:rPr>
        <w:t>Lopez-Raez JA, Charnikhova T, Fernandez I, Bouwmeester H, Pozo MJ</w:t>
      </w:r>
      <w:r>
        <w:t xml:space="preserve">. </w:t>
      </w:r>
      <w:r>
        <w:rPr>
          <w:b/>
          <w:bCs/>
        </w:rPr>
        <w:t>2011</w:t>
      </w:r>
      <w:r>
        <w:t xml:space="preserve">. Arbuscular mycorrhizal symbiosis decreases strigolactone production in tomato. </w:t>
      </w:r>
      <w:r>
        <w:rPr>
          <w:i/>
          <w:iCs/>
        </w:rPr>
        <w:t>Journal of Plant Physiology</w:t>
      </w:r>
      <w:r>
        <w:t xml:space="preserve"> </w:t>
      </w:r>
      <w:r>
        <w:rPr>
          <w:b/>
          <w:bCs/>
        </w:rPr>
        <w:t>168</w:t>
      </w:r>
      <w:r>
        <w:t>: 294–297.</w:t>
      </w:r>
    </w:p>
    <w:p w:rsidR="00EC4E93" w:rsidRDefault="00EC4E93" w:rsidP="00F00459">
      <w:pPr>
        <w:pStyle w:val="Bibliography"/>
      </w:pPr>
      <w:r>
        <w:rPr>
          <w:b/>
          <w:bCs/>
        </w:rPr>
        <w:lastRenderedPageBreak/>
        <w:t>Loreau M, Hector A</w:t>
      </w:r>
      <w:r>
        <w:t xml:space="preserve">. </w:t>
      </w:r>
      <w:r>
        <w:rPr>
          <w:b/>
          <w:bCs/>
        </w:rPr>
        <w:t>2001</w:t>
      </w:r>
      <w:r>
        <w:t xml:space="preserve">. Partitioning selection and complementarity in biodiversity experiments. </w:t>
      </w:r>
      <w:r>
        <w:rPr>
          <w:i/>
          <w:iCs/>
        </w:rPr>
        <w:t>Nature</w:t>
      </w:r>
      <w:r>
        <w:t xml:space="preserve"> </w:t>
      </w:r>
      <w:r>
        <w:rPr>
          <w:b/>
          <w:bCs/>
        </w:rPr>
        <w:t>412</w:t>
      </w:r>
      <w:r>
        <w:t>: 72–76.</w:t>
      </w:r>
    </w:p>
    <w:p w:rsidR="00EC4E93" w:rsidRDefault="00EC4E93" w:rsidP="00F00459">
      <w:pPr>
        <w:pStyle w:val="Bibliography"/>
      </w:pPr>
      <w:r>
        <w:rPr>
          <w:b/>
          <w:bCs/>
        </w:rPr>
        <w:t>Lush M, Robertson HJ, Alexander KNA, Giavarini V, Hewins E, Mellings J, Stevenson M, Storey M, Whitehead P</w:t>
      </w:r>
      <w:r>
        <w:t xml:space="preserve">. </w:t>
      </w:r>
      <w:r>
        <w:rPr>
          <w:b/>
          <w:bCs/>
        </w:rPr>
        <w:t>2006</w:t>
      </w:r>
      <w:r>
        <w:t>. Biodiversity studies of six traditional orchards in England. In Natural England Research Information Note RIN025.</w:t>
      </w:r>
    </w:p>
    <w:p w:rsidR="00EC4E93" w:rsidRDefault="00EC4E93" w:rsidP="00F00459">
      <w:pPr>
        <w:pStyle w:val="Bibliography"/>
      </w:pPr>
      <w:r>
        <w:rPr>
          <w:b/>
          <w:bCs/>
        </w:rPr>
        <w:t>MacArthur RH, Wilson EO</w:t>
      </w:r>
      <w:r>
        <w:t xml:space="preserve">. </w:t>
      </w:r>
      <w:r>
        <w:rPr>
          <w:b/>
          <w:bCs/>
        </w:rPr>
        <w:t>1967</w:t>
      </w:r>
      <w:r>
        <w:t xml:space="preserve">. </w:t>
      </w:r>
      <w:r>
        <w:rPr>
          <w:i/>
          <w:iCs/>
        </w:rPr>
        <w:t>The theory of island biogeography</w:t>
      </w:r>
      <w:r>
        <w:t>. Princeton: Princeton University Press.</w:t>
      </w:r>
    </w:p>
    <w:p w:rsidR="00EC4E93" w:rsidRDefault="00EC4E93" w:rsidP="00F00459">
      <w:pPr>
        <w:pStyle w:val="Bibliography"/>
      </w:pPr>
      <w:r>
        <w:rPr>
          <w:b/>
          <w:bCs/>
        </w:rPr>
        <w:t>Mader P, Fliessbach A, Dubois D, Gunst L, Fried P, Niggli U</w:t>
      </w:r>
      <w:r>
        <w:t xml:space="preserve">. </w:t>
      </w:r>
      <w:r>
        <w:rPr>
          <w:b/>
          <w:bCs/>
        </w:rPr>
        <w:t>2002</w:t>
      </w:r>
      <w:r>
        <w:t xml:space="preserve">. Soil fertility and biodiversity in organic farming. </w:t>
      </w:r>
      <w:r>
        <w:rPr>
          <w:i/>
          <w:iCs/>
        </w:rPr>
        <w:t>Science</w:t>
      </w:r>
      <w:r>
        <w:t xml:space="preserve"> </w:t>
      </w:r>
      <w:r>
        <w:rPr>
          <w:b/>
          <w:bCs/>
        </w:rPr>
        <w:t>296</w:t>
      </w:r>
      <w:r>
        <w:t>: 1694–1697.</w:t>
      </w:r>
    </w:p>
    <w:p w:rsidR="00EC4E93" w:rsidRDefault="00EC4E93" w:rsidP="00F00459">
      <w:pPr>
        <w:pStyle w:val="Bibliography"/>
      </w:pPr>
      <w:r>
        <w:rPr>
          <w:b/>
          <w:bCs/>
        </w:rPr>
        <w:t>Magurran AE</w:t>
      </w:r>
      <w:r>
        <w:t xml:space="preserve">. </w:t>
      </w:r>
      <w:r>
        <w:rPr>
          <w:b/>
          <w:bCs/>
        </w:rPr>
        <w:t>2004</w:t>
      </w:r>
      <w:r>
        <w:t xml:space="preserve">. </w:t>
      </w:r>
      <w:r>
        <w:rPr>
          <w:i/>
          <w:iCs/>
        </w:rPr>
        <w:t>Measuring biological diversity</w:t>
      </w:r>
      <w:r>
        <w:t>. Oxford, UK: Blackwell Publishing.</w:t>
      </w:r>
    </w:p>
    <w:p w:rsidR="00EC4E93" w:rsidRDefault="00EC4E93" w:rsidP="00F00459">
      <w:pPr>
        <w:pStyle w:val="Bibliography"/>
      </w:pPr>
      <w:r>
        <w:rPr>
          <w:b/>
          <w:bCs/>
        </w:rPr>
        <w:t>Maherali H, Klironomos JN</w:t>
      </w:r>
      <w:r>
        <w:t xml:space="preserve">. </w:t>
      </w:r>
      <w:r>
        <w:rPr>
          <w:b/>
          <w:bCs/>
        </w:rPr>
        <w:t>2007</w:t>
      </w:r>
      <w:r>
        <w:t xml:space="preserve">. Influence of Phylogeny on fungal community assembly and ecosystem functioning. </w:t>
      </w:r>
      <w:r>
        <w:rPr>
          <w:i/>
          <w:iCs/>
        </w:rPr>
        <w:t>Science</w:t>
      </w:r>
      <w:r>
        <w:t xml:space="preserve"> </w:t>
      </w:r>
      <w:r>
        <w:rPr>
          <w:b/>
          <w:bCs/>
        </w:rPr>
        <w:t>316</w:t>
      </w:r>
      <w:r>
        <w:t>: 1746–1748.</w:t>
      </w:r>
    </w:p>
    <w:p w:rsidR="00EC4E93" w:rsidRDefault="00EC4E93" w:rsidP="00F00459">
      <w:pPr>
        <w:pStyle w:val="Bibliography"/>
      </w:pPr>
      <w:r>
        <w:rPr>
          <w:b/>
          <w:bCs/>
        </w:rPr>
        <w:t>Matsubara Y, Karikomi T, Ikuta M, Hori H, Ishikawa S, Harada T</w:t>
      </w:r>
      <w:r>
        <w:t xml:space="preserve">. </w:t>
      </w:r>
      <w:r>
        <w:rPr>
          <w:b/>
          <w:bCs/>
        </w:rPr>
        <w:t>1996</w:t>
      </w:r>
      <w:r>
        <w:t xml:space="preserve">. Effect of arbuscular Mycorrhizal fungus inoculation on growth of apple (Malus ssp) seedlings. </w:t>
      </w:r>
      <w:r>
        <w:rPr>
          <w:i/>
          <w:iCs/>
        </w:rPr>
        <w:t>Journal of the Japanese Society for Horticultural Science</w:t>
      </w:r>
      <w:r>
        <w:t xml:space="preserve"> </w:t>
      </w:r>
      <w:r>
        <w:rPr>
          <w:b/>
          <w:bCs/>
        </w:rPr>
        <w:t>65</w:t>
      </w:r>
      <w:r>
        <w:t>: 297–302.</w:t>
      </w:r>
    </w:p>
    <w:p w:rsidR="00EC4E93" w:rsidRDefault="00EC4E93" w:rsidP="00F00459">
      <w:pPr>
        <w:pStyle w:val="Bibliography"/>
      </w:pPr>
      <w:r>
        <w:rPr>
          <w:b/>
          <w:bCs/>
        </w:rPr>
        <w:t>Mcgonigle T, Miller M, Evans D, Fairchild G, Swan J</w:t>
      </w:r>
      <w:r>
        <w:t xml:space="preserve">. </w:t>
      </w:r>
      <w:r>
        <w:rPr>
          <w:b/>
          <w:bCs/>
        </w:rPr>
        <w:t>1990</w:t>
      </w:r>
      <w:r>
        <w:t xml:space="preserve">. A New Method Which Gives an Objective-Measure of Colonization of Roots. </w:t>
      </w:r>
      <w:r>
        <w:rPr>
          <w:i/>
          <w:iCs/>
        </w:rPr>
        <w:t>New Phytologist</w:t>
      </w:r>
      <w:r>
        <w:t xml:space="preserve"> </w:t>
      </w:r>
      <w:r>
        <w:rPr>
          <w:b/>
          <w:bCs/>
        </w:rPr>
        <w:t>115</w:t>
      </w:r>
      <w:r>
        <w:t>: 495–501.</w:t>
      </w:r>
    </w:p>
    <w:p w:rsidR="00EC4E93" w:rsidRDefault="00EC4E93" w:rsidP="00F00459">
      <w:pPr>
        <w:pStyle w:val="Bibliography"/>
      </w:pPr>
      <w:r>
        <w:rPr>
          <w:b/>
          <w:bCs/>
        </w:rPr>
        <w:t>McGonigle TP, Miller MH, Young D</w:t>
      </w:r>
      <w:r>
        <w:t xml:space="preserve">. </w:t>
      </w:r>
      <w:r>
        <w:rPr>
          <w:b/>
          <w:bCs/>
        </w:rPr>
        <w:t>1999</w:t>
      </w:r>
      <w:r>
        <w:t xml:space="preserve">. Mycorrhizae, crop growth, and crop phosphorus nutrition in maize-soybean rotations given various tillage treatments. </w:t>
      </w:r>
      <w:r>
        <w:rPr>
          <w:i/>
          <w:iCs/>
        </w:rPr>
        <w:t>Plant and Soil</w:t>
      </w:r>
      <w:r>
        <w:t xml:space="preserve"> </w:t>
      </w:r>
      <w:r>
        <w:rPr>
          <w:b/>
          <w:bCs/>
        </w:rPr>
        <w:t>210</w:t>
      </w:r>
      <w:r>
        <w:t>: 33–42.</w:t>
      </w:r>
    </w:p>
    <w:p w:rsidR="00EC4E93" w:rsidRDefault="00EC4E93" w:rsidP="00F00459">
      <w:pPr>
        <w:pStyle w:val="Bibliography"/>
      </w:pPr>
      <w:r>
        <w:rPr>
          <w:b/>
          <w:bCs/>
        </w:rPr>
        <w:t>Miller D, Domoto P, Walker C</w:t>
      </w:r>
      <w:r>
        <w:t xml:space="preserve">. </w:t>
      </w:r>
      <w:r>
        <w:rPr>
          <w:b/>
          <w:bCs/>
        </w:rPr>
        <w:t>1985a</w:t>
      </w:r>
      <w:r>
        <w:t xml:space="preserve">. Mycorrhizal Fungi at 18-Apple Rootstock Plantings in the United-States. </w:t>
      </w:r>
      <w:r>
        <w:rPr>
          <w:i/>
          <w:iCs/>
        </w:rPr>
        <w:t>New Phytologist</w:t>
      </w:r>
      <w:r>
        <w:t xml:space="preserve"> </w:t>
      </w:r>
      <w:r>
        <w:rPr>
          <w:b/>
          <w:bCs/>
        </w:rPr>
        <w:t>100</w:t>
      </w:r>
      <w:r>
        <w:t>: 379–391.</w:t>
      </w:r>
    </w:p>
    <w:p w:rsidR="00EC4E93" w:rsidRDefault="00EC4E93" w:rsidP="00F00459">
      <w:pPr>
        <w:pStyle w:val="Bibliography"/>
      </w:pPr>
      <w:r>
        <w:rPr>
          <w:b/>
          <w:bCs/>
        </w:rPr>
        <w:t>Miller D, Domoto P, Walker C</w:t>
      </w:r>
      <w:r>
        <w:t xml:space="preserve">. </w:t>
      </w:r>
      <w:r>
        <w:rPr>
          <w:b/>
          <w:bCs/>
        </w:rPr>
        <w:t>1985b</w:t>
      </w:r>
      <w:r>
        <w:t xml:space="preserve">. Colonization and Efficacy of Different Endomycorrhizal Fungi with Apple Seedlings at 2-Phosphorus Levels. </w:t>
      </w:r>
      <w:r>
        <w:rPr>
          <w:i/>
          <w:iCs/>
        </w:rPr>
        <w:t>New Phytologist</w:t>
      </w:r>
      <w:r>
        <w:t xml:space="preserve"> </w:t>
      </w:r>
      <w:r>
        <w:rPr>
          <w:b/>
          <w:bCs/>
        </w:rPr>
        <w:t>100</w:t>
      </w:r>
      <w:r>
        <w:t>: 393–402.</w:t>
      </w:r>
    </w:p>
    <w:p w:rsidR="00EC4E93" w:rsidRDefault="00EC4E93" w:rsidP="00F00459">
      <w:pPr>
        <w:pStyle w:val="Bibliography"/>
      </w:pPr>
      <w:r>
        <w:rPr>
          <w:b/>
          <w:bCs/>
        </w:rPr>
        <w:t>Miller RM, Reinhardt DR, Jastrow JD</w:t>
      </w:r>
      <w:r>
        <w:t xml:space="preserve">. </w:t>
      </w:r>
      <w:r>
        <w:rPr>
          <w:b/>
          <w:bCs/>
        </w:rPr>
        <w:t>1995</w:t>
      </w:r>
      <w:r>
        <w:t xml:space="preserve">. EXTERNAL HYPHAL PRODUCTION OF VESICULAR-ARBUSCULAR MYCORRHIZAL FUNGI IN PASTURE AND TALLGRASS PRAIRIE COMMUNITIES. </w:t>
      </w:r>
      <w:r>
        <w:rPr>
          <w:i/>
          <w:iCs/>
        </w:rPr>
        <w:t>Oecologia</w:t>
      </w:r>
      <w:r>
        <w:t xml:space="preserve"> </w:t>
      </w:r>
      <w:r>
        <w:rPr>
          <w:b/>
          <w:bCs/>
        </w:rPr>
        <w:t>103</w:t>
      </w:r>
      <w:r>
        <w:t>: 17–23.</w:t>
      </w:r>
    </w:p>
    <w:p w:rsidR="00EC4E93" w:rsidRDefault="00EC4E93" w:rsidP="00F00459">
      <w:pPr>
        <w:pStyle w:val="Bibliography"/>
      </w:pPr>
      <w:r>
        <w:rPr>
          <w:b/>
          <w:bCs/>
        </w:rPr>
        <w:t>Milne I, Lindner D, Bayer M, Husmeier D, McGuire G, Marshall DF, Wright F</w:t>
      </w:r>
      <w:r>
        <w:t xml:space="preserve">. </w:t>
      </w:r>
      <w:r>
        <w:rPr>
          <w:b/>
          <w:bCs/>
        </w:rPr>
        <w:t>2009</w:t>
      </w:r>
      <w:r>
        <w:t xml:space="preserve">. TOPALi v2: a rich graphical interface for evolutionary analyses of multiple alignments on HPC clusters and multi-core desktops. </w:t>
      </w:r>
      <w:r>
        <w:rPr>
          <w:i/>
          <w:iCs/>
        </w:rPr>
        <w:t>Bioinformatics (Oxford, England)</w:t>
      </w:r>
      <w:r>
        <w:t xml:space="preserve"> </w:t>
      </w:r>
      <w:r>
        <w:rPr>
          <w:b/>
          <w:bCs/>
        </w:rPr>
        <w:t>25</w:t>
      </w:r>
      <w:r>
        <w:t>: 126–127.</w:t>
      </w:r>
    </w:p>
    <w:p w:rsidR="00EC4E93" w:rsidRDefault="00EC4E93" w:rsidP="00F00459">
      <w:pPr>
        <w:pStyle w:val="Bibliography"/>
      </w:pPr>
      <w:r>
        <w:rPr>
          <w:b/>
          <w:bCs/>
        </w:rPr>
        <w:t>Miransari M</w:t>
      </w:r>
      <w:r>
        <w:t xml:space="preserve">. </w:t>
      </w:r>
      <w:r>
        <w:rPr>
          <w:b/>
          <w:bCs/>
        </w:rPr>
        <w:t>2010</w:t>
      </w:r>
      <w:r>
        <w:t xml:space="preserve">. Contribution of arbuscular mycorrhizal symbiosis to plant growth under different types of soil stress. </w:t>
      </w:r>
      <w:r>
        <w:rPr>
          <w:i/>
          <w:iCs/>
        </w:rPr>
        <w:t>Plant Biology</w:t>
      </w:r>
      <w:r>
        <w:t xml:space="preserve"> </w:t>
      </w:r>
      <w:r>
        <w:rPr>
          <w:b/>
          <w:bCs/>
        </w:rPr>
        <w:t>12</w:t>
      </w:r>
      <w:r>
        <w:t>: 563–569.</w:t>
      </w:r>
    </w:p>
    <w:p w:rsidR="00EC4E93" w:rsidRDefault="00EC4E93" w:rsidP="00F00459">
      <w:pPr>
        <w:pStyle w:val="Bibliography"/>
      </w:pPr>
      <w:r>
        <w:rPr>
          <w:b/>
          <w:bCs/>
        </w:rPr>
        <w:t>Miransari M</w:t>
      </w:r>
      <w:r>
        <w:t xml:space="preserve">. </w:t>
      </w:r>
      <w:r>
        <w:rPr>
          <w:b/>
          <w:bCs/>
        </w:rPr>
        <w:t>2011</w:t>
      </w:r>
      <w:r>
        <w:t xml:space="preserve">. Hyperaccumulators, arbuscular mycorrhizal fungi and stress of heavy metals. </w:t>
      </w:r>
      <w:r>
        <w:rPr>
          <w:i/>
          <w:iCs/>
        </w:rPr>
        <w:t>Biotechnology Advances</w:t>
      </w:r>
      <w:r>
        <w:t xml:space="preserve"> </w:t>
      </w:r>
      <w:r>
        <w:rPr>
          <w:b/>
          <w:bCs/>
        </w:rPr>
        <w:t>29</w:t>
      </w:r>
      <w:r>
        <w:t>: 645–653.</w:t>
      </w:r>
    </w:p>
    <w:p w:rsidR="00EC4E93" w:rsidRDefault="00EC4E93" w:rsidP="00F00459">
      <w:pPr>
        <w:pStyle w:val="Bibliography"/>
      </w:pPr>
      <w:r>
        <w:rPr>
          <w:b/>
          <w:bCs/>
        </w:rPr>
        <w:t>Moora M, Davison J, Öpik M, Metsis M, Saks Ü, Jairus T, Vasar M, Zobel M</w:t>
      </w:r>
      <w:r>
        <w:t xml:space="preserve">. </w:t>
      </w:r>
      <w:r>
        <w:rPr>
          <w:b/>
          <w:bCs/>
        </w:rPr>
        <w:t>2014</w:t>
      </w:r>
      <w:r>
        <w:t xml:space="preserve">. Anthropogenic land use shapes the composition and phylogenetic structure of soil arbuscular mycorrhizal fungal communities. </w:t>
      </w:r>
      <w:r>
        <w:rPr>
          <w:i/>
          <w:iCs/>
        </w:rPr>
        <w:t>FEMS Microbiology Ecology</w:t>
      </w:r>
      <w:r>
        <w:t xml:space="preserve"> </w:t>
      </w:r>
      <w:r>
        <w:rPr>
          <w:b/>
          <w:bCs/>
        </w:rPr>
        <w:t>90</w:t>
      </w:r>
      <w:r>
        <w:t>: 609–621.</w:t>
      </w:r>
    </w:p>
    <w:p w:rsidR="00EC4E93" w:rsidRDefault="00EC4E93" w:rsidP="00F00459">
      <w:pPr>
        <w:pStyle w:val="Bibliography"/>
      </w:pPr>
      <w:r>
        <w:rPr>
          <w:b/>
          <w:bCs/>
        </w:rPr>
        <w:t>Moraes RM, De Andrade Z, Bedir E, Dayan FE, Lata H, Khan I, Pereira AMS</w:t>
      </w:r>
      <w:r>
        <w:t xml:space="preserve">. </w:t>
      </w:r>
      <w:r>
        <w:rPr>
          <w:b/>
          <w:bCs/>
        </w:rPr>
        <w:t>2004</w:t>
      </w:r>
      <w:r>
        <w:t xml:space="preserve">. Arbuscular mycorrhiza improves acclimatization and increases lignan content of micropropagated mayapple (Podophyllum peltatum L.). </w:t>
      </w:r>
      <w:r>
        <w:rPr>
          <w:i/>
          <w:iCs/>
        </w:rPr>
        <w:t>Plant Science</w:t>
      </w:r>
      <w:r>
        <w:t xml:space="preserve"> </w:t>
      </w:r>
      <w:r>
        <w:rPr>
          <w:b/>
          <w:bCs/>
        </w:rPr>
        <w:t>166</w:t>
      </w:r>
      <w:r>
        <w:t>: 23–29.</w:t>
      </w:r>
    </w:p>
    <w:p w:rsidR="00EC4E93" w:rsidRDefault="00EC4E93" w:rsidP="00F00459">
      <w:pPr>
        <w:pStyle w:val="Bibliography"/>
      </w:pPr>
      <w:r>
        <w:rPr>
          <w:b/>
          <w:bCs/>
        </w:rPr>
        <w:lastRenderedPageBreak/>
        <w:t>Mosse B</w:t>
      </w:r>
      <w:r>
        <w:t xml:space="preserve">. </w:t>
      </w:r>
      <w:r>
        <w:rPr>
          <w:b/>
          <w:bCs/>
        </w:rPr>
        <w:t>1957</w:t>
      </w:r>
      <w:r>
        <w:t xml:space="preserve">. Growth and chemical composition of mycorrhizal and non-mycorrhizal apple seedlings. </w:t>
      </w:r>
      <w:r>
        <w:rPr>
          <w:i/>
          <w:iCs/>
        </w:rPr>
        <w:t>Nature</w:t>
      </w:r>
      <w:r>
        <w:t xml:space="preserve"> </w:t>
      </w:r>
      <w:r>
        <w:rPr>
          <w:b/>
          <w:bCs/>
        </w:rPr>
        <w:t>179</w:t>
      </w:r>
      <w:r>
        <w:t>: 923–924.</w:t>
      </w:r>
    </w:p>
    <w:p w:rsidR="00EC4E93" w:rsidRDefault="00EC4E93" w:rsidP="00F00459">
      <w:pPr>
        <w:pStyle w:val="Bibliography"/>
      </w:pPr>
      <w:r>
        <w:rPr>
          <w:b/>
          <w:bCs/>
        </w:rPr>
        <w:t>NACM</w:t>
      </w:r>
      <w:r>
        <w:t xml:space="preserve">. </w:t>
      </w:r>
      <w:r>
        <w:rPr>
          <w:b/>
          <w:bCs/>
        </w:rPr>
        <w:t>2016</w:t>
      </w:r>
      <w:r>
        <w:t>. UK Cider Market | The National Association of Cider Makers.</w:t>
      </w:r>
    </w:p>
    <w:p w:rsidR="00EC4E93" w:rsidRDefault="00EC4E93" w:rsidP="00F00459">
      <w:pPr>
        <w:pStyle w:val="Bibliography"/>
      </w:pPr>
      <w:r>
        <w:rPr>
          <w:b/>
          <w:bCs/>
        </w:rPr>
        <w:t>Nagy R, Drissner D, Amrhein N, Jakobsen I, Bucher M</w:t>
      </w:r>
      <w:r>
        <w:t xml:space="preserve">. </w:t>
      </w:r>
      <w:r>
        <w:rPr>
          <w:b/>
          <w:bCs/>
        </w:rPr>
        <w:t>2009</w:t>
      </w:r>
      <w:r>
        <w:t xml:space="preserve">. Mycorrhizal phosphate uptake pathway in tomato is phosphorus-repressible and transcriptionally regulated. </w:t>
      </w:r>
      <w:r>
        <w:rPr>
          <w:i/>
          <w:iCs/>
        </w:rPr>
        <w:t>New Phytologist</w:t>
      </w:r>
      <w:r>
        <w:t xml:space="preserve"> </w:t>
      </w:r>
      <w:r>
        <w:rPr>
          <w:b/>
          <w:bCs/>
        </w:rPr>
        <w:t>181</w:t>
      </w:r>
      <w:r>
        <w:t>: 950–959.</w:t>
      </w:r>
    </w:p>
    <w:p w:rsidR="00EC4E93" w:rsidRDefault="00EC4E93" w:rsidP="00F00459">
      <w:pPr>
        <w:pStyle w:val="Bibliography"/>
      </w:pPr>
      <w:r>
        <w:rPr>
          <w:b/>
          <w:bCs/>
        </w:rPr>
        <w:t>Natural England</w:t>
      </w:r>
      <w:r>
        <w:t xml:space="preserve">. </w:t>
      </w:r>
      <w:r>
        <w:rPr>
          <w:b/>
          <w:bCs/>
        </w:rPr>
        <w:t>2011</w:t>
      </w:r>
      <w:r>
        <w:t>. Traditional orchard project in England. Natural England commissioned report NEC077.</w:t>
      </w:r>
    </w:p>
    <w:p w:rsidR="00EC4E93" w:rsidRDefault="00EC4E93" w:rsidP="00F00459">
      <w:pPr>
        <w:pStyle w:val="Bibliography"/>
      </w:pPr>
      <w:r>
        <w:rPr>
          <w:b/>
          <w:bCs/>
        </w:rPr>
        <w:t>Nicholas K, Nicholas H</w:t>
      </w:r>
      <w:r>
        <w:t xml:space="preserve">. </w:t>
      </w:r>
      <w:r>
        <w:rPr>
          <w:b/>
          <w:bCs/>
        </w:rPr>
        <w:t>1997</w:t>
      </w:r>
      <w:r>
        <w:t xml:space="preserve">. GeneDoc: a tool for editing and annotating multiple sequence alignments. </w:t>
      </w:r>
      <w:r>
        <w:rPr>
          <w:i/>
          <w:iCs/>
        </w:rPr>
        <w:t>Distributed by the author.  http://www.psc.edu/biomed/genedoc</w:t>
      </w:r>
      <w:r>
        <w:t>.</w:t>
      </w:r>
    </w:p>
    <w:p w:rsidR="00EC4E93" w:rsidRDefault="00EC4E93" w:rsidP="00F00459">
      <w:pPr>
        <w:pStyle w:val="Bibliography"/>
      </w:pPr>
      <w:r>
        <w:rPr>
          <w:b/>
          <w:bCs/>
        </w:rPr>
        <w:t>Nishida T, Katayama N, Izumi N, Ohgushi T</w:t>
      </w:r>
      <w:r>
        <w:t xml:space="preserve">. </w:t>
      </w:r>
      <w:r>
        <w:rPr>
          <w:b/>
          <w:bCs/>
        </w:rPr>
        <w:t>2010</w:t>
      </w:r>
      <w:r>
        <w:t xml:space="preserve">. Arbuscular mycorrhizal fungi species-specifically affect induced plant responses to a spider mite. </w:t>
      </w:r>
      <w:r>
        <w:rPr>
          <w:i/>
          <w:iCs/>
        </w:rPr>
        <w:t>Population Ecology</w:t>
      </w:r>
      <w:r>
        <w:t xml:space="preserve"> </w:t>
      </w:r>
      <w:r>
        <w:rPr>
          <w:b/>
          <w:bCs/>
        </w:rPr>
        <w:t>52</w:t>
      </w:r>
      <w:r>
        <w:t>: 507–515.</w:t>
      </w:r>
    </w:p>
    <w:p w:rsidR="00EC4E93" w:rsidRDefault="00EC4E93" w:rsidP="00F00459">
      <w:pPr>
        <w:pStyle w:val="Bibliography"/>
      </w:pPr>
      <w:r>
        <w:rPr>
          <w:b/>
          <w:bCs/>
        </w:rPr>
        <w:t>Norman JR, Hooker JE</w:t>
      </w:r>
      <w:r>
        <w:t xml:space="preserve">. </w:t>
      </w:r>
      <w:r>
        <w:rPr>
          <w:b/>
          <w:bCs/>
        </w:rPr>
        <w:t>2000</w:t>
      </w:r>
      <w:r>
        <w:t xml:space="preserve">. Sporulation of Phytophthora fragariae shows greater stimulation by exudates of non-mycorrhizal than by mycorrhizal strawberry roots. </w:t>
      </w:r>
      <w:r>
        <w:rPr>
          <w:i/>
          <w:iCs/>
        </w:rPr>
        <w:t>Mycological Research</w:t>
      </w:r>
      <w:r>
        <w:t xml:space="preserve"> </w:t>
      </w:r>
      <w:r>
        <w:rPr>
          <w:b/>
          <w:bCs/>
        </w:rPr>
        <w:t>104</w:t>
      </w:r>
      <w:r>
        <w:t>: 1069–1073.</w:t>
      </w:r>
    </w:p>
    <w:p w:rsidR="00EC4E93" w:rsidRDefault="00EC4E93" w:rsidP="00F00459">
      <w:pPr>
        <w:pStyle w:val="Bibliography"/>
      </w:pPr>
      <w:r>
        <w:rPr>
          <w:b/>
          <w:bCs/>
        </w:rPr>
        <w:t>Oades JM</w:t>
      </w:r>
      <w:r>
        <w:t xml:space="preserve">. </w:t>
      </w:r>
      <w:r>
        <w:rPr>
          <w:b/>
          <w:bCs/>
        </w:rPr>
        <w:t>1984</w:t>
      </w:r>
      <w:r>
        <w:t xml:space="preserve">. SOIL ORGANIC-MATTER AND STRUCTURAL STABILITY - MECHANISMS AND IMPLICATIONS FOR MANAGEMENT. </w:t>
      </w:r>
      <w:r>
        <w:rPr>
          <w:i/>
          <w:iCs/>
        </w:rPr>
        <w:t>Plant and Soil</w:t>
      </w:r>
      <w:r>
        <w:t xml:space="preserve"> </w:t>
      </w:r>
      <w:r>
        <w:rPr>
          <w:b/>
          <w:bCs/>
        </w:rPr>
        <w:t>76</w:t>
      </w:r>
      <w:r>
        <w:t>: 319–337.</w:t>
      </w:r>
    </w:p>
    <w:p w:rsidR="00EC4E93" w:rsidRDefault="00EC4E93" w:rsidP="00F00459">
      <w:pPr>
        <w:pStyle w:val="Bibliography"/>
      </w:pPr>
      <w:r>
        <w:rPr>
          <w:b/>
          <w:bCs/>
        </w:rPr>
        <w:t>Oehl F, Sieverding E, Ineichen K, Mäder P, Boller T, Wiemken A</w:t>
      </w:r>
      <w:r>
        <w:t xml:space="preserve">. </w:t>
      </w:r>
      <w:r>
        <w:rPr>
          <w:b/>
          <w:bCs/>
        </w:rPr>
        <w:t>2003</w:t>
      </w:r>
      <w:r>
        <w:t xml:space="preserve">. Impact of Land Use Intensity on the Species Diversity of Arbuscular Mycorrhizal Fungi in Agroecosystems of Central Europe. </w:t>
      </w:r>
      <w:r>
        <w:rPr>
          <w:i/>
          <w:iCs/>
        </w:rPr>
        <w:t>Applied and Environmental Microbiology</w:t>
      </w:r>
      <w:r>
        <w:t xml:space="preserve"> </w:t>
      </w:r>
      <w:r>
        <w:rPr>
          <w:b/>
          <w:bCs/>
        </w:rPr>
        <w:t>69</w:t>
      </w:r>
      <w:r>
        <w:t>: 2816–2824.</w:t>
      </w:r>
    </w:p>
    <w:p w:rsidR="00EC4E93" w:rsidRDefault="00EC4E93" w:rsidP="00F00459">
      <w:pPr>
        <w:pStyle w:val="Bibliography"/>
      </w:pPr>
      <w:r>
        <w:rPr>
          <w:b/>
          <w:bCs/>
        </w:rPr>
        <w:t>Oehl F, Sieverding E, M</w:t>
      </w:r>
      <w:r>
        <w:rPr>
          <w:rFonts w:ascii="Tahoma" w:hAnsi="Tahoma" w:cs="Tahoma"/>
          <w:b/>
          <w:bCs/>
        </w:rPr>
        <w:t>�</w:t>
      </w:r>
      <w:r>
        <w:rPr>
          <w:b/>
          <w:bCs/>
        </w:rPr>
        <w:t>der P, Dubois D, Ineichen K, Boller T, Wiemken A</w:t>
      </w:r>
      <w:r>
        <w:t xml:space="preserve">. </w:t>
      </w:r>
      <w:r>
        <w:rPr>
          <w:b/>
          <w:bCs/>
        </w:rPr>
        <w:t>2004</w:t>
      </w:r>
      <w:r>
        <w:t xml:space="preserve">. Impact of long-term conventional and organic farming on the diversity of arbuscular mycorrhizal fungi. </w:t>
      </w:r>
      <w:r>
        <w:rPr>
          <w:i/>
          <w:iCs/>
        </w:rPr>
        <w:t>Oecologia</w:t>
      </w:r>
      <w:r>
        <w:t xml:space="preserve"> </w:t>
      </w:r>
      <w:r>
        <w:rPr>
          <w:b/>
          <w:bCs/>
        </w:rPr>
        <w:t>138</w:t>
      </w:r>
      <w:r>
        <w:t>: 574–583.</w:t>
      </w:r>
    </w:p>
    <w:p w:rsidR="00EC4E93" w:rsidRDefault="00EC4E93" w:rsidP="00F00459">
      <w:pPr>
        <w:pStyle w:val="Bibliography"/>
      </w:pPr>
      <w:r>
        <w:rPr>
          <w:b/>
          <w:bCs/>
        </w:rPr>
        <w:t>Olsson PA, Baath E, Jakobsen I</w:t>
      </w:r>
      <w:r>
        <w:t xml:space="preserve">. </w:t>
      </w:r>
      <w:r>
        <w:rPr>
          <w:b/>
          <w:bCs/>
        </w:rPr>
        <w:t>1997</w:t>
      </w:r>
      <w:r>
        <w:t xml:space="preserve">. Phosphorus Effects on the Mycelium and Storage Structures of an Arbuscular Mycorrhizal Fungus as Studied in the Soil and Roots by Analysis of Fatty Acid Signatures. </w:t>
      </w:r>
      <w:r>
        <w:rPr>
          <w:i/>
          <w:iCs/>
        </w:rPr>
        <w:t>Applied and Environmental Microbiology</w:t>
      </w:r>
      <w:r>
        <w:t xml:space="preserve"> </w:t>
      </w:r>
      <w:r>
        <w:rPr>
          <w:b/>
          <w:bCs/>
        </w:rPr>
        <w:t>63</w:t>
      </w:r>
      <w:r>
        <w:t>: 3531–3538.</w:t>
      </w:r>
    </w:p>
    <w:p w:rsidR="00EC4E93" w:rsidRDefault="00EC4E93" w:rsidP="00F00459">
      <w:pPr>
        <w:pStyle w:val="Bibliography"/>
      </w:pPr>
      <w:r>
        <w:rPr>
          <w:b/>
          <w:bCs/>
        </w:rPr>
        <w:t>Öpik M, Davison J</w:t>
      </w:r>
      <w:r>
        <w:t xml:space="preserve">. </w:t>
      </w:r>
      <w:r>
        <w:rPr>
          <w:b/>
          <w:bCs/>
        </w:rPr>
        <w:t>2016</w:t>
      </w:r>
      <w:r>
        <w:t xml:space="preserve">. Uniting species- and community-oriented approaches to understand arbuscular mycorrhizal fungal diversity. </w:t>
      </w:r>
      <w:r>
        <w:rPr>
          <w:i/>
          <w:iCs/>
        </w:rPr>
        <w:t>Fungal Ecology</w:t>
      </w:r>
      <w:r>
        <w:t>.</w:t>
      </w:r>
    </w:p>
    <w:p w:rsidR="00EC4E93" w:rsidRDefault="00EC4E93" w:rsidP="00F00459">
      <w:pPr>
        <w:pStyle w:val="Bibliography"/>
      </w:pPr>
      <w:r>
        <w:rPr>
          <w:b/>
          <w:bCs/>
        </w:rPr>
        <w:t>Öpik M, Davison J, Moora M, Zobel M</w:t>
      </w:r>
      <w:r>
        <w:t xml:space="preserve">. </w:t>
      </w:r>
      <w:r>
        <w:rPr>
          <w:b/>
          <w:bCs/>
        </w:rPr>
        <w:t>2013a</w:t>
      </w:r>
      <w:r>
        <w:t xml:space="preserve">. DNA-based detection and identification of Glomeromycota: the virtual taxonomy of environmental sequences. </w:t>
      </w:r>
      <w:r>
        <w:rPr>
          <w:i/>
          <w:iCs/>
        </w:rPr>
        <w:t>Botany</w:t>
      </w:r>
      <w:r>
        <w:t xml:space="preserve"> </w:t>
      </w:r>
      <w:r>
        <w:rPr>
          <w:b/>
          <w:bCs/>
        </w:rPr>
        <w:t>92</w:t>
      </w:r>
      <w:r>
        <w:t>: 135–147.</w:t>
      </w:r>
    </w:p>
    <w:p w:rsidR="00EC4E93" w:rsidRDefault="00EC4E93" w:rsidP="00F00459">
      <w:pPr>
        <w:pStyle w:val="Bibliography"/>
      </w:pPr>
      <w:r>
        <w:rPr>
          <w:b/>
          <w:bCs/>
        </w:rPr>
        <w:t>Öpik M, Moora M, Liira J, Zobel M</w:t>
      </w:r>
      <w:r>
        <w:t xml:space="preserve">. </w:t>
      </w:r>
      <w:r>
        <w:rPr>
          <w:b/>
          <w:bCs/>
        </w:rPr>
        <w:t>2006</w:t>
      </w:r>
      <w:r>
        <w:t xml:space="preserve">. Composition of Root-Colonizing Arbuscular Mycorrhizal Fungal Communities in Different Ecosystems around the Globe. </w:t>
      </w:r>
      <w:r>
        <w:rPr>
          <w:i/>
          <w:iCs/>
        </w:rPr>
        <w:t>Journal of Ecology</w:t>
      </w:r>
      <w:r>
        <w:t xml:space="preserve"> </w:t>
      </w:r>
      <w:r>
        <w:rPr>
          <w:b/>
          <w:bCs/>
        </w:rPr>
        <w:t>94</w:t>
      </w:r>
      <w:r>
        <w:t>: 778–790.</w:t>
      </w:r>
    </w:p>
    <w:p w:rsidR="00EC4E93" w:rsidRDefault="00EC4E93" w:rsidP="00F00459">
      <w:pPr>
        <w:pStyle w:val="Bibliography"/>
      </w:pPr>
      <w:r>
        <w:rPr>
          <w:b/>
          <w:bCs/>
        </w:rPr>
        <w:t>Opik M, Moora M, Liira J, Zobel M</w:t>
      </w:r>
      <w:r>
        <w:t xml:space="preserve">. </w:t>
      </w:r>
      <w:r>
        <w:rPr>
          <w:b/>
          <w:bCs/>
        </w:rPr>
        <w:t>2006</w:t>
      </w:r>
      <w:r>
        <w:t xml:space="preserve">. Composition of root-colonizing arbuscular mycorrhizal fungal communities in different ecosystems around the globe. </w:t>
      </w:r>
      <w:r>
        <w:rPr>
          <w:i/>
          <w:iCs/>
        </w:rPr>
        <w:t>Journal of Ecology</w:t>
      </w:r>
      <w:r>
        <w:t xml:space="preserve"> </w:t>
      </w:r>
      <w:r>
        <w:rPr>
          <w:b/>
          <w:bCs/>
        </w:rPr>
        <w:t>94</w:t>
      </w:r>
      <w:r>
        <w:t>: 778–790.</w:t>
      </w:r>
    </w:p>
    <w:p w:rsidR="00EC4E93" w:rsidRDefault="00EC4E93" w:rsidP="00F00459">
      <w:pPr>
        <w:pStyle w:val="Bibliography"/>
      </w:pPr>
      <w:r>
        <w:rPr>
          <w:b/>
          <w:bCs/>
        </w:rPr>
        <w:t>Opik M, Moora M, Zobel M, Saks U, Wheatley R, Wright F, Daniell T</w:t>
      </w:r>
      <w:r>
        <w:t xml:space="preserve">. </w:t>
      </w:r>
      <w:r>
        <w:rPr>
          <w:b/>
          <w:bCs/>
        </w:rPr>
        <w:t>2008</w:t>
      </w:r>
      <w:r>
        <w:t xml:space="preserve">. High diversity of arbuscular mycorrhizal fungi in a boreal herb-rich coniferous forest. </w:t>
      </w:r>
      <w:r>
        <w:rPr>
          <w:i/>
          <w:iCs/>
        </w:rPr>
        <w:t>The New Phytologist</w:t>
      </w:r>
      <w:r>
        <w:t xml:space="preserve"> </w:t>
      </w:r>
      <w:r>
        <w:rPr>
          <w:b/>
          <w:bCs/>
        </w:rPr>
        <w:t>179</w:t>
      </w:r>
      <w:r>
        <w:t>: 867–876.</w:t>
      </w:r>
    </w:p>
    <w:p w:rsidR="00EC4E93" w:rsidRDefault="00EC4E93" w:rsidP="00F00459">
      <w:pPr>
        <w:pStyle w:val="Bibliography"/>
      </w:pPr>
      <w:r>
        <w:rPr>
          <w:b/>
          <w:bCs/>
        </w:rPr>
        <w:t>Opik M, Vanatoa A, Vanatoa E, Moora M, Davison J, Kalwij JM, Reier U, Zobel M</w:t>
      </w:r>
      <w:r>
        <w:t xml:space="preserve">. </w:t>
      </w:r>
      <w:r>
        <w:rPr>
          <w:b/>
          <w:bCs/>
        </w:rPr>
        <w:t>2010</w:t>
      </w:r>
      <w:r>
        <w:t xml:space="preserve">. The online database MaarjAM reveals global and ecosystemic distribution patterns in arbuscular mycorrhizal fungi (Glomeromycota). </w:t>
      </w:r>
      <w:r>
        <w:rPr>
          <w:i/>
          <w:iCs/>
        </w:rPr>
        <w:t>The New Phytologist</w:t>
      </w:r>
      <w:r>
        <w:t xml:space="preserve"> </w:t>
      </w:r>
      <w:r>
        <w:rPr>
          <w:b/>
          <w:bCs/>
        </w:rPr>
        <w:t>188</w:t>
      </w:r>
      <w:r>
        <w:t>: 223–241.</w:t>
      </w:r>
    </w:p>
    <w:p w:rsidR="00EC4E93" w:rsidRDefault="00EC4E93" w:rsidP="00F00459">
      <w:pPr>
        <w:pStyle w:val="Bibliography"/>
      </w:pPr>
      <w:r>
        <w:rPr>
          <w:b/>
          <w:bCs/>
        </w:rPr>
        <w:lastRenderedPageBreak/>
        <w:t xml:space="preserve">Öpik M, Zobel M, Cantero JJ, Davison J, Facelli JM, Hiiesalu I, Jairus T, Kalwij JM, Koorem K, Leal ME, </w:t>
      </w:r>
      <w:r>
        <w:rPr>
          <w:b/>
          <w:bCs/>
          <w:i/>
          <w:iCs/>
        </w:rPr>
        <w:t>et al.</w:t>
      </w:r>
      <w:r>
        <w:t xml:space="preserve"> </w:t>
      </w:r>
      <w:r>
        <w:rPr>
          <w:b/>
          <w:bCs/>
        </w:rPr>
        <w:t>2013b</w:t>
      </w:r>
      <w:r>
        <w:t xml:space="preserve">. Global sampling of plant roots expands the described molecular diversity of arbuscular mycorrhizal fungi. </w:t>
      </w:r>
      <w:r>
        <w:rPr>
          <w:i/>
          <w:iCs/>
        </w:rPr>
        <w:t>Mycorrhiza</w:t>
      </w:r>
      <w:r>
        <w:t xml:space="preserve"> </w:t>
      </w:r>
      <w:r>
        <w:rPr>
          <w:b/>
          <w:bCs/>
        </w:rPr>
        <w:t>23</w:t>
      </w:r>
      <w:r>
        <w:t>: 411–430.</w:t>
      </w:r>
    </w:p>
    <w:p w:rsidR="00EC4E93" w:rsidRDefault="00EC4E93" w:rsidP="00F00459">
      <w:pPr>
        <w:pStyle w:val="Bibliography"/>
      </w:pPr>
      <w:r>
        <w:rPr>
          <w:b/>
          <w:bCs/>
        </w:rPr>
        <w:t>Osborn AM, Moore ER, Timmis KN</w:t>
      </w:r>
      <w:r>
        <w:t xml:space="preserve">. </w:t>
      </w:r>
      <w:r>
        <w:rPr>
          <w:b/>
          <w:bCs/>
        </w:rPr>
        <w:t>2000</w:t>
      </w:r>
      <w:r>
        <w:t xml:space="preserve">. An evaluation of terminal-restriction fragment length polymorphism (T-RFLP) analysis for the study of microbial community structure and dynamics. </w:t>
      </w:r>
      <w:r>
        <w:rPr>
          <w:i/>
          <w:iCs/>
        </w:rPr>
        <w:t>Environmental Microbiology</w:t>
      </w:r>
      <w:r>
        <w:t xml:space="preserve"> </w:t>
      </w:r>
      <w:r>
        <w:rPr>
          <w:b/>
          <w:bCs/>
        </w:rPr>
        <w:t>2</w:t>
      </w:r>
      <w:r>
        <w:t>: 39–50.</w:t>
      </w:r>
    </w:p>
    <w:p w:rsidR="00EC4E93" w:rsidRDefault="00EC4E93" w:rsidP="00F00459">
      <w:pPr>
        <w:pStyle w:val="Bibliography"/>
      </w:pPr>
      <w:r>
        <w:rPr>
          <w:b/>
          <w:bCs/>
        </w:rPr>
        <w:t>Paszkowski U</w:t>
      </w:r>
      <w:r>
        <w:t xml:space="preserve">. </w:t>
      </w:r>
      <w:r>
        <w:rPr>
          <w:b/>
          <w:bCs/>
        </w:rPr>
        <w:t>2006</w:t>
      </w:r>
      <w:r>
        <w:t xml:space="preserve">. Mutualism and parasitism: the yin and yang of plant symbioses. </w:t>
      </w:r>
      <w:r>
        <w:rPr>
          <w:i/>
          <w:iCs/>
        </w:rPr>
        <w:t>Current Opinion in Plant Biology</w:t>
      </w:r>
      <w:r>
        <w:t xml:space="preserve"> </w:t>
      </w:r>
      <w:r>
        <w:rPr>
          <w:b/>
          <w:bCs/>
        </w:rPr>
        <w:t>9</w:t>
      </w:r>
      <w:r>
        <w:t>: 364–370.</w:t>
      </w:r>
    </w:p>
    <w:p w:rsidR="00EC4E93" w:rsidRDefault="00EC4E93" w:rsidP="00F00459">
      <w:pPr>
        <w:pStyle w:val="Bibliography"/>
      </w:pPr>
      <w:r>
        <w:rPr>
          <w:b/>
          <w:bCs/>
        </w:rPr>
        <w:t>Pérez-de-Luque A, Tille S, Johnson I, Pascual-Pardo D, Ton J, Cameron DD</w:t>
      </w:r>
      <w:r>
        <w:t xml:space="preserve">. </w:t>
      </w:r>
      <w:r>
        <w:rPr>
          <w:b/>
          <w:bCs/>
        </w:rPr>
        <w:t>in press</w:t>
      </w:r>
      <w:r>
        <w:t>. A call to arms: resolving the interactive effects of arbuscular mycorrhiza and plant growth promoting rhizobacteria (PGPR) on plant health.</w:t>
      </w:r>
    </w:p>
    <w:p w:rsidR="00EC4E93" w:rsidRDefault="00EC4E93" w:rsidP="00F00459">
      <w:pPr>
        <w:pStyle w:val="Bibliography"/>
      </w:pPr>
      <w:r>
        <w:rPr>
          <w:b/>
          <w:bCs/>
        </w:rPr>
        <w:t>Phipps JB, Robertson KR, Smith PG, Rohrer JR</w:t>
      </w:r>
      <w:r>
        <w:t xml:space="preserve">. </w:t>
      </w:r>
      <w:r>
        <w:rPr>
          <w:b/>
          <w:bCs/>
        </w:rPr>
        <w:t>1990</w:t>
      </w:r>
      <w:r>
        <w:t xml:space="preserve">. A CHECKLIST OF THE SUBFAMILY MALOIDEAE (ROSACEAE). </w:t>
      </w:r>
      <w:r>
        <w:rPr>
          <w:i/>
          <w:iCs/>
        </w:rPr>
        <w:t>Canadian Journal of Botany-Revue Canadienne De Botanique</w:t>
      </w:r>
      <w:r>
        <w:t xml:space="preserve"> </w:t>
      </w:r>
      <w:r>
        <w:rPr>
          <w:b/>
          <w:bCs/>
        </w:rPr>
        <w:t>68</w:t>
      </w:r>
      <w:r>
        <w:t>: 2209–2269.</w:t>
      </w:r>
    </w:p>
    <w:p w:rsidR="00EC4E93" w:rsidRDefault="00EC4E93" w:rsidP="00F00459">
      <w:pPr>
        <w:pStyle w:val="Bibliography"/>
      </w:pPr>
      <w:r>
        <w:rPr>
          <w:b/>
          <w:bCs/>
        </w:rPr>
        <w:t>Pianka ER</w:t>
      </w:r>
      <w:r>
        <w:t xml:space="preserve">. </w:t>
      </w:r>
      <w:r>
        <w:rPr>
          <w:b/>
          <w:bCs/>
        </w:rPr>
        <w:t>1970</w:t>
      </w:r>
      <w:r>
        <w:t xml:space="preserve">. On r- and K-Selection. </w:t>
      </w:r>
      <w:r>
        <w:rPr>
          <w:i/>
          <w:iCs/>
        </w:rPr>
        <w:t>The American Naturalist</w:t>
      </w:r>
      <w:r>
        <w:t xml:space="preserve"> </w:t>
      </w:r>
      <w:r>
        <w:rPr>
          <w:b/>
          <w:bCs/>
        </w:rPr>
        <w:t>104</w:t>
      </w:r>
      <w:r>
        <w:t>: 592–597.</w:t>
      </w:r>
    </w:p>
    <w:p w:rsidR="00EC4E93" w:rsidRDefault="00EC4E93" w:rsidP="00F00459">
      <w:pPr>
        <w:pStyle w:val="Bibliography"/>
      </w:pPr>
      <w:r>
        <w:rPr>
          <w:b/>
          <w:bCs/>
        </w:rPr>
        <w:t>Pineda A, Zheng S-J, van Loon JJA, Pieterse CMJ, Dicke M</w:t>
      </w:r>
      <w:r>
        <w:t xml:space="preserve">. </w:t>
      </w:r>
      <w:r>
        <w:rPr>
          <w:b/>
          <w:bCs/>
        </w:rPr>
        <w:t>2010</w:t>
      </w:r>
      <w:r>
        <w:t xml:space="preserve">. Helping plants to deal with insects: the role of beneficial soil-borne microbes. </w:t>
      </w:r>
      <w:r>
        <w:rPr>
          <w:i/>
          <w:iCs/>
        </w:rPr>
        <w:t>Trends in Plant Science</w:t>
      </w:r>
      <w:r>
        <w:t xml:space="preserve"> </w:t>
      </w:r>
      <w:r>
        <w:rPr>
          <w:b/>
          <w:bCs/>
        </w:rPr>
        <w:t>15</w:t>
      </w:r>
      <w:r>
        <w:t>: 507–514.</w:t>
      </w:r>
    </w:p>
    <w:p w:rsidR="00EC4E93" w:rsidRDefault="00EC4E93" w:rsidP="00F00459">
      <w:pPr>
        <w:pStyle w:val="Bibliography"/>
      </w:pPr>
      <w:r>
        <w:rPr>
          <w:b/>
          <w:bCs/>
        </w:rPr>
        <w:t>Pinochet J, Camprubi A, Calvet C</w:t>
      </w:r>
      <w:r>
        <w:t xml:space="preserve">. </w:t>
      </w:r>
      <w:r>
        <w:rPr>
          <w:b/>
          <w:bCs/>
        </w:rPr>
        <w:t>1993</w:t>
      </w:r>
      <w:r>
        <w:t xml:space="preserve">. Effects of the Root-Lesion Nematode Pratylenchus-Vulnus and the Mycorrhizal Fungus Glomus-Mosseae on the Growth of Emla-26 Apple Rootstock. </w:t>
      </w:r>
      <w:r>
        <w:rPr>
          <w:i/>
          <w:iCs/>
        </w:rPr>
        <w:t>Mycorrhiza</w:t>
      </w:r>
      <w:r>
        <w:t xml:space="preserve"> </w:t>
      </w:r>
      <w:r>
        <w:rPr>
          <w:b/>
          <w:bCs/>
        </w:rPr>
        <w:t>4</w:t>
      </w:r>
      <w:r>
        <w:t>: 79–83.</w:t>
      </w:r>
    </w:p>
    <w:p w:rsidR="00EC4E93" w:rsidRDefault="00EC4E93" w:rsidP="00F00459">
      <w:pPr>
        <w:pStyle w:val="Bibliography"/>
      </w:pPr>
      <w:r>
        <w:rPr>
          <w:b/>
          <w:bCs/>
        </w:rPr>
        <w:t>Porcel R, Ruiz-Lozano JM</w:t>
      </w:r>
      <w:r>
        <w:t xml:space="preserve">. </w:t>
      </w:r>
      <w:r>
        <w:rPr>
          <w:b/>
          <w:bCs/>
        </w:rPr>
        <w:t>2004</w:t>
      </w:r>
      <w:r>
        <w:t xml:space="preserve">. Arbuscular mycorrhizal influence on leaf water potential, solute accumulation, and oxidative stress in soybean plants subjected to drought stress. </w:t>
      </w:r>
      <w:r>
        <w:rPr>
          <w:i/>
          <w:iCs/>
        </w:rPr>
        <w:t>Journal of Experimental Botany</w:t>
      </w:r>
      <w:r>
        <w:t xml:space="preserve"> </w:t>
      </w:r>
      <w:r>
        <w:rPr>
          <w:b/>
          <w:bCs/>
        </w:rPr>
        <w:t>55</w:t>
      </w:r>
      <w:r>
        <w:t>: 1743–1750.</w:t>
      </w:r>
    </w:p>
    <w:p w:rsidR="00EC4E93" w:rsidRDefault="00EC4E93" w:rsidP="00F00459">
      <w:pPr>
        <w:pStyle w:val="Bibliography"/>
      </w:pPr>
      <w:r>
        <w:rPr>
          <w:b/>
          <w:bCs/>
        </w:rPr>
        <w:t>Pozo MJ, Azcón-Aguilar C</w:t>
      </w:r>
      <w:r>
        <w:t xml:space="preserve">. </w:t>
      </w:r>
      <w:r>
        <w:rPr>
          <w:b/>
          <w:bCs/>
        </w:rPr>
        <w:t>2007</w:t>
      </w:r>
      <w:r>
        <w:t xml:space="preserve">. Unraveling mycorrhiza-induced resistance. </w:t>
      </w:r>
      <w:r>
        <w:rPr>
          <w:i/>
          <w:iCs/>
        </w:rPr>
        <w:t>Current Opinion in Plant Biology</w:t>
      </w:r>
      <w:r>
        <w:t xml:space="preserve"> </w:t>
      </w:r>
      <w:r>
        <w:rPr>
          <w:b/>
          <w:bCs/>
        </w:rPr>
        <w:t>10</w:t>
      </w:r>
      <w:r>
        <w:t>: 393–398.</w:t>
      </w:r>
    </w:p>
    <w:p w:rsidR="00EC4E93" w:rsidRDefault="00EC4E93" w:rsidP="00F00459">
      <w:pPr>
        <w:pStyle w:val="Bibliography"/>
      </w:pPr>
      <w:r>
        <w:rPr>
          <w:b/>
          <w:bCs/>
        </w:rPr>
        <w:t>Pozo MJ, Cordier C, Dumas‐Gaudot E, Gianinazzi S, Barea JM, Azcón‐Aguilar C</w:t>
      </w:r>
      <w:r>
        <w:t xml:space="preserve">. </w:t>
      </w:r>
      <w:r>
        <w:rPr>
          <w:b/>
          <w:bCs/>
        </w:rPr>
        <w:t>2002</w:t>
      </w:r>
      <w:r>
        <w:t xml:space="preserve">. Localized versus systemic effect of arbuscular mycorrhizal fungi on defence responses to Phytophthora infection in tomato plants. </w:t>
      </w:r>
      <w:r>
        <w:rPr>
          <w:i/>
          <w:iCs/>
        </w:rPr>
        <w:t>Journal of Experimental Botany</w:t>
      </w:r>
      <w:r>
        <w:t xml:space="preserve"> </w:t>
      </w:r>
      <w:r>
        <w:rPr>
          <w:b/>
          <w:bCs/>
        </w:rPr>
        <w:t>53</w:t>
      </w:r>
      <w:r>
        <w:t>: 525–534.</w:t>
      </w:r>
    </w:p>
    <w:p w:rsidR="00EC4E93" w:rsidRDefault="00EC4E93" w:rsidP="00F00459">
      <w:pPr>
        <w:pStyle w:val="Bibliography"/>
      </w:pPr>
      <w:r>
        <w:rPr>
          <w:b/>
          <w:bCs/>
        </w:rPr>
        <w:t>Pretty J</w:t>
      </w:r>
      <w:r>
        <w:t xml:space="preserve">. </w:t>
      </w:r>
      <w:r>
        <w:rPr>
          <w:b/>
          <w:bCs/>
        </w:rPr>
        <w:t>2008</w:t>
      </w:r>
      <w:r>
        <w:t xml:space="preserve">. Agricultural Sustainability: Concepts, Principles and Evidence. </w:t>
      </w:r>
      <w:r>
        <w:rPr>
          <w:i/>
          <w:iCs/>
        </w:rPr>
        <w:t>Philosophical Transactions: Biological Sciences</w:t>
      </w:r>
      <w:r>
        <w:t xml:space="preserve"> </w:t>
      </w:r>
      <w:r>
        <w:rPr>
          <w:b/>
          <w:bCs/>
        </w:rPr>
        <w:t>363</w:t>
      </w:r>
      <w:r>
        <w:t>: 447–465.</w:t>
      </w:r>
    </w:p>
    <w:p w:rsidR="00EC4E93" w:rsidRDefault="00EC4E93" w:rsidP="00F00459">
      <w:pPr>
        <w:pStyle w:val="Bibliography"/>
      </w:pPr>
      <w:r>
        <w:rPr>
          <w:b/>
          <w:bCs/>
        </w:rPr>
        <w:t xml:space="preserve">Pretty J, Sutherland WJ, Ashby J, Auburn J, Baulcombe D, Bell M, Bentley J, Bickersteth S, Brown K, Burke J, </w:t>
      </w:r>
      <w:r>
        <w:rPr>
          <w:b/>
          <w:bCs/>
          <w:i/>
          <w:iCs/>
        </w:rPr>
        <w:t>et al.</w:t>
      </w:r>
      <w:r>
        <w:t xml:space="preserve"> </w:t>
      </w:r>
      <w:r>
        <w:rPr>
          <w:b/>
          <w:bCs/>
        </w:rPr>
        <w:t>2010</w:t>
      </w:r>
      <w:r>
        <w:t xml:space="preserve">. The top 100 questions of importance to the future of global agriculture. </w:t>
      </w:r>
      <w:r>
        <w:rPr>
          <w:i/>
          <w:iCs/>
        </w:rPr>
        <w:t>International Journal of Agricultural Sustainability</w:t>
      </w:r>
      <w:r>
        <w:t xml:space="preserve"> </w:t>
      </w:r>
      <w:r>
        <w:rPr>
          <w:b/>
          <w:bCs/>
        </w:rPr>
        <w:t>8</w:t>
      </w:r>
      <w:r>
        <w:t>: 219–236.</w:t>
      </w:r>
    </w:p>
    <w:p w:rsidR="00EC4E93" w:rsidRDefault="00EC4E93" w:rsidP="00F00459">
      <w:pPr>
        <w:pStyle w:val="Bibliography"/>
      </w:pPr>
      <w:r>
        <w:rPr>
          <w:b/>
          <w:bCs/>
        </w:rPr>
        <w:t>Raj H, Sharma SD</w:t>
      </w:r>
      <w:r>
        <w:t xml:space="preserve">. </w:t>
      </w:r>
      <w:r>
        <w:rPr>
          <w:b/>
          <w:bCs/>
        </w:rPr>
        <w:t>2009</w:t>
      </w:r>
      <w:r>
        <w:t xml:space="preserve">. Integration of soil solarization and chemical sterilization with beneficial microorganisms for the control of white root rot and growth of nursery apple. </w:t>
      </w:r>
      <w:r>
        <w:rPr>
          <w:i/>
          <w:iCs/>
        </w:rPr>
        <w:t>Scientia Horticulturae</w:t>
      </w:r>
      <w:r>
        <w:t xml:space="preserve"> </w:t>
      </w:r>
      <w:r>
        <w:rPr>
          <w:b/>
          <w:bCs/>
        </w:rPr>
        <w:t>119</w:t>
      </w:r>
      <w:r>
        <w:t>: 126–131.</w:t>
      </w:r>
    </w:p>
    <w:p w:rsidR="00EC4E93" w:rsidRDefault="00EC4E93" w:rsidP="00F00459">
      <w:pPr>
        <w:pStyle w:val="Bibliography"/>
      </w:pPr>
      <w:r>
        <w:rPr>
          <w:b/>
          <w:bCs/>
        </w:rPr>
        <w:t>Redecker D, Kodner R, Graham LE</w:t>
      </w:r>
      <w:r>
        <w:t xml:space="preserve">. </w:t>
      </w:r>
      <w:r>
        <w:rPr>
          <w:b/>
          <w:bCs/>
        </w:rPr>
        <w:t>2000</w:t>
      </w:r>
      <w:r>
        <w:t xml:space="preserve">. Glomalean fungi from the Ordovician. </w:t>
      </w:r>
      <w:r>
        <w:rPr>
          <w:i/>
          <w:iCs/>
        </w:rPr>
        <w:t>Science</w:t>
      </w:r>
      <w:r>
        <w:t xml:space="preserve"> </w:t>
      </w:r>
      <w:r>
        <w:rPr>
          <w:b/>
          <w:bCs/>
        </w:rPr>
        <w:t>289</w:t>
      </w:r>
      <w:r>
        <w:t>: 1920–1921.</w:t>
      </w:r>
    </w:p>
    <w:p w:rsidR="00EC4E93" w:rsidRDefault="00EC4E93" w:rsidP="00F00459">
      <w:pPr>
        <w:pStyle w:val="Bibliography"/>
      </w:pPr>
      <w:r>
        <w:rPr>
          <w:b/>
          <w:bCs/>
        </w:rPr>
        <w:t xml:space="preserve">Richardson AE, Lynch JP, Ryan PR, Delhaize E, Smith FA, Smith SE, Harvey PR, Ryan MH, Veneklaas EJ, Lambers H, </w:t>
      </w:r>
      <w:r>
        <w:rPr>
          <w:b/>
          <w:bCs/>
          <w:i/>
          <w:iCs/>
        </w:rPr>
        <w:t>et al.</w:t>
      </w:r>
      <w:r>
        <w:t xml:space="preserve"> </w:t>
      </w:r>
      <w:r>
        <w:rPr>
          <w:b/>
          <w:bCs/>
        </w:rPr>
        <w:t>2011</w:t>
      </w:r>
      <w:r>
        <w:t xml:space="preserve">. Plant and microbial strategies to improve the phosphorus efficiency of agriculture. </w:t>
      </w:r>
      <w:r>
        <w:rPr>
          <w:i/>
          <w:iCs/>
        </w:rPr>
        <w:t>Plant and Soil</w:t>
      </w:r>
      <w:r>
        <w:t xml:space="preserve"> </w:t>
      </w:r>
      <w:r>
        <w:rPr>
          <w:b/>
          <w:bCs/>
        </w:rPr>
        <w:t>349</w:t>
      </w:r>
      <w:r>
        <w:t>: 121–156.</w:t>
      </w:r>
    </w:p>
    <w:p w:rsidR="00EC4E93" w:rsidRDefault="00EC4E93" w:rsidP="00F00459">
      <w:pPr>
        <w:pStyle w:val="Bibliography"/>
      </w:pPr>
      <w:r>
        <w:rPr>
          <w:b/>
          <w:bCs/>
        </w:rPr>
        <w:lastRenderedPageBreak/>
        <w:t>Ridgway HJ, Kandula J, Stewart A</w:t>
      </w:r>
      <w:r>
        <w:t xml:space="preserve">. </w:t>
      </w:r>
      <w:r>
        <w:rPr>
          <w:b/>
          <w:bCs/>
        </w:rPr>
        <w:t>2008</w:t>
      </w:r>
      <w:r>
        <w:t xml:space="preserve">. Arbuscular Mycorrhiza Improve Apple Rootstock Growth in Soil Conducive. </w:t>
      </w:r>
      <w:r>
        <w:rPr>
          <w:i/>
          <w:iCs/>
        </w:rPr>
        <w:t>New Zealand Plant Protection</w:t>
      </w:r>
      <w:r>
        <w:t xml:space="preserve"> </w:t>
      </w:r>
      <w:r>
        <w:rPr>
          <w:b/>
          <w:bCs/>
        </w:rPr>
        <w:t>61</w:t>
      </w:r>
      <w:r>
        <w:t>: 48–53.</w:t>
      </w:r>
    </w:p>
    <w:p w:rsidR="00EC4E93" w:rsidRDefault="00EC4E93" w:rsidP="00F00459">
      <w:pPr>
        <w:pStyle w:val="Bibliography"/>
      </w:pPr>
      <w:r>
        <w:rPr>
          <w:b/>
          <w:bCs/>
        </w:rPr>
        <w:t>Rillig MC</w:t>
      </w:r>
      <w:r>
        <w:t xml:space="preserve">. </w:t>
      </w:r>
      <w:r>
        <w:rPr>
          <w:b/>
          <w:bCs/>
        </w:rPr>
        <w:t>2004</w:t>
      </w:r>
      <w:r>
        <w:t xml:space="preserve">. Arbuscular mycorrhizae, glomalin, and soil aggregation. </w:t>
      </w:r>
      <w:r>
        <w:rPr>
          <w:i/>
          <w:iCs/>
        </w:rPr>
        <w:t>Canadian Journal of Soil Science</w:t>
      </w:r>
      <w:r>
        <w:t xml:space="preserve"> </w:t>
      </w:r>
      <w:r>
        <w:rPr>
          <w:b/>
          <w:bCs/>
        </w:rPr>
        <w:t>84</w:t>
      </w:r>
      <w:r>
        <w:t>: 355–363.</w:t>
      </w:r>
    </w:p>
    <w:p w:rsidR="00EC4E93" w:rsidRDefault="00EC4E93" w:rsidP="00F00459">
      <w:pPr>
        <w:pStyle w:val="Bibliography"/>
      </w:pPr>
      <w:r>
        <w:rPr>
          <w:b/>
          <w:bCs/>
        </w:rPr>
        <w:t>Rillig MC, Mummey DL</w:t>
      </w:r>
      <w:r>
        <w:t xml:space="preserve">. </w:t>
      </w:r>
      <w:r>
        <w:rPr>
          <w:b/>
          <w:bCs/>
        </w:rPr>
        <w:t>2006</w:t>
      </w:r>
      <w:r>
        <w:t xml:space="preserve">. Mycorrhizas and Soil Structure. </w:t>
      </w:r>
      <w:r>
        <w:rPr>
          <w:i/>
          <w:iCs/>
        </w:rPr>
        <w:t>The New Phytologist</w:t>
      </w:r>
      <w:r>
        <w:t xml:space="preserve"> </w:t>
      </w:r>
      <w:r>
        <w:rPr>
          <w:b/>
          <w:bCs/>
        </w:rPr>
        <w:t>171</w:t>
      </w:r>
      <w:r>
        <w:t>: 41–53.</w:t>
      </w:r>
    </w:p>
    <w:p w:rsidR="00EC4E93" w:rsidRDefault="00EC4E93" w:rsidP="00F00459">
      <w:pPr>
        <w:pStyle w:val="Bibliography"/>
      </w:pPr>
      <w:r>
        <w:rPr>
          <w:b/>
          <w:bCs/>
        </w:rPr>
        <w:t>Rodríguez-Morelos VH, Soto-Estrada A, Pérez-Moreno J, Franco-Ramírez A, Díaz-Rivera P</w:t>
      </w:r>
      <w:r>
        <w:t xml:space="preserve">. </w:t>
      </w:r>
      <w:r>
        <w:rPr>
          <w:b/>
          <w:bCs/>
        </w:rPr>
        <w:t>2014</w:t>
      </w:r>
      <w:r>
        <w:t xml:space="preserve">. Arbuscular mycorrhizal fungi associated with the rhizosphere of seedlings and mature trees of Swietenia macrophylla (Magnoliophyta: Meliaceae) in Los Tuxtlas, Veracruz, Mexico. </w:t>
      </w:r>
      <w:r>
        <w:rPr>
          <w:i/>
          <w:iCs/>
        </w:rPr>
        <w:t>Revista Chilena de Historia Natural</w:t>
      </w:r>
      <w:r>
        <w:t xml:space="preserve"> </w:t>
      </w:r>
      <w:r>
        <w:rPr>
          <w:b/>
          <w:bCs/>
        </w:rPr>
        <w:t>87</w:t>
      </w:r>
      <w:r>
        <w:t>: 9.</w:t>
      </w:r>
    </w:p>
    <w:p w:rsidR="00EC4E93" w:rsidRDefault="00EC4E93" w:rsidP="00F00459">
      <w:pPr>
        <w:pStyle w:val="Bibliography"/>
      </w:pPr>
      <w:r>
        <w:rPr>
          <w:b/>
          <w:bCs/>
        </w:rPr>
        <w:t>Roldan A, Salinas-Garcia JR, Alguacil MM, Caravaca F</w:t>
      </w:r>
      <w:r>
        <w:t xml:space="preserve">. </w:t>
      </w:r>
      <w:r>
        <w:rPr>
          <w:b/>
          <w:bCs/>
        </w:rPr>
        <w:t>2007</w:t>
      </w:r>
      <w:r>
        <w:t xml:space="preserve">. Soil sustainability indicators following conservation tillage practices under subtropical maize and bean crops. </w:t>
      </w:r>
      <w:r>
        <w:rPr>
          <w:i/>
          <w:iCs/>
        </w:rPr>
        <w:t>Soil &amp; Tillage Research</w:t>
      </w:r>
      <w:r>
        <w:t xml:space="preserve"> </w:t>
      </w:r>
      <w:r>
        <w:rPr>
          <w:b/>
          <w:bCs/>
        </w:rPr>
        <w:t>93</w:t>
      </w:r>
      <w:r>
        <w:t>: 273–282.</w:t>
      </w:r>
    </w:p>
    <w:p w:rsidR="00EC4E93" w:rsidRDefault="00EC4E93" w:rsidP="00F00459">
      <w:pPr>
        <w:pStyle w:val="Bibliography"/>
      </w:pPr>
      <w:r>
        <w:rPr>
          <w:b/>
          <w:bCs/>
        </w:rPr>
        <w:t>Ronco MG, Ruscitti MF, Arango MC, Beltrano J</w:t>
      </w:r>
      <w:r>
        <w:t xml:space="preserve">. </w:t>
      </w:r>
      <w:r>
        <w:rPr>
          <w:b/>
          <w:bCs/>
        </w:rPr>
        <w:t>2008</w:t>
      </w:r>
      <w:r>
        <w:t xml:space="preserve">. Glyphosate and mycorrhization induce changes in plant growth and in root morphology and architecture in pepper plants (Capsicum annuum L.). </w:t>
      </w:r>
      <w:r>
        <w:rPr>
          <w:i/>
          <w:iCs/>
        </w:rPr>
        <w:t>The Journal of Horticultural Science and Biotechnology</w:t>
      </w:r>
      <w:r>
        <w:t xml:space="preserve"> </w:t>
      </w:r>
      <w:r>
        <w:rPr>
          <w:b/>
          <w:bCs/>
        </w:rPr>
        <w:t>83</w:t>
      </w:r>
      <w:r>
        <w:t>: 497–505.</w:t>
      </w:r>
    </w:p>
    <w:p w:rsidR="00EC4E93" w:rsidRDefault="00EC4E93" w:rsidP="00F00459">
      <w:pPr>
        <w:pStyle w:val="Bibliography"/>
      </w:pPr>
      <w:r>
        <w:rPr>
          <w:b/>
          <w:bCs/>
        </w:rPr>
        <w:t>Royer M, Larbat R, Le Bot J, Adamowicz S, Robin C</w:t>
      </w:r>
      <w:r>
        <w:t xml:space="preserve">. </w:t>
      </w:r>
      <w:r>
        <w:rPr>
          <w:b/>
          <w:bCs/>
        </w:rPr>
        <w:t>2013</w:t>
      </w:r>
      <w:r>
        <w:t xml:space="preserve">. Is the C:N ratio a reliable indicator of C allocation to primary and defence-related metabolisms in tomato? </w:t>
      </w:r>
      <w:r>
        <w:rPr>
          <w:i/>
          <w:iCs/>
        </w:rPr>
        <w:t>Phytochemistry</w:t>
      </w:r>
      <w:r>
        <w:t xml:space="preserve"> </w:t>
      </w:r>
      <w:r>
        <w:rPr>
          <w:b/>
          <w:bCs/>
        </w:rPr>
        <w:t>88</w:t>
      </w:r>
      <w:r>
        <w:t>: 25–33.</w:t>
      </w:r>
    </w:p>
    <w:p w:rsidR="00EC4E93" w:rsidRDefault="00EC4E93" w:rsidP="00F00459">
      <w:pPr>
        <w:pStyle w:val="Bibliography"/>
      </w:pPr>
      <w:r>
        <w:rPr>
          <w:b/>
          <w:bCs/>
        </w:rPr>
        <w:t>Ruiz-Lozano JM, Porcel R, Aroca R</w:t>
      </w:r>
      <w:r>
        <w:t xml:space="preserve">. </w:t>
      </w:r>
      <w:r>
        <w:rPr>
          <w:b/>
          <w:bCs/>
        </w:rPr>
        <w:t>2006</w:t>
      </w:r>
      <w:r>
        <w:t xml:space="preserve">. Does the enhanced tolerance of arbuscular mycorrhizal plants to water deficit involve modulation of drought-induced plant genes? </w:t>
      </w:r>
      <w:r>
        <w:rPr>
          <w:i/>
          <w:iCs/>
        </w:rPr>
        <w:t>New Phytologist</w:t>
      </w:r>
      <w:r>
        <w:t xml:space="preserve"> </w:t>
      </w:r>
      <w:r>
        <w:rPr>
          <w:b/>
          <w:bCs/>
        </w:rPr>
        <w:t>171</w:t>
      </w:r>
      <w:r>
        <w:t>: 693–698.</w:t>
      </w:r>
    </w:p>
    <w:p w:rsidR="00EC4E93" w:rsidRDefault="00EC4E93" w:rsidP="00F00459">
      <w:pPr>
        <w:pStyle w:val="Bibliography"/>
      </w:pPr>
      <w:r>
        <w:rPr>
          <w:b/>
          <w:bCs/>
        </w:rPr>
        <w:t>Ryan M, Ash J</w:t>
      </w:r>
      <w:r>
        <w:t xml:space="preserve">. </w:t>
      </w:r>
      <w:r>
        <w:rPr>
          <w:b/>
          <w:bCs/>
        </w:rPr>
        <w:t>1999</w:t>
      </w:r>
      <w:r>
        <w:t xml:space="preserve">. Effects of phosphorus and nitrogen on growth of pasture plants and VAM fungi in SE Australian soils with contrasting fertiliser histories (conventional and biodynamic). </w:t>
      </w:r>
      <w:r>
        <w:rPr>
          <w:i/>
          <w:iCs/>
        </w:rPr>
        <w:t>Agriculture Ecosystems &amp; Environment</w:t>
      </w:r>
      <w:r>
        <w:t xml:space="preserve"> </w:t>
      </w:r>
      <w:r>
        <w:rPr>
          <w:b/>
          <w:bCs/>
        </w:rPr>
        <w:t>73</w:t>
      </w:r>
      <w:r>
        <w:t>: 51–62.</w:t>
      </w:r>
    </w:p>
    <w:p w:rsidR="00EC4E93" w:rsidRDefault="00EC4E93" w:rsidP="00F00459">
      <w:pPr>
        <w:pStyle w:val="Bibliography"/>
      </w:pPr>
      <w:r>
        <w:rPr>
          <w:b/>
          <w:bCs/>
        </w:rPr>
        <w:t>Säle V, Aguilera P, Laczko E, Maeder P, Berner A, Zihlmann U, van der Heijden MGA, Oehl F</w:t>
      </w:r>
      <w:r>
        <w:t xml:space="preserve">. </w:t>
      </w:r>
      <w:r>
        <w:rPr>
          <w:b/>
          <w:bCs/>
        </w:rPr>
        <w:t>2015</w:t>
      </w:r>
      <w:r>
        <w:t xml:space="preserve">. Impact of conservation tillage and organic farming on the diversity of arbuscular mycorrhizal fungi. </w:t>
      </w:r>
      <w:r>
        <w:rPr>
          <w:i/>
          <w:iCs/>
        </w:rPr>
        <w:t>Soil Biology &amp; Biochemistry</w:t>
      </w:r>
      <w:r>
        <w:t xml:space="preserve"> </w:t>
      </w:r>
      <w:r>
        <w:rPr>
          <w:b/>
          <w:bCs/>
        </w:rPr>
        <w:t>84</w:t>
      </w:r>
      <w:r>
        <w:t>: 38–52.</w:t>
      </w:r>
    </w:p>
    <w:p w:rsidR="00EC4E93" w:rsidRDefault="00EC4E93" w:rsidP="00F00459">
      <w:pPr>
        <w:pStyle w:val="Bibliography"/>
      </w:pPr>
      <w:r>
        <w:rPr>
          <w:b/>
          <w:bCs/>
        </w:rPr>
        <w:t>Schausberger P, Peneder S, Jurschik S, Hoffmann D</w:t>
      </w:r>
      <w:r>
        <w:t xml:space="preserve">. </w:t>
      </w:r>
      <w:r>
        <w:rPr>
          <w:b/>
          <w:bCs/>
        </w:rPr>
        <w:t>2012</w:t>
      </w:r>
      <w:r>
        <w:t xml:space="preserve">. Mycorrhiza changes plant volatiles to attract spider mite enemies. </w:t>
      </w:r>
      <w:r>
        <w:rPr>
          <w:i/>
          <w:iCs/>
        </w:rPr>
        <w:t>Functional Ecology</w:t>
      </w:r>
      <w:r>
        <w:t xml:space="preserve"> </w:t>
      </w:r>
      <w:r>
        <w:rPr>
          <w:b/>
          <w:bCs/>
        </w:rPr>
        <w:t>26</w:t>
      </w:r>
      <w:r>
        <w:t>: 441–449.</w:t>
      </w:r>
    </w:p>
    <w:p w:rsidR="00EC4E93" w:rsidRDefault="00EC4E93" w:rsidP="00F00459">
      <w:pPr>
        <w:pStyle w:val="Bibliography"/>
      </w:pPr>
      <w:r>
        <w:rPr>
          <w:b/>
          <w:bCs/>
        </w:rPr>
        <w:t>Schellenbaum L, Berta G, Ravolanirina F, Tisserant B, Gianinazzi S, Fitter AH</w:t>
      </w:r>
      <w:r>
        <w:t xml:space="preserve">. </w:t>
      </w:r>
      <w:r>
        <w:rPr>
          <w:b/>
          <w:bCs/>
        </w:rPr>
        <w:t>1991</w:t>
      </w:r>
      <w:r>
        <w:t xml:space="preserve">. INFLUENCE OF ENDOMYCORRHIZAL INFECTION ON ROOT MORPHOLOGY IN A MICROPROPAGATED WOODY PLANT-SPECIES (VITIS-VINIFERA L). </w:t>
      </w:r>
      <w:r>
        <w:rPr>
          <w:i/>
          <w:iCs/>
        </w:rPr>
        <w:t>Annals of Botany</w:t>
      </w:r>
      <w:r>
        <w:t xml:space="preserve"> </w:t>
      </w:r>
      <w:r>
        <w:rPr>
          <w:b/>
          <w:bCs/>
        </w:rPr>
        <w:t>68</w:t>
      </w:r>
      <w:r>
        <w:t>: 135–141.</w:t>
      </w:r>
    </w:p>
    <w:p w:rsidR="00EC4E93" w:rsidRDefault="00EC4E93" w:rsidP="00F00459">
      <w:pPr>
        <w:pStyle w:val="Bibliography"/>
      </w:pPr>
      <w:r>
        <w:rPr>
          <w:b/>
          <w:bCs/>
        </w:rPr>
        <w:t>Scherr SJ, McNeely JA</w:t>
      </w:r>
      <w:r>
        <w:t xml:space="preserve">. </w:t>
      </w:r>
      <w:r>
        <w:rPr>
          <w:b/>
          <w:bCs/>
        </w:rPr>
        <w:t>2008</w:t>
      </w:r>
      <w:r>
        <w:t xml:space="preserve">. Biodiversity Conservation and Agricultural Sustainability: Towards a New Paradigm of ‘Ecoagriculture’ Landscapes. </w:t>
      </w:r>
      <w:r>
        <w:rPr>
          <w:i/>
          <w:iCs/>
        </w:rPr>
        <w:t>Philosophical Transactions: Biological Sciences</w:t>
      </w:r>
      <w:r>
        <w:t xml:space="preserve"> </w:t>
      </w:r>
      <w:r>
        <w:rPr>
          <w:b/>
          <w:bCs/>
        </w:rPr>
        <w:t>363</w:t>
      </w:r>
      <w:r>
        <w:t>: 477–494.</w:t>
      </w:r>
    </w:p>
    <w:p w:rsidR="00EC4E93" w:rsidRDefault="00EC4E93" w:rsidP="00F00459">
      <w:pPr>
        <w:pStyle w:val="Bibliography"/>
      </w:pPr>
      <w:r>
        <w:rPr>
          <w:b/>
          <w:bCs/>
        </w:rPr>
        <w:t>Schnoor TK, Lekberg Y, Rosendahl S, Olsson PA</w:t>
      </w:r>
      <w:r>
        <w:t xml:space="preserve">. </w:t>
      </w:r>
      <w:r>
        <w:rPr>
          <w:b/>
          <w:bCs/>
        </w:rPr>
        <w:t>2011</w:t>
      </w:r>
      <w:r>
        <w:t xml:space="preserve">. Mechanical soil disturbance as a determinant of arbuscular mycorrhizal fungal communities in semi-natural grassland. </w:t>
      </w:r>
      <w:r>
        <w:rPr>
          <w:i/>
          <w:iCs/>
        </w:rPr>
        <w:t>Mycorrhiza</w:t>
      </w:r>
      <w:r>
        <w:t xml:space="preserve"> </w:t>
      </w:r>
      <w:r>
        <w:rPr>
          <w:b/>
          <w:bCs/>
        </w:rPr>
        <w:t>21</w:t>
      </w:r>
      <w:r>
        <w:t>: 211–220.</w:t>
      </w:r>
    </w:p>
    <w:p w:rsidR="00EC4E93" w:rsidRDefault="00EC4E93" w:rsidP="00F00459">
      <w:pPr>
        <w:pStyle w:val="Bibliography"/>
      </w:pPr>
      <w:r>
        <w:rPr>
          <w:b/>
          <w:bCs/>
        </w:rPr>
        <w:t>Schüβler A, Schwarzott D, Walker C</w:t>
      </w:r>
      <w:r>
        <w:t xml:space="preserve">. </w:t>
      </w:r>
      <w:r>
        <w:rPr>
          <w:b/>
          <w:bCs/>
        </w:rPr>
        <w:t>2001</w:t>
      </w:r>
      <w:r>
        <w:t xml:space="preserve">. A new fungal phylum, the Glomeromycota: phylogeny and evolution. </w:t>
      </w:r>
      <w:r>
        <w:rPr>
          <w:i/>
          <w:iCs/>
        </w:rPr>
        <w:t>Mycological Research</w:t>
      </w:r>
      <w:r>
        <w:t xml:space="preserve"> </w:t>
      </w:r>
      <w:r>
        <w:rPr>
          <w:b/>
          <w:bCs/>
        </w:rPr>
        <w:t>105</w:t>
      </w:r>
      <w:r>
        <w:t>: 1413–1421.</w:t>
      </w:r>
    </w:p>
    <w:p w:rsidR="00EC4E93" w:rsidRDefault="00EC4E93" w:rsidP="00F00459">
      <w:pPr>
        <w:pStyle w:val="Bibliography"/>
      </w:pPr>
      <w:r>
        <w:rPr>
          <w:b/>
          <w:bCs/>
        </w:rPr>
        <w:lastRenderedPageBreak/>
        <w:t>Sheng M, Tang M, Chen H, Yang BW, Zhang FF, Huang YH</w:t>
      </w:r>
      <w:r>
        <w:t xml:space="preserve">. </w:t>
      </w:r>
      <w:r>
        <w:rPr>
          <w:b/>
          <w:bCs/>
        </w:rPr>
        <w:t>2008</w:t>
      </w:r>
      <w:r>
        <w:t xml:space="preserve">. Influence of arbuscular mycorrhizae on photosynthesis and water status of maize plants under salt stress. </w:t>
      </w:r>
      <w:r>
        <w:rPr>
          <w:i/>
          <w:iCs/>
        </w:rPr>
        <w:t>Mycorrhiza</w:t>
      </w:r>
      <w:r>
        <w:t xml:space="preserve"> </w:t>
      </w:r>
      <w:r>
        <w:rPr>
          <w:b/>
          <w:bCs/>
        </w:rPr>
        <w:t>18</w:t>
      </w:r>
      <w:r>
        <w:t>: 287–296.</w:t>
      </w:r>
    </w:p>
    <w:p w:rsidR="00EC4E93" w:rsidRDefault="00EC4E93" w:rsidP="00F00459">
      <w:pPr>
        <w:pStyle w:val="Bibliography"/>
      </w:pPr>
      <w:r>
        <w:rPr>
          <w:b/>
          <w:bCs/>
        </w:rPr>
        <w:t>Simon L, Lalonde M, Bruns TD</w:t>
      </w:r>
      <w:r>
        <w:t xml:space="preserve">. </w:t>
      </w:r>
      <w:r>
        <w:rPr>
          <w:b/>
          <w:bCs/>
        </w:rPr>
        <w:t>1992</w:t>
      </w:r>
      <w:r>
        <w:t xml:space="preserve">. Specific amplification of 18S fungal ribosomal genes from vesicular-arbuscular endomycorrhizal fungi colonizing roots. </w:t>
      </w:r>
      <w:r>
        <w:rPr>
          <w:i/>
          <w:iCs/>
        </w:rPr>
        <w:t>Applied and Environmental Microbiology</w:t>
      </w:r>
      <w:r>
        <w:t xml:space="preserve"> </w:t>
      </w:r>
      <w:r>
        <w:rPr>
          <w:b/>
          <w:bCs/>
        </w:rPr>
        <w:t>58</w:t>
      </w:r>
      <w:r>
        <w:t>: 291–295.</w:t>
      </w:r>
    </w:p>
    <w:p w:rsidR="00EC4E93" w:rsidRDefault="00EC4E93" w:rsidP="00F00459">
      <w:pPr>
        <w:pStyle w:val="Bibliography"/>
      </w:pPr>
      <w:r>
        <w:rPr>
          <w:b/>
          <w:bCs/>
        </w:rPr>
        <w:t>Sipos R, Székely AJ, Palatinszky M, Révész S, Márialigeti K, Nikolausz M</w:t>
      </w:r>
      <w:r>
        <w:t xml:space="preserve">. </w:t>
      </w:r>
      <w:r>
        <w:rPr>
          <w:b/>
          <w:bCs/>
        </w:rPr>
        <w:t>2007</w:t>
      </w:r>
      <w:r>
        <w:t xml:space="preserve">. Effect of primer mismatch, annealing temperature and PCR cycle number on 16S rRNA gene-targetting bacterial community analysis. </w:t>
      </w:r>
      <w:r>
        <w:rPr>
          <w:i/>
          <w:iCs/>
        </w:rPr>
        <w:t>FEMS Microbiology Ecology</w:t>
      </w:r>
      <w:r>
        <w:t xml:space="preserve"> </w:t>
      </w:r>
      <w:r>
        <w:rPr>
          <w:b/>
          <w:bCs/>
        </w:rPr>
        <w:t>60</w:t>
      </w:r>
      <w:r>
        <w:t>: 341–350.</w:t>
      </w:r>
    </w:p>
    <w:p w:rsidR="00EC4E93" w:rsidRDefault="00EC4E93" w:rsidP="00F00459">
      <w:pPr>
        <w:pStyle w:val="Bibliography"/>
      </w:pPr>
      <w:r>
        <w:rPr>
          <w:b/>
          <w:bCs/>
        </w:rPr>
        <w:t>Smith GS</w:t>
      </w:r>
      <w:r>
        <w:t xml:space="preserve">. </w:t>
      </w:r>
      <w:r>
        <w:rPr>
          <w:b/>
          <w:bCs/>
        </w:rPr>
        <w:t>1988</w:t>
      </w:r>
      <w:r>
        <w:t xml:space="preserve">. THE ROLE OF PHOSPHORUS-NUTRITION IN INTERACTIONS OF VESICULAR-ARBUSCULAR MYCORRHIZAL FUNGI WITH SOILBORNE NEMATODES AND FUNGI. </w:t>
      </w:r>
      <w:r>
        <w:rPr>
          <w:i/>
          <w:iCs/>
        </w:rPr>
        <w:t>Phytopathology</w:t>
      </w:r>
      <w:r>
        <w:t xml:space="preserve"> </w:t>
      </w:r>
      <w:r>
        <w:rPr>
          <w:b/>
          <w:bCs/>
        </w:rPr>
        <w:t>78</w:t>
      </w:r>
      <w:r>
        <w:t>: 371–374.</w:t>
      </w:r>
    </w:p>
    <w:p w:rsidR="00EC4E93" w:rsidRDefault="00EC4E93" w:rsidP="00F00459">
      <w:pPr>
        <w:pStyle w:val="Bibliography"/>
      </w:pPr>
      <w:r>
        <w:rPr>
          <w:b/>
          <w:bCs/>
        </w:rPr>
        <w:t>Smith SE, Christophersen HM, Pope S, Smith FA</w:t>
      </w:r>
      <w:r>
        <w:t xml:space="preserve">. </w:t>
      </w:r>
      <w:r>
        <w:rPr>
          <w:b/>
          <w:bCs/>
        </w:rPr>
        <w:t>2010</w:t>
      </w:r>
      <w:r>
        <w:t xml:space="preserve">. Arsenic uptake and toxicity in plants: integrating mycorrhizal influences. </w:t>
      </w:r>
      <w:r>
        <w:rPr>
          <w:i/>
          <w:iCs/>
        </w:rPr>
        <w:t>Plant and Soil</w:t>
      </w:r>
      <w:r>
        <w:t xml:space="preserve"> </w:t>
      </w:r>
      <w:r>
        <w:rPr>
          <w:b/>
          <w:bCs/>
        </w:rPr>
        <w:t>327</w:t>
      </w:r>
      <w:r>
        <w:t>: 1–21.</w:t>
      </w:r>
    </w:p>
    <w:p w:rsidR="00EC4E93" w:rsidRDefault="00EC4E93" w:rsidP="00F00459">
      <w:pPr>
        <w:pStyle w:val="Bibliography"/>
      </w:pPr>
      <w:r>
        <w:rPr>
          <w:b/>
          <w:bCs/>
        </w:rPr>
        <w:t>Smith FA, Grace EJ, Smith SE</w:t>
      </w:r>
      <w:r>
        <w:t xml:space="preserve">. </w:t>
      </w:r>
      <w:r>
        <w:rPr>
          <w:b/>
          <w:bCs/>
        </w:rPr>
        <w:t>2009</w:t>
      </w:r>
      <w:r>
        <w:t xml:space="preserve">. More than a carbon economy: nutrient trade and ecological sustainability in facultative arbuscular mycorrhizal symbioses. </w:t>
      </w:r>
      <w:r>
        <w:rPr>
          <w:i/>
          <w:iCs/>
        </w:rPr>
        <w:t>New Phytologist</w:t>
      </w:r>
      <w:r>
        <w:t xml:space="preserve"> </w:t>
      </w:r>
      <w:r>
        <w:rPr>
          <w:b/>
          <w:bCs/>
        </w:rPr>
        <w:t>182</w:t>
      </w:r>
      <w:r>
        <w:t>: 347–358.</w:t>
      </w:r>
    </w:p>
    <w:p w:rsidR="00EC4E93" w:rsidRDefault="00EC4E93" w:rsidP="00F00459">
      <w:pPr>
        <w:pStyle w:val="Bibliography"/>
      </w:pPr>
      <w:r>
        <w:rPr>
          <w:b/>
          <w:bCs/>
        </w:rPr>
        <w:t>Smith SE, Read D</w:t>
      </w:r>
      <w:r>
        <w:t xml:space="preserve">. </w:t>
      </w:r>
      <w:r>
        <w:rPr>
          <w:b/>
          <w:bCs/>
        </w:rPr>
        <w:t>2008</w:t>
      </w:r>
      <w:r>
        <w:t xml:space="preserve">. </w:t>
      </w:r>
      <w:r>
        <w:rPr>
          <w:i/>
          <w:iCs/>
        </w:rPr>
        <w:t>Mycorrhizal Symbiosis</w:t>
      </w:r>
      <w:r>
        <w:t>. London: Academic Press.</w:t>
      </w:r>
    </w:p>
    <w:p w:rsidR="00EC4E93" w:rsidRDefault="00EC4E93" w:rsidP="00F00459">
      <w:pPr>
        <w:pStyle w:val="Bibliography"/>
      </w:pPr>
      <w:r>
        <w:rPr>
          <w:b/>
          <w:bCs/>
        </w:rPr>
        <w:t>Smith SE, Smith FA</w:t>
      </w:r>
      <w:r>
        <w:t xml:space="preserve">. </w:t>
      </w:r>
      <w:r>
        <w:rPr>
          <w:b/>
          <w:bCs/>
        </w:rPr>
        <w:t>2011a</w:t>
      </w:r>
      <w:r>
        <w:t>. Roles of Arbuscular Mycorrhizas in Plant Nutrition and Growth: New Paradigms from Cellular to Ecosystem Scales. In: Merchant SS,, In: Briggs WR,,  In: Ort D, eds. Annual Review of Plant Biology, Vol 62. Palo Alto: Annual Reviews, 227–250.</w:t>
      </w:r>
    </w:p>
    <w:p w:rsidR="00EC4E93" w:rsidRDefault="00EC4E93" w:rsidP="00F00459">
      <w:pPr>
        <w:pStyle w:val="Bibliography"/>
      </w:pPr>
      <w:r>
        <w:rPr>
          <w:b/>
          <w:bCs/>
        </w:rPr>
        <w:t>Smith FA, Smith SE</w:t>
      </w:r>
      <w:r>
        <w:t xml:space="preserve">. </w:t>
      </w:r>
      <w:r>
        <w:rPr>
          <w:b/>
          <w:bCs/>
        </w:rPr>
        <w:t>2011b</w:t>
      </w:r>
      <w:r>
        <w:t xml:space="preserve">. What is the significance of the arbuscular mycorrhizal colonisation of many economically important crop plants? </w:t>
      </w:r>
      <w:r>
        <w:rPr>
          <w:i/>
          <w:iCs/>
        </w:rPr>
        <w:t>Plant and Soil</w:t>
      </w:r>
      <w:r>
        <w:t xml:space="preserve"> </w:t>
      </w:r>
      <w:r>
        <w:rPr>
          <w:b/>
          <w:bCs/>
        </w:rPr>
        <w:t>348</w:t>
      </w:r>
      <w:r>
        <w:t>: 63–79.</w:t>
      </w:r>
    </w:p>
    <w:p w:rsidR="00EC4E93" w:rsidRDefault="00EC4E93" w:rsidP="00F00459">
      <w:pPr>
        <w:pStyle w:val="Bibliography"/>
      </w:pPr>
      <w:r>
        <w:rPr>
          <w:b/>
          <w:bCs/>
        </w:rPr>
        <w:t>Smith SE, Smith FA</w:t>
      </w:r>
      <w:r>
        <w:t xml:space="preserve">. </w:t>
      </w:r>
      <w:r>
        <w:rPr>
          <w:b/>
          <w:bCs/>
        </w:rPr>
        <w:t>2012</w:t>
      </w:r>
      <w:r>
        <w:t xml:space="preserve">. Fresh perspectives on the roles of arbuscular mycorrhizal fungi in plant nutrition and growth. </w:t>
      </w:r>
      <w:r>
        <w:rPr>
          <w:i/>
          <w:iCs/>
        </w:rPr>
        <w:t>Mycologia</w:t>
      </w:r>
      <w:r>
        <w:t xml:space="preserve"> </w:t>
      </w:r>
      <w:r>
        <w:rPr>
          <w:b/>
          <w:bCs/>
        </w:rPr>
        <w:t>104</w:t>
      </w:r>
      <w:r>
        <w:t>: 1–13.</w:t>
      </w:r>
    </w:p>
    <w:p w:rsidR="00EC4E93" w:rsidRDefault="00EC4E93" w:rsidP="00F00459">
      <w:pPr>
        <w:pStyle w:val="Bibliography"/>
      </w:pPr>
      <w:r>
        <w:rPr>
          <w:b/>
          <w:bCs/>
        </w:rPr>
        <w:t>Smith SE, Smith FA, Jakobsen I</w:t>
      </w:r>
      <w:r>
        <w:t xml:space="preserve">. </w:t>
      </w:r>
      <w:r>
        <w:rPr>
          <w:b/>
          <w:bCs/>
        </w:rPr>
        <w:t>2004</w:t>
      </w:r>
      <w:r>
        <w:t xml:space="preserve">. Functional diversity in arbuscular mycorrhizal (AM) symbioses: the contribution of the mycorrhizal P uptake pathway is not correlated with mycorrhizal responses in growth or total P uptake. </w:t>
      </w:r>
      <w:r>
        <w:rPr>
          <w:i/>
          <w:iCs/>
        </w:rPr>
        <w:t>New Phytologist</w:t>
      </w:r>
      <w:r>
        <w:t xml:space="preserve"> </w:t>
      </w:r>
      <w:r>
        <w:rPr>
          <w:b/>
          <w:bCs/>
        </w:rPr>
        <w:t>162</w:t>
      </w:r>
      <w:r>
        <w:t>: 511–524.</w:t>
      </w:r>
    </w:p>
    <w:p w:rsidR="00EC4E93" w:rsidRDefault="00EC4E93" w:rsidP="00F00459">
      <w:pPr>
        <w:pStyle w:val="Bibliography"/>
      </w:pPr>
      <w:r>
        <w:rPr>
          <w:b/>
          <w:bCs/>
        </w:rPr>
        <w:t>Song F, Pan Z, Bai F, An J, Liu J, Guo W, Bisseling T, Deng X, Xiao S</w:t>
      </w:r>
      <w:r>
        <w:t xml:space="preserve">. </w:t>
      </w:r>
      <w:r>
        <w:rPr>
          <w:b/>
          <w:bCs/>
        </w:rPr>
        <w:t>2015</w:t>
      </w:r>
      <w:r>
        <w:t xml:space="preserve">. The Scion/Rootstock Genotypes and Habitats Affect Arbuscular Mycorrhizal Fungal Community in Citrus. </w:t>
      </w:r>
      <w:r>
        <w:rPr>
          <w:i/>
          <w:iCs/>
        </w:rPr>
        <w:t>Frontiers in Microbiology</w:t>
      </w:r>
      <w:r>
        <w:t xml:space="preserve"> </w:t>
      </w:r>
      <w:r>
        <w:rPr>
          <w:b/>
          <w:bCs/>
        </w:rPr>
        <w:t>6</w:t>
      </w:r>
      <w:r>
        <w:t>.</w:t>
      </w:r>
    </w:p>
    <w:p w:rsidR="00EC4E93" w:rsidRDefault="00EC4E93" w:rsidP="00F00459">
      <w:pPr>
        <w:pStyle w:val="Bibliography"/>
      </w:pPr>
      <w:r>
        <w:rPr>
          <w:b/>
          <w:bCs/>
        </w:rPr>
        <w:t>de Souza LA, de Andrade SAL, de Souza SCR, Schiavinato MA</w:t>
      </w:r>
      <w:r>
        <w:t xml:space="preserve">. </w:t>
      </w:r>
      <w:r>
        <w:rPr>
          <w:b/>
          <w:bCs/>
        </w:rPr>
        <w:t>2012</w:t>
      </w:r>
      <w:r>
        <w:t xml:space="preserve">. Arbuscular mycorrhiza confers Pb tolerance in Calopogonium mucunoides. </w:t>
      </w:r>
      <w:r>
        <w:rPr>
          <w:i/>
          <w:iCs/>
        </w:rPr>
        <w:t>Acta Physiologiae Plantarum</w:t>
      </w:r>
      <w:r>
        <w:t xml:space="preserve"> </w:t>
      </w:r>
      <w:r>
        <w:rPr>
          <w:b/>
          <w:bCs/>
        </w:rPr>
        <w:t>34</w:t>
      </w:r>
      <w:r>
        <w:t>: 523–531.</w:t>
      </w:r>
    </w:p>
    <w:p w:rsidR="00EC4E93" w:rsidRDefault="00EC4E93" w:rsidP="00F00459">
      <w:pPr>
        <w:pStyle w:val="Bibliography"/>
      </w:pPr>
      <w:r>
        <w:rPr>
          <w:b/>
          <w:bCs/>
        </w:rPr>
        <w:t>Subramanian KS, Santhanakrishnan P, Balasubramanian P</w:t>
      </w:r>
      <w:r>
        <w:t xml:space="preserve">. </w:t>
      </w:r>
      <w:r>
        <w:rPr>
          <w:b/>
          <w:bCs/>
        </w:rPr>
        <w:t>2006</w:t>
      </w:r>
      <w:r>
        <w:t xml:space="preserve">. Responses of field grown tomato plants to arbuscular mycorrhizal fungal colonization under varying intensities of drought stress. </w:t>
      </w:r>
      <w:r>
        <w:rPr>
          <w:i/>
          <w:iCs/>
        </w:rPr>
        <w:t>Scientia Horticulturae</w:t>
      </w:r>
      <w:r>
        <w:t xml:space="preserve"> </w:t>
      </w:r>
      <w:r>
        <w:rPr>
          <w:b/>
          <w:bCs/>
        </w:rPr>
        <w:t>107</w:t>
      </w:r>
      <w:r>
        <w:t>: 245–253.</w:t>
      </w:r>
    </w:p>
    <w:p w:rsidR="00EC4E93" w:rsidRDefault="00EC4E93" w:rsidP="00F00459">
      <w:pPr>
        <w:pStyle w:val="Bibliography"/>
      </w:pPr>
      <w:r>
        <w:rPr>
          <w:b/>
          <w:bCs/>
        </w:rPr>
        <w:t>Sumorok B, Paszt LS, Gluszek ED, Zurawicz E</w:t>
      </w:r>
      <w:r>
        <w:t xml:space="preserve">. </w:t>
      </w:r>
      <w:r>
        <w:rPr>
          <w:b/>
          <w:bCs/>
        </w:rPr>
        <w:t>2011</w:t>
      </w:r>
      <w:r>
        <w:t xml:space="preserve">. The effect o mycorrhization and mulching of apple trees ‘Glod Millenium’ and blackcurrant bushes ‘Tiben’ on the occurrent of arbuscular mycorrhizal fungi. </w:t>
      </w:r>
      <w:r>
        <w:rPr>
          <w:i/>
          <w:iCs/>
        </w:rPr>
        <w:t>Journal of Fruit and Ornamental Plant Research</w:t>
      </w:r>
      <w:r>
        <w:t xml:space="preserve"> </w:t>
      </w:r>
      <w:r>
        <w:rPr>
          <w:b/>
          <w:bCs/>
        </w:rPr>
        <w:t>19</w:t>
      </w:r>
      <w:r>
        <w:t>.</w:t>
      </w:r>
    </w:p>
    <w:p w:rsidR="00EC4E93" w:rsidRDefault="00EC4E93" w:rsidP="00F00459">
      <w:pPr>
        <w:pStyle w:val="Bibliography"/>
      </w:pPr>
      <w:r>
        <w:rPr>
          <w:b/>
          <w:bCs/>
        </w:rPr>
        <w:t>Sýkorová Z, Ineichen K, Wiemken A, Redecker D</w:t>
      </w:r>
      <w:r>
        <w:t xml:space="preserve">. </w:t>
      </w:r>
      <w:r>
        <w:rPr>
          <w:b/>
          <w:bCs/>
        </w:rPr>
        <w:t>2007</w:t>
      </w:r>
      <w:r>
        <w:t xml:space="preserve">. The cultivation bias: different communities of arbuscular mycorrhizal fungi detected in roots from the field, from bait plants transplanted to the field, and from a greenhouse trap experiment. </w:t>
      </w:r>
      <w:r>
        <w:rPr>
          <w:i/>
          <w:iCs/>
        </w:rPr>
        <w:t>Mycorrhiza</w:t>
      </w:r>
      <w:r>
        <w:t xml:space="preserve"> </w:t>
      </w:r>
      <w:r>
        <w:rPr>
          <w:b/>
          <w:bCs/>
        </w:rPr>
        <w:t>18</w:t>
      </w:r>
      <w:r>
        <w:t>: 1–14.</w:t>
      </w:r>
    </w:p>
    <w:p w:rsidR="00EC4E93" w:rsidRDefault="00EC4E93" w:rsidP="00F00459">
      <w:pPr>
        <w:pStyle w:val="Bibliography"/>
      </w:pPr>
      <w:r>
        <w:rPr>
          <w:b/>
          <w:bCs/>
        </w:rPr>
        <w:lastRenderedPageBreak/>
        <w:t xml:space="preserve">Thiery O, Vasar M, Jairus T, Davison J, Roux C, Kivistik P-A, Metspalu A, Milani L, Saks U, Moora M, </w:t>
      </w:r>
      <w:r>
        <w:rPr>
          <w:b/>
          <w:bCs/>
          <w:i/>
          <w:iCs/>
        </w:rPr>
        <w:t>et al.</w:t>
      </w:r>
      <w:r>
        <w:t xml:space="preserve"> </w:t>
      </w:r>
      <w:r>
        <w:rPr>
          <w:b/>
          <w:bCs/>
        </w:rPr>
        <w:t>2016</w:t>
      </w:r>
      <w:r>
        <w:t xml:space="preserve">. Sequence variation in nuclear ribosomal small subunit, internal transcribed spacer and large subunit regions of Rhizophagus irregularis and Gigaspora margarita is high and isolate-dependent. </w:t>
      </w:r>
      <w:r>
        <w:rPr>
          <w:i/>
          <w:iCs/>
        </w:rPr>
        <w:t>Molecular Ecology</w:t>
      </w:r>
      <w:r>
        <w:t xml:space="preserve"> </w:t>
      </w:r>
      <w:r>
        <w:rPr>
          <w:b/>
          <w:bCs/>
        </w:rPr>
        <w:t>25</w:t>
      </w:r>
      <w:r>
        <w:t>: 2816–2832.</w:t>
      </w:r>
    </w:p>
    <w:p w:rsidR="00EC4E93" w:rsidRDefault="00EC4E93" w:rsidP="00F00459">
      <w:pPr>
        <w:pStyle w:val="Bibliography"/>
      </w:pPr>
      <w:r>
        <w:rPr>
          <w:b/>
          <w:bCs/>
        </w:rPr>
        <w:t>Tian CY, Feng G, Li XL, Zhang FS</w:t>
      </w:r>
      <w:r>
        <w:t xml:space="preserve">. </w:t>
      </w:r>
      <w:r>
        <w:rPr>
          <w:b/>
          <w:bCs/>
        </w:rPr>
        <w:t>2004</w:t>
      </w:r>
      <w:r>
        <w:t xml:space="preserve">. Different effects of arbuscular mycorrhizal fungal isolates from saline or non-saline soil on salinity tolerance of plants. </w:t>
      </w:r>
      <w:r>
        <w:rPr>
          <w:i/>
          <w:iCs/>
        </w:rPr>
        <w:t>Applied Soil Ecology</w:t>
      </w:r>
      <w:r>
        <w:t xml:space="preserve"> </w:t>
      </w:r>
      <w:r>
        <w:rPr>
          <w:b/>
          <w:bCs/>
        </w:rPr>
        <w:t>26</w:t>
      </w:r>
      <w:r>
        <w:t>: 143–148.</w:t>
      </w:r>
    </w:p>
    <w:p w:rsidR="00EC4E93" w:rsidRDefault="00EC4E93" w:rsidP="00F00459">
      <w:pPr>
        <w:pStyle w:val="Bibliography"/>
      </w:pPr>
      <w:r>
        <w:rPr>
          <w:b/>
          <w:bCs/>
        </w:rPr>
        <w:t>Tilman D, Balzer C, Hill J, Befort BL</w:t>
      </w:r>
      <w:r>
        <w:t xml:space="preserve">. </w:t>
      </w:r>
      <w:r>
        <w:rPr>
          <w:b/>
          <w:bCs/>
        </w:rPr>
        <w:t>2011</w:t>
      </w:r>
      <w:r>
        <w:t xml:space="preserve">. Global food demand and the sustainable intensification of agriculture. </w:t>
      </w:r>
      <w:r>
        <w:rPr>
          <w:i/>
          <w:iCs/>
        </w:rPr>
        <w:t>Proceedings of the National Academy of Sciences</w:t>
      </w:r>
      <w:r>
        <w:t xml:space="preserve"> </w:t>
      </w:r>
      <w:r>
        <w:rPr>
          <w:b/>
          <w:bCs/>
        </w:rPr>
        <w:t>108</w:t>
      </w:r>
      <w:r>
        <w:t>: 20260–20264.</w:t>
      </w:r>
    </w:p>
    <w:p w:rsidR="00EC4E93" w:rsidRDefault="00EC4E93" w:rsidP="00F00459">
      <w:pPr>
        <w:pStyle w:val="Bibliography"/>
      </w:pPr>
      <w:r>
        <w:rPr>
          <w:b/>
          <w:bCs/>
        </w:rPr>
        <w:t>Tilman D, Cassman KG, Matson PA, Naylor R, Polasky S</w:t>
      </w:r>
      <w:r>
        <w:t xml:space="preserve">. </w:t>
      </w:r>
      <w:r>
        <w:rPr>
          <w:b/>
          <w:bCs/>
        </w:rPr>
        <w:t>2002</w:t>
      </w:r>
      <w:r>
        <w:t xml:space="preserve">. Agricultural sustainability and intensive production practices. </w:t>
      </w:r>
      <w:r>
        <w:rPr>
          <w:i/>
          <w:iCs/>
        </w:rPr>
        <w:t>Nature</w:t>
      </w:r>
      <w:r>
        <w:t xml:space="preserve"> </w:t>
      </w:r>
      <w:r>
        <w:rPr>
          <w:b/>
          <w:bCs/>
        </w:rPr>
        <w:t>418</w:t>
      </w:r>
      <w:r>
        <w:t>: 671–677.</w:t>
      </w:r>
    </w:p>
    <w:p w:rsidR="00EC4E93" w:rsidRDefault="00EC4E93" w:rsidP="00F00459">
      <w:pPr>
        <w:pStyle w:val="Bibliography"/>
      </w:pPr>
      <w:r>
        <w:rPr>
          <w:b/>
          <w:bCs/>
        </w:rPr>
        <w:t>Torrecillas E, Alguacil MM, Roldán A</w:t>
      </w:r>
      <w:r>
        <w:t xml:space="preserve">. </w:t>
      </w:r>
      <w:r>
        <w:rPr>
          <w:b/>
          <w:bCs/>
        </w:rPr>
        <w:t>2012</w:t>
      </w:r>
      <w:r>
        <w:t xml:space="preserve">. Host Preferences of Arbuscular Mycorrhizal Fungi Colonizing Annual Herbaceous Plant Species in Semiarid Mediterranean Prairies. </w:t>
      </w:r>
      <w:r>
        <w:rPr>
          <w:i/>
          <w:iCs/>
        </w:rPr>
        <w:t>Applied and Environmental Microbiology</w:t>
      </w:r>
      <w:r>
        <w:t xml:space="preserve"> </w:t>
      </w:r>
      <w:r>
        <w:rPr>
          <w:b/>
          <w:bCs/>
        </w:rPr>
        <w:t>78</w:t>
      </w:r>
      <w:r>
        <w:t>: 6180–6186.</w:t>
      </w:r>
    </w:p>
    <w:p w:rsidR="00EC4E93" w:rsidRDefault="00EC4E93" w:rsidP="00F00459">
      <w:pPr>
        <w:pStyle w:val="Bibliography"/>
      </w:pPr>
      <w:r>
        <w:rPr>
          <w:b/>
          <w:bCs/>
        </w:rPr>
        <w:t>Treseder KK, Allen MF</w:t>
      </w:r>
      <w:r>
        <w:t xml:space="preserve">. </w:t>
      </w:r>
      <w:r>
        <w:rPr>
          <w:b/>
          <w:bCs/>
        </w:rPr>
        <w:t>2002</w:t>
      </w:r>
      <w:r>
        <w:t xml:space="preserve">. Direct nitrogen and phosphorus limitation of arbuscular mycorrhizal fungi: a model and field test. </w:t>
      </w:r>
      <w:r>
        <w:rPr>
          <w:i/>
          <w:iCs/>
        </w:rPr>
        <w:t>New Phytologist</w:t>
      </w:r>
      <w:r>
        <w:t xml:space="preserve"> </w:t>
      </w:r>
      <w:r>
        <w:rPr>
          <w:b/>
          <w:bCs/>
        </w:rPr>
        <w:t>155</w:t>
      </w:r>
      <w:r>
        <w:t>: 507–515.</w:t>
      </w:r>
    </w:p>
    <w:p w:rsidR="00EC4E93" w:rsidRDefault="00EC4E93" w:rsidP="00F00459">
      <w:pPr>
        <w:pStyle w:val="Bibliography"/>
      </w:pPr>
      <w:r>
        <w:rPr>
          <w:b/>
          <w:bCs/>
        </w:rPr>
        <w:t>Tuck SL, Winqvist C, Mota F, Ahnström J, Turnbull LA, Bengtsson J</w:t>
      </w:r>
      <w:r>
        <w:t xml:space="preserve">. </w:t>
      </w:r>
      <w:r>
        <w:rPr>
          <w:b/>
          <w:bCs/>
        </w:rPr>
        <w:t>2014</w:t>
      </w:r>
      <w:r>
        <w:t xml:space="preserve">. Land-use intensity and the effects of organic farming on biodiversity: a hierarchical meta-analysis. </w:t>
      </w:r>
      <w:r>
        <w:rPr>
          <w:i/>
          <w:iCs/>
        </w:rPr>
        <w:t>Journal of Applied Ecology</w:t>
      </w:r>
      <w:r>
        <w:t xml:space="preserve"> </w:t>
      </w:r>
      <w:r>
        <w:rPr>
          <w:b/>
          <w:bCs/>
        </w:rPr>
        <w:t>51</w:t>
      </w:r>
      <w:r>
        <w:t>: 746–755.</w:t>
      </w:r>
    </w:p>
    <w:p w:rsidR="00EC4E93" w:rsidRDefault="00EC4E93" w:rsidP="00F00459">
      <w:pPr>
        <w:pStyle w:val="Bibliography"/>
      </w:pPr>
      <w:r>
        <w:rPr>
          <w:b/>
          <w:bCs/>
        </w:rPr>
        <w:t>Uibopuu A, Moora M, Öpik M, Zobel M</w:t>
      </w:r>
      <w:r>
        <w:t xml:space="preserve">. </w:t>
      </w:r>
      <w:r>
        <w:rPr>
          <w:b/>
          <w:bCs/>
        </w:rPr>
        <w:t>2012</w:t>
      </w:r>
      <w:r>
        <w:t xml:space="preserve">. Temperate forest understorey species performance is altered by local arbuscular mycorrhizal fungal communities from stands of different successional stages. </w:t>
      </w:r>
      <w:r>
        <w:rPr>
          <w:i/>
          <w:iCs/>
        </w:rPr>
        <w:t>Plant and Soil</w:t>
      </w:r>
      <w:r>
        <w:t xml:space="preserve"> </w:t>
      </w:r>
      <w:r>
        <w:rPr>
          <w:b/>
          <w:bCs/>
        </w:rPr>
        <w:t>356</w:t>
      </w:r>
      <w:r>
        <w:t>: 331–339.</w:t>
      </w:r>
    </w:p>
    <w:p w:rsidR="00EC4E93" w:rsidRDefault="00EC4E93" w:rsidP="00F00459">
      <w:pPr>
        <w:pStyle w:val="Bibliography"/>
      </w:pPr>
      <w:r>
        <w:rPr>
          <w:b/>
          <w:bCs/>
        </w:rPr>
        <w:t>Umpelby R, Copas L</w:t>
      </w:r>
      <w:r>
        <w:t xml:space="preserve">. </w:t>
      </w:r>
      <w:r>
        <w:rPr>
          <w:b/>
          <w:bCs/>
        </w:rPr>
        <w:t>2002</w:t>
      </w:r>
      <w:r>
        <w:t xml:space="preserve">. </w:t>
      </w:r>
      <w:r>
        <w:rPr>
          <w:i/>
          <w:iCs/>
        </w:rPr>
        <w:t>Growing Cider Apples: A guide to good growing practice</w:t>
      </w:r>
      <w:r>
        <w:t>. National Association of Cider Makers (NACM) in association with ADAS, Horticultural Research International (HRI) and the Farming and Wildlife Advisory Group (FWAG).</w:t>
      </w:r>
    </w:p>
    <w:p w:rsidR="00EC4E93" w:rsidRDefault="00EC4E93" w:rsidP="00F00459">
      <w:pPr>
        <w:pStyle w:val="Bibliography"/>
      </w:pPr>
      <w:r>
        <w:rPr>
          <w:b/>
          <w:bCs/>
        </w:rPr>
        <w:t>Utkhede RS, Smith EM</w:t>
      </w:r>
      <w:r>
        <w:t xml:space="preserve">. </w:t>
      </w:r>
      <w:r>
        <w:rPr>
          <w:b/>
          <w:bCs/>
        </w:rPr>
        <w:t>2000</w:t>
      </w:r>
      <w:r>
        <w:t xml:space="preserve">. Impact of chemical, biological and cultural treatments on the growth and yield of apple in replant-disease soil. </w:t>
      </w:r>
      <w:r>
        <w:rPr>
          <w:i/>
          <w:iCs/>
        </w:rPr>
        <w:t>Australasian Plant Pathology</w:t>
      </w:r>
      <w:r>
        <w:t xml:space="preserve"> </w:t>
      </w:r>
      <w:r>
        <w:rPr>
          <w:b/>
          <w:bCs/>
        </w:rPr>
        <w:t>29</w:t>
      </w:r>
      <w:r>
        <w:t>: 129–136.</w:t>
      </w:r>
    </w:p>
    <w:p w:rsidR="00EC4E93" w:rsidRDefault="00EC4E93" w:rsidP="00F00459">
      <w:pPr>
        <w:pStyle w:val="Bibliography"/>
      </w:pPr>
      <w:r>
        <w:rPr>
          <w:b/>
          <w:bCs/>
        </w:rPr>
        <w:t>Vallino M, Massa N, Lumini E, Bianciotto V, Berta G, Bonfante P</w:t>
      </w:r>
      <w:r>
        <w:t xml:space="preserve">. </w:t>
      </w:r>
      <w:r>
        <w:rPr>
          <w:b/>
          <w:bCs/>
        </w:rPr>
        <w:t>2006</w:t>
      </w:r>
      <w:r>
        <w:t xml:space="preserve">. Assessment of arbuscular mycorrhizal fungal diversity in roots of Solidago gigantea growing in a polluted soil in Northern Italy. </w:t>
      </w:r>
      <w:r>
        <w:rPr>
          <w:i/>
          <w:iCs/>
        </w:rPr>
        <w:t>Environmental Microbiology</w:t>
      </w:r>
      <w:r>
        <w:t xml:space="preserve"> </w:t>
      </w:r>
      <w:r>
        <w:rPr>
          <w:b/>
          <w:bCs/>
        </w:rPr>
        <w:t>8</w:t>
      </w:r>
      <w:r>
        <w:t>: 971–983.</w:t>
      </w:r>
    </w:p>
    <w:p w:rsidR="00EC4E93" w:rsidRDefault="00EC4E93" w:rsidP="00F00459">
      <w:pPr>
        <w:pStyle w:val="Bibliography"/>
      </w:pPr>
      <w:r>
        <w:rPr>
          <w:b/>
          <w:bCs/>
        </w:rPr>
        <w:t>Valyi K, Rillig MC, Hempel S</w:t>
      </w:r>
      <w:r>
        <w:t xml:space="preserve">. </w:t>
      </w:r>
      <w:r>
        <w:rPr>
          <w:b/>
          <w:bCs/>
        </w:rPr>
        <w:t>2015</w:t>
      </w:r>
      <w:r>
        <w:t xml:space="preserve">. Land-use intensity and host plant identity interactively shape communities of arbuscular mycorrhizal fungi in roots of grassland plants. </w:t>
      </w:r>
      <w:r>
        <w:rPr>
          <w:i/>
          <w:iCs/>
        </w:rPr>
        <w:t>New Phytologist</w:t>
      </w:r>
      <w:r>
        <w:t xml:space="preserve"> </w:t>
      </w:r>
      <w:r>
        <w:rPr>
          <w:b/>
          <w:bCs/>
        </w:rPr>
        <w:t>205</w:t>
      </w:r>
      <w:r>
        <w:t>: 1577–1586.</w:t>
      </w:r>
    </w:p>
    <w:p w:rsidR="00EC4E93" w:rsidRDefault="00EC4E93" w:rsidP="00F00459">
      <w:pPr>
        <w:pStyle w:val="Bibliography"/>
      </w:pPr>
      <w:r>
        <w:rPr>
          <w:b/>
          <w:bCs/>
        </w:rPr>
        <w:t>Vandenkoornhuyse P, Ridgway KP, Watson IJ, Fitter AH, Young JPW</w:t>
      </w:r>
      <w:r>
        <w:t xml:space="preserve">. </w:t>
      </w:r>
      <w:r>
        <w:rPr>
          <w:b/>
          <w:bCs/>
        </w:rPr>
        <w:t>2003</w:t>
      </w:r>
      <w:r>
        <w:t xml:space="preserve">. Co-existing grass species have distinctive arbuscular mycorrhizal communities. </w:t>
      </w:r>
      <w:r>
        <w:rPr>
          <w:i/>
          <w:iCs/>
        </w:rPr>
        <w:t>Molecular Ecology</w:t>
      </w:r>
      <w:r>
        <w:t xml:space="preserve"> </w:t>
      </w:r>
      <w:r>
        <w:rPr>
          <w:b/>
          <w:bCs/>
        </w:rPr>
        <w:t>12</w:t>
      </w:r>
      <w:r>
        <w:t>: 3085–3095.</w:t>
      </w:r>
    </w:p>
    <w:p w:rsidR="00EC4E93" w:rsidRDefault="00EC4E93" w:rsidP="00F00459">
      <w:pPr>
        <w:pStyle w:val="Bibliography"/>
      </w:pPr>
      <w:r>
        <w:rPr>
          <w:b/>
          <w:bCs/>
        </w:rPr>
        <w:t>Varela-Cervero S, Vasar M, Davison J, Barea JM, Öpik M, Azcón-Aguilar C</w:t>
      </w:r>
      <w:r>
        <w:t xml:space="preserve">. </w:t>
      </w:r>
      <w:r>
        <w:rPr>
          <w:b/>
          <w:bCs/>
        </w:rPr>
        <w:t>2015</w:t>
      </w:r>
      <w:r>
        <w:t xml:space="preserve">. The composition of arbuscular mycorrhizal fungal communities differs among the roots, spores and extraradical mycelia associated with five Mediterranean plant species. </w:t>
      </w:r>
      <w:r>
        <w:rPr>
          <w:i/>
          <w:iCs/>
        </w:rPr>
        <w:t>Environmental Microbiology</w:t>
      </w:r>
      <w:r>
        <w:t xml:space="preserve"> </w:t>
      </w:r>
      <w:r>
        <w:rPr>
          <w:b/>
          <w:bCs/>
        </w:rPr>
        <w:t>17</w:t>
      </w:r>
      <w:r>
        <w:t>: 2882–2895.</w:t>
      </w:r>
    </w:p>
    <w:p w:rsidR="00EC4E93" w:rsidRDefault="00EC4E93" w:rsidP="00F00459">
      <w:pPr>
        <w:pStyle w:val="Bibliography"/>
      </w:pPr>
      <w:r>
        <w:rPr>
          <w:b/>
          <w:bCs/>
        </w:rPr>
        <w:t>Veiga RSL, Jansa J, Frossard E, Heijden MGA van der</w:t>
      </w:r>
      <w:r>
        <w:t xml:space="preserve">. </w:t>
      </w:r>
      <w:r>
        <w:rPr>
          <w:b/>
          <w:bCs/>
        </w:rPr>
        <w:t>2011</w:t>
      </w:r>
      <w:r>
        <w:t xml:space="preserve">. Can Arbuscular Mycorrhizal Fungi Reduce the Growth of Agricultural Weeds? </w:t>
      </w:r>
      <w:r>
        <w:rPr>
          <w:i/>
          <w:iCs/>
        </w:rPr>
        <w:t>PLOS ONE</w:t>
      </w:r>
      <w:r>
        <w:t xml:space="preserve"> </w:t>
      </w:r>
      <w:r>
        <w:rPr>
          <w:b/>
          <w:bCs/>
        </w:rPr>
        <w:t>6</w:t>
      </w:r>
      <w:r>
        <w:t>: e27825.</w:t>
      </w:r>
    </w:p>
    <w:p w:rsidR="00EC4E93" w:rsidRDefault="00EC4E93" w:rsidP="00F00459">
      <w:pPr>
        <w:pStyle w:val="Bibliography"/>
      </w:pPr>
      <w:r>
        <w:rPr>
          <w:b/>
          <w:bCs/>
        </w:rPr>
        <w:lastRenderedPageBreak/>
        <w:t>Verbruggen E, Kiers ET</w:t>
      </w:r>
      <w:r>
        <w:t xml:space="preserve">. </w:t>
      </w:r>
      <w:r>
        <w:rPr>
          <w:b/>
          <w:bCs/>
        </w:rPr>
        <w:t>2010</w:t>
      </w:r>
      <w:r>
        <w:t xml:space="preserve">. Evolutionary ecology of mycorrhizal functional diversity in agricultural systems. </w:t>
      </w:r>
      <w:r>
        <w:rPr>
          <w:i/>
          <w:iCs/>
        </w:rPr>
        <w:t>Evolutionary Applications</w:t>
      </w:r>
      <w:r>
        <w:t xml:space="preserve"> </w:t>
      </w:r>
      <w:r>
        <w:rPr>
          <w:b/>
          <w:bCs/>
        </w:rPr>
        <w:t>3</w:t>
      </w:r>
      <w:r>
        <w:t>: 547–560.</w:t>
      </w:r>
    </w:p>
    <w:p w:rsidR="00EC4E93" w:rsidRDefault="00EC4E93" w:rsidP="00F00459">
      <w:pPr>
        <w:pStyle w:val="Bibliography"/>
      </w:pPr>
      <w:r>
        <w:rPr>
          <w:b/>
          <w:bCs/>
        </w:rPr>
        <w:t>Verbruggen E, Röling WFM, Gamper HA, Kowalchuk GA, Verhoef HA, van der Heijden MGA</w:t>
      </w:r>
      <w:r>
        <w:t xml:space="preserve">. </w:t>
      </w:r>
      <w:r>
        <w:rPr>
          <w:b/>
          <w:bCs/>
        </w:rPr>
        <w:t>2010</w:t>
      </w:r>
      <w:r>
        <w:t xml:space="preserve">. Positive effects of organic farming on below-ground mutualists: large-scale comparison of mycorrhizal fungal communities in agricultural soils. </w:t>
      </w:r>
      <w:r>
        <w:rPr>
          <w:i/>
          <w:iCs/>
        </w:rPr>
        <w:t>The New Phytologist</w:t>
      </w:r>
      <w:r>
        <w:t xml:space="preserve"> </w:t>
      </w:r>
      <w:r>
        <w:rPr>
          <w:b/>
          <w:bCs/>
        </w:rPr>
        <w:t>186</w:t>
      </w:r>
      <w:r>
        <w:t>: 968–979.</w:t>
      </w:r>
    </w:p>
    <w:p w:rsidR="00EC4E93" w:rsidRDefault="00EC4E93" w:rsidP="00F00459">
      <w:pPr>
        <w:pStyle w:val="Bibliography"/>
      </w:pPr>
      <w:r>
        <w:rPr>
          <w:b/>
          <w:bCs/>
        </w:rPr>
        <w:t>Verbruggen E, Van Der HEIJDEN MGA, Weedon JT, Kowalchuk GA, Röling WFM</w:t>
      </w:r>
      <w:r>
        <w:t xml:space="preserve">. </w:t>
      </w:r>
      <w:r>
        <w:rPr>
          <w:b/>
          <w:bCs/>
        </w:rPr>
        <w:t>2012</w:t>
      </w:r>
      <w:r>
        <w:t xml:space="preserve">. Community assembly, species richness and nestedness of arbuscular mycorrhizal fungi in agricultural soils. </w:t>
      </w:r>
      <w:r>
        <w:rPr>
          <w:i/>
          <w:iCs/>
        </w:rPr>
        <w:t>Molecular Ecology</w:t>
      </w:r>
      <w:r>
        <w:t xml:space="preserve"> </w:t>
      </w:r>
      <w:r>
        <w:rPr>
          <w:b/>
          <w:bCs/>
        </w:rPr>
        <w:t>21</w:t>
      </w:r>
      <w:r>
        <w:t>: 2341–2353.</w:t>
      </w:r>
    </w:p>
    <w:p w:rsidR="00EC4E93" w:rsidRDefault="00EC4E93" w:rsidP="00F00459">
      <w:pPr>
        <w:pStyle w:val="Bibliography"/>
      </w:pPr>
      <w:r>
        <w:rPr>
          <w:b/>
          <w:bCs/>
        </w:rPr>
        <w:t>Vitousek PM, Mooney HA, Lubchenco J, Melillo JM</w:t>
      </w:r>
      <w:r>
        <w:t xml:space="preserve">. </w:t>
      </w:r>
      <w:r>
        <w:rPr>
          <w:b/>
          <w:bCs/>
        </w:rPr>
        <w:t>1997</w:t>
      </w:r>
      <w:r>
        <w:t xml:space="preserve">. Human domination of Earth’s ecosystems. </w:t>
      </w:r>
      <w:r>
        <w:rPr>
          <w:i/>
          <w:iCs/>
        </w:rPr>
        <w:t>Science</w:t>
      </w:r>
      <w:r>
        <w:t xml:space="preserve"> </w:t>
      </w:r>
      <w:r>
        <w:rPr>
          <w:b/>
          <w:bCs/>
        </w:rPr>
        <w:t>277</w:t>
      </w:r>
      <w:r>
        <w:t>: 494–499.</w:t>
      </w:r>
    </w:p>
    <w:p w:rsidR="00EC4E93" w:rsidRDefault="00EC4E93" w:rsidP="00F00459">
      <w:pPr>
        <w:pStyle w:val="Bibliography"/>
      </w:pPr>
      <w:r>
        <w:rPr>
          <w:b/>
          <w:bCs/>
        </w:rPr>
        <w:t>Vogel-Mikus K, Pongrac P, Kump P, Necemer M, Regvar M</w:t>
      </w:r>
      <w:r>
        <w:t xml:space="preserve">. </w:t>
      </w:r>
      <w:r>
        <w:rPr>
          <w:b/>
          <w:bCs/>
        </w:rPr>
        <w:t>2006</w:t>
      </w:r>
      <w:r>
        <w:t xml:space="preserve">. Colonisation of a Zn, Cd and Pb hyperaccumulator Thlaspi praecox Wulfen with indigenous arbuscular mycorrhizal fungal mixture induces changes in heavy metal and nutrient uptake. </w:t>
      </w:r>
      <w:r>
        <w:rPr>
          <w:i/>
          <w:iCs/>
        </w:rPr>
        <w:t>Environmental Pollution</w:t>
      </w:r>
      <w:r>
        <w:t xml:space="preserve"> </w:t>
      </w:r>
      <w:r>
        <w:rPr>
          <w:b/>
          <w:bCs/>
        </w:rPr>
        <w:t>139</w:t>
      </w:r>
      <w:r>
        <w:t>: 362–371.</w:t>
      </w:r>
    </w:p>
    <w:p w:rsidR="00EC4E93" w:rsidRDefault="00EC4E93" w:rsidP="00F00459">
      <w:pPr>
        <w:pStyle w:val="Bibliography"/>
      </w:pPr>
      <w:r>
        <w:rPr>
          <w:b/>
          <w:bCs/>
        </w:rPr>
        <w:t>Vogelsang KM, Reynolds HL, Bever JD</w:t>
      </w:r>
      <w:r>
        <w:t xml:space="preserve">. </w:t>
      </w:r>
      <w:r>
        <w:rPr>
          <w:b/>
          <w:bCs/>
        </w:rPr>
        <w:t>2006</w:t>
      </w:r>
      <w:r>
        <w:t xml:space="preserve">. Mycorrhizal fungal identity and richness determine the diversity and productivity of a tallgrass prairie system. </w:t>
      </w:r>
      <w:r>
        <w:rPr>
          <w:i/>
          <w:iCs/>
        </w:rPr>
        <w:t>The New Phytologist</w:t>
      </w:r>
      <w:r>
        <w:t xml:space="preserve"> </w:t>
      </w:r>
      <w:r>
        <w:rPr>
          <w:b/>
          <w:bCs/>
        </w:rPr>
        <w:t>172</w:t>
      </w:r>
      <w:r>
        <w:t>: 554–562.</w:t>
      </w:r>
    </w:p>
    <w:p w:rsidR="00EC4E93" w:rsidRDefault="00EC4E93" w:rsidP="00F00459">
      <w:pPr>
        <w:pStyle w:val="Bibliography"/>
      </w:pPr>
      <w:r>
        <w:rPr>
          <w:b/>
          <w:bCs/>
        </w:rPr>
        <w:t>Wagg C, Barendregt C, Jansa J, van der Heijden MGA</w:t>
      </w:r>
      <w:r>
        <w:t xml:space="preserve">. </w:t>
      </w:r>
      <w:r>
        <w:rPr>
          <w:b/>
          <w:bCs/>
        </w:rPr>
        <w:t>2015</w:t>
      </w:r>
      <w:r>
        <w:t xml:space="preserve">. Complementarity in both plant and mycorrhizal fungal communities are not necessarily increased by diversity in the other. </w:t>
      </w:r>
      <w:r>
        <w:rPr>
          <w:i/>
          <w:iCs/>
        </w:rPr>
        <w:t>Journal of Ecology</w:t>
      </w:r>
      <w:r>
        <w:t xml:space="preserve"> </w:t>
      </w:r>
      <w:r>
        <w:rPr>
          <w:b/>
          <w:bCs/>
        </w:rPr>
        <w:t>103</w:t>
      </w:r>
      <w:r>
        <w:t>: 1233–1244.</w:t>
      </w:r>
    </w:p>
    <w:p w:rsidR="00EC4E93" w:rsidRDefault="00EC4E93" w:rsidP="00F00459">
      <w:pPr>
        <w:pStyle w:val="Bibliography"/>
      </w:pPr>
      <w:r>
        <w:rPr>
          <w:b/>
          <w:bCs/>
        </w:rPr>
        <w:t>Wagner MR, Lundberg DS, Coleman-Derr D, Tringe SG, Dangl JL, Mitchell-Olds T</w:t>
      </w:r>
      <w:r>
        <w:t xml:space="preserve">. </w:t>
      </w:r>
      <w:r>
        <w:rPr>
          <w:b/>
          <w:bCs/>
        </w:rPr>
        <w:t>2014</w:t>
      </w:r>
      <w:r>
        <w:t xml:space="preserve">. Natural soil microbes alter flowering phenology and the intensity of selection on flowering time in a wild Arabidopsis relative. </w:t>
      </w:r>
      <w:r>
        <w:rPr>
          <w:i/>
          <w:iCs/>
        </w:rPr>
        <w:t>Ecology Letters</w:t>
      </w:r>
      <w:r>
        <w:t xml:space="preserve"> </w:t>
      </w:r>
      <w:r>
        <w:rPr>
          <w:b/>
          <w:bCs/>
        </w:rPr>
        <w:t>17</w:t>
      </w:r>
      <w:r>
        <w:t>: 717–726.</w:t>
      </w:r>
    </w:p>
    <w:p w:rsidR="00EC4E93" w:rsidRDefault="00EC4E93" w:rsidP="00F00459">
      <w:pPr>
        <w:pStyle w:val="Bibliography"/>
      </w:pPr>
      <w:r>
        <w:rPr>
          <w:b/>
          <w:bCs/>
        </w:rPr>
        <w:t>Walling LL</w:t>
      </w:r>
      <w:r>
        <w:t xml:space="preserve">. </w:t>
      </w:r>
      <w:r>
        <w:rPr>
          <w:b/>
          <w:bCs/>
        </w:rPr>
        <w:t>2008</w:t>
      </w:r>
      <w:r>
        <w:t xml:space="preserve">. Avoiding effective defenses: Strategies employed by phloem-feeding insects. </w:t>
      </w:r>
      <w:r>
        <w:rPr>
          <w:i/>
          <w:iCs/>
        </w:rPr>
        <w:t>Plant Physiology</w:t>
      </w:r>
      <w:r>
        <w:t xml:space="preserve"> </w:t>
      </w:r>
      <w:r>
        <w:rPr>
          <w:b/>
          <w:bCs/>
        </w:rPr>
        <w:t>146</w:t>
      </w:r>
      <w:r>
        <w:t>: 859–866.</w:t>
      </w:r>
    </w:p>
    <w:p w:rsidR="00EC4E93" w:rsidRDefault="00EC4E93" w:rsidP="00F00459">
      <w:pPr>
        <w:pStyle w:val="Bibliography"/>
      </w:pPr>
      <w:r>
        <w:rPr>
          <w:b/>
          <w:bCs/>
        </w:rPr>
        <w:t>Wang FY, Hu JL, Lin XG, Qin SW, Wang JH</w:t>
      </w:r>
      <w:r>
        <w:t xml:space="preserve">. </w:t>
      </w:r>
      <w:r>
        <w:rPr>
          <w:b/>
          <w:bCs/>
        </w:rPr>
        <w:t>2011</w:t>
      </w:r>
      <w:r>
        <w:t xml:space="preserve">. Arbuscular mycorrhizal fungal community structure and diversity in response to long-term fertilization: a field case from China. </w:t>
      </w:r>
      <w:r>
        <w:rPr>
          <w:i/>
          <w:iCs/>
        </w:rPr>
        <w:t>World Journal of Microbiology and Biotechnology</w:t>
      </w:r>
      <w:r>
        <w:t xml:space="preserve"> </w:t>
      </w:r>
      <w:r>
        <w:rPr>
          <w:b/>
          <w:bCs/>
        </w:rPr>
        <w:t>27</w:t>
      </w:r>
      <w:r>
        <w:t>: 67–74.</w:t>
      </w:r>
    </w:p>
    <w:p w:rsidR="00EC4E93" w:rsidRDefault="00EC4E93" w:rsidP="00F00459">
      <w:pPr>
        <w:pStyle w:val="Bibliography"/>
      </w:pPr>
      <w:r>
        <w:rPr>
          <w:b/>
          <w:bCs/>
        </w:rPr>
        <w:t xml:space="preserve">Wang M-Y, Liang-Bin H, Wei-Hua W, Shu-Tang L, Min L, Run-Jin L, Miao-Yan W, Liang-Bin H, Wei-Hua W, Shu-Tang L, </w:t>
      </w:r>
      <w:r>
        <w:rPr>
          <w:b/>
          <w:bCs/>
          <w:i/>
          <w:iCs/>
        </w:rPr>
        <w:t>et al.</w:t>
      </w:r>
      <w:r>
        <w:t xml:space="preserve"> </w:t>
      </w:r>
      <w:r>
        <w:rPr>
          <w:b/>
          <w:bCs/>
        </w:rPr>
        <w:t>2009</w:t>
      </w:r>
      <w:r>
        <w:t xml:space="preserve">. Influence of Long-Term Fixed Fertilization on Diversity of Arbuscular Mycorrhizal Fungi. </w:t>
      </w:r>
      <w:r>
        <w:rPr>
          <w:i/>
          <w:iCs/>
        </w:rPr>
        <w:t>Pedosphere</w:t>
      </w:r>
      <w:r>
        <w:t xml:space="preserve"> </w:t>
      </w:r>
      <w:r>
        <w:rPr>
          <w:b/>
          <w:bCs/>
        </w:rPr>
        <w:t>19</w:t>
      </w:r>
      <w:r>
        <w:t>: 663–672.</w:t>
      </w:r>
    </w:p>
    <w:p w:rsidR="00EC4E93" w:rsidRDefault="00EC4E93" w:rsidP="00F00459">
      <w:pPr>
        <w:pStyle w:val="Bibliography"/>
      </w:pPr>
      <w:r>
        <w:rPr>
          <w:b/>
          <w:bCs/>
        </w:rPr>
        <w:t>Wang LX, Zhang YS, Zhang HQ, Xu JT, Li XY</w:t>
      </w:r>
      <w:r>
        <w:t xml:space="preserve">. </w:t>
      </w:r>
      <w:r>
        <w:rPr>
          <w:b/>
          <w:bCs/>
        </w:rPr>
        <w:t>2002</w:t>
      </w:r>
      <w:r>
        <w:t>. Changes of soil characteristics in process of land desertification. In: Technol CCAS,, In: Technol SOACMACNNSFCCACS,,  In: Technol CGHMACNJ, eds.187–192.</w:t>
      </w:r>
    </w:p>
    <w:p w:rsidR="00EC4E93" w:rsidRDefault="00EC4E93" w:rsidP="00F00459">
      <w:pPr>
        <w:pStyle w:val="Bibliography"/>
      </w:pPr>
      <w:r>
        <w:rPr>
          <w:b/>
          <w:bCs/>
        </w:rPr>
        <w:t>Waud M, Busschaert P, Ruyters S, Jacquemyn H, Lievens B</w:t>
      </w:r>
      <w:r>
        <w:t xml:space="preserve">. </w:t>
      </w:r>
      <w:r>
        <w:rPr>
          <w:b/>
          <w:bCs/>
        </w:rPr>
        <w:t>2014</w:t>
      </w:r>
      <w:r>
        <w:t xml:space="preserve">. Impact of primer choice on characterization of orchid mycorrhizal communities using 454 pyrosequencing. </w:t>
      </w:r>
      <w:r>
        <w:rPr>
          <w:i/>
          <w:iCs/>
        </w:rPr>
        <w:t>Molecular Ecology Resources</w:t>
      </w:r>
      <w:r>
        <w:t xml:space="preserve"> </w:t>
      </w:r>
      <w:r>
        <w:rPr>
          <w:b/>
          <w:bCs/>
        </w:rPr>
        <w:t>14</w:t>
      </w:r>
      <w:r>
        <w:t>: 679–699.</w:t>
      </w:r>
    </w:p>
    <w:p w:rsidR="00EC4E93" w:rsidRDefault="00EC4E93" w:rsidP="00F00459">
      <w:pPr>
        <w:pStyle w:val="Bibliography"/>
      </w:pPr>
      <w:r>
        <w:rPr>
          <w:b/>
          <w:bCs/>
        </w:rPr>
        <w:t>Weber RWS</w:t>
      </w:r>
      <w:r>
        <w:t xml:space="preserve">. </w:t>
      </w:r>
      <w:r>
        <w:rPr>
          <w:b/>
          <w:bCs/>
        </w:rPr>
        <w:t>2014</w:t>
      </w:r>
      <w:r>
        <w:t xml:space="preserve">. Biology and control of the apple canker fungus Neonectria ditissima (syn. N. galligena) from a Northwestern European perspective. </w:t>
      </w:r>
      <w:r>
        <w:rPr>
          <w:i/>
          <w:iCs/>
        </w:rPr>
        <w:t>Erwerbs-Obstbau</w:t>
      </w:r>
      <w:r>
        <w:t xml:space="preserve"> </w:t>
      </w:r>
      <w:r>
        <w:rPr>
          <w:b/>
          <w:bCs/>
        </w:rPr>
        <w:t>56</w:t>
      </w:r>
      <w:r>
        <w:t>: 95–107.</w:t>
      </w:r>
    </w:p>
    <w:p w:rsidR="00EC4E93" w:rsidRDefault="00EC4E93" w:rsidP="00F00459">
      <w:pPr>
        <w:pStyle w:val="Bibliography"/>
      </w:pPr>
      <w:r>
        <w:rPr>
          <w:b/>
          <w:bCs/>
        </w:rPr>
        <w:t>Williams R.</w:t>
      </w:r>
      <w:r>
        <w:t xml:space="preserve"> </w:t>
      </w:r>
      <w:r>
        <w:rPr>
          <w:b/>
          <w:bCs/>
        </w:rPr>
        <w:t>1996</w:t>
      </w:r>
      <w:r>
        <w:t xml:space="preserve">. </w:t>
      </w:r>
      <w:r>
        <w:rPr>
          <w:i/>
          <w:iCs/>
        </w:rPr>
        <w:t>Cider and Juice Apples: Growing and Processing</w:t>
      </w:r>
      <w:r>
        <w:t>. Unviersity of Bristol Printing Unit.</w:t>
      </w:r>
    </w:p>
    <w:p w:rsidR="00EC4E93" w:rsidRDefault="00EC4E93" w:rsidP="00F00459">
      <w:pPr>
        <w:pStyle w:val="Bibliography"/>
      </w:pPr>
      <w:r>
        <w:rPr>
          <w:b/>
          <w:bCs/>
        </w:rPr>
        <w:lastRenderedPageBreak/>
        <w:t>Williams</w:t>
      </w:r>
      <w:r>
        <w:t xml:space="preserve">. </w:t>
      </w:r>
      <w:r>
        <w:rPr>
          <w:b/>
          <w:bCs/>
        </w:rPr>
        <w:t>2000</w:t>
      </w:r>
      <w:r>
        <w:t xml:space="preserve">. </w:t>
      </w:r>
      <w:r>
        <w:rPr>
          <w:i/>
          <w:iCs/>
        </w:rPr>
        <w:t>Cider and Juice Apples: Growing and processes</w:t>
      </w:r>
      <w:r>
        <w:t>. University of Bristol Printing Unit.</w:t>
      </w:r>
    </w:p>
    <w:p w:rsidR="00EC4E93" w:rsidRDefault="00EC4E93" w:rsidP="00F00459">
      <w:pPr>
        <w:pStyle w:val="Bibliography"/>
      </w:pPr>
      <w:r>
        <w:rPr>
          <w:b/>
          <w:bCs/>
        </w:rPr>
        <w:t>Wilson GWT, Rice CW, Rillig MC, Springer A, Hartnett DC</w:t>
      </w:r>
      <w:r>
        <w:t xml:space="preserve">. </w:t>
      </w:r>
      <w:r>
        <w:rPr>
          <w:b/>
          <w:bCs/>
        </w:rPr>
        <w:t>2009</w:t>
      </w:r>
      <w:r>
        <w:t xml:space="preserve">. Soil aggregation and carbon sequestration are tightly correlated with the abundance of arbuscular mycorrhizal fungi: results from long-term field experiments. </w:t>
      </w:r>
      <w:r>
        <w:rPr>
          <w:i/>
          <w:iCs/>
        </w:rPr>
        <w:t>Ecology Letters</w:t>
      </w:r>
      <w:r>
        <w:t xml:space="preserve"> </w:t>
      </w:r>
      <w:r>
        <w:rPr>
          <w:b/>
          <w:bCs/>
        </w:rPr>
        <w:t>12</w:t>
      </w:r>
      <w:r>
        <w:t>: 452–461.</w:t>
      </w:r>
    </w:p>
    <w:p w:rsidR="00EC4E93" w:rsidRDefault="00EC4E93" w:rsidP="00F00459">
      <w:pPr>
        <w:pStyle w:val="Bibliography"/>
      </w:pPr>
      <w:r>
        <w:rPr>
          <w:b/>
          <w:bCs/>
        </w:rPr>
        <w:t>Wright SF, Anderson RL</w:t>
      </w:r>
      <w:r>
        <w:t xml:space="preserve">. </w:t>
      </w:r>
      <w:r>
        <w:rPr>
          <w:b/>
          <w:bCs/>
        </w:rPr>
        <w:t>2000</w:t>
      </w:r>
      <w:r>
        <w:t xml:space="preserve">. Aggregate stability and glomalin in alternative crop rotations for the central Great Plains. </w:t>
      </w:r>
      <w:r>
        <w:rPr>
          <w:i/>
          <w:iCs/>
        </w:rPr>
        <w:t>Biology and Fertility of Soils</w:t>
      </w:r>
      <w:r>
        <w:t xml:space="preserve"> </w:t>
      </w:r>
      <w:r>
        <w:rPr>
          <w:b/>
          <w:bCs/>
        </w:rPr>
        <w:t>31</w:t>
      </w:r>
      <w:r>
        <w:t>: 249–253.</w:t>
      </w:r>
    </w:p>
    <w:p w:rsidR="00EC4E93" w:rsidRDefault="00EC4E93" w:rsidP="00F00459">
      <w:pPr>
        <w:pStyle w:val="Bibliography"/>
      </w:pPr>
      <w:r>
        <w:rPr>
          <w:b/>
          <w:bCs/>
        </w:rPr>
        <w:t>Zhu YG, Smith SE, Barritt AR, Smith FA</w:t>
      </w:r>
      <w:r>
        <w:t xml:space="preserve">. </w:t>
      </w:r>
      <w:r>
        <w:rPr>
          <w:b/>
          <w:bCs/>
        </w:rPr>
        <w:t>2001</w:t>
      </w:r>
      <w:r>
        <w:t xml:space="preserve">. Phosphorus (P) efficiencies and mycorrhizal responsiveness of old and modern wheat cultivars. </w:t>
      </w:r>
      <w:r>
        <w:rPr>
          <w:i/>
          <w:iCs/>
        </w:rPr>
        <w:t>Plant and Soil</w:t>
      </w:r>
      <w:r>
        <w:t xml:space="preserve"> </w:t>
      </w:r>
      <w:r>
        <w:rPr>
          <w:b/>
          <w:bCs/>
        </w:rPr>
        <w:t>237</w:t>
      </w:r>
      <w:r>
        <w:t>: 249–255.</w:t>
      </w:r>
    </w:p>
    <w:p w:rsidR="00EC4E93" w:rsidRDefault="00EC4E93" w:rsidP="00F00459">
      <w:pPr>
        <w:pStyle w:val="Bibliography"/>
      </w:pPr>
      <w:r>
        <w:rPr>
          <w:b/>
          <w:bCs/>
        </w:rPr>
        <w:t>Zuccarini P, Okurowska P</w:t>
      </w:r>
      <w:r>
        <w:t xml:space="preserve">. </w:t>
      </w:r>
      <w:r>
        <w:rPr>
          <w:b/>
          <w:bCs/>
        </w:rPr>
        <w:t>2008</w:t>
      </w:r>
      <w:r>
        <w:t xml:space="preserve">. Effects of mycorrhizal colonization and fertilization on growth and photosynthesis of sweet basil under salt stress. </w:t>
      </w:r>
      <w:r>
        <w:rPr>
          <w:i/>
          <w:iCs/>
        </w:rPr>
        <w:t>Journal of Plant Nutrition</w:t>
      </w:r>
      <w:r>
        <w:t xml:space="preserve"> </w:t>
      </w:r>
      <w:r>
        <w:rPr>
          <w:b/>
          <w:bCs/>
        </w:rPr>
        <w:t>31</w:t>
      </w:r>
      <w:r>
        <w:t>: 497–513.</w:t>
      </w:r>
    </w:p>
    <w:p w:rsidR="000D5A86" w:rsidRPr="000D5A86" w:rsidRDefault="00BC2E56" w:rsidP="000D5A86">
      <w:r>
        <w:fldChar w:fldCharType="end"/>
      </w:r>
    </w:p>
    <w:sectPr w:rsidR="000D5A86" w:rsidRPr="000D5A86" w:rsidSect="006E78F2">
      <w:type w:val="oddPage"/>
      <w:pgSz w:w="11906" w:h="16838" w:code="9"/>
      <w:pgMar w:top="1134" w:right="1134" w:bottom="1134"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44EF5" w:rsidRDefault="00C44EF5" w:rsidP="003D51BC">
      <w:pPr>
        <w:spacing w:after="0" w:line="240" w:lineRule="auto"/>
      </w:pPr>
      <w:r>
        <w:separator/>
      </w:r>
    </w:p>
  </w:endnote>
  <w:endnote w:type="continuationSeparator" w:id="0">
    <w:p w:rsidR="00C44EF5" w:rsidRDefault="00C44EF5" w:rsidP="003D51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UOS Stephenson">
    <w:panose1 w:val="02070503080000020004"/>
    <w:charset w:val="00"/>
    <w:family w:val="roman"/>
    <w:pitch w:val="variable"/>
    <w:sig w:usb0="8000002F" w:usb1="4000004A" w:usb2="00000000" w:usb3="00000000" w:csb0="0000001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4E2F" w:rsidRDefault="003C4E2F">
    <w:pPr>
      <w:pStyle w:val="Footer"/>
    </w:pPr>
    <w:r>
      <w:fldChar w:fldCharType="begin"/>
    </w:r>
    <w:r>
      <w:instrText xml:space="preserve"> PAGE   \* MERGEFORMAT </w:instrText>
    </w:r>
    <w:r>
      <w:fldChar w:fldCharType="separate"/>
    </w:r>
    <w:r w:rsidR="00492A84">
      <w:rPr>
        <w:noProof/>
      </w:rPr>
      <w:t>xii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4E2F" w:rsidRDefault="003C4E2F" w:rsidP="000D114A">
    <w:pPr>
      <w:pStyle w:val="Footer"/>
      <w:jc w:val="right"/>
      <w:rPr>
        <w:noProof/>
      </w:rPr>
    </w:pPr>
    <w:r>
      <w:rPr>
        <w:noProof/>
      </w:rPr>
      <w:fldChar w:fldCharType="begin"/>
    </w:r>
    <w:r>
      <w:rPr>
        <w:noProof/>
      </w:rPr>
      <w:instrText xml:space="preserve"> PAGE   \* MERGEFORMAT </w:instrText>
    </w:r>
    <w:r>
      <w:rPr>
        <w:noProof/>
      </w:rPr>
      <w:fldChar w:fldCharType="separate"/>
    </w:r>
    <w:r w:rsidR="00492A84">
      <w:rPr>
        <w:noProof/>
      </w:rPr>
      <w:t>xi</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4E2F" w:rsidRDefault="003C4E2F">
    <w:pPr>
      <w:pStyle w:val="Footer"/>
    </w:pPr>
    <w:r>
      <w:fldChar w:fldCharType="begin"/>
    </w:r>
    <w:r>
      <w:instrText xml:space="preserve"> PAGE   \* MERGEFORMAT </w:instrText>
    </w:r>
    <w:r>
      <w:fldChar w:fldCharType="separate"/>
    </w:r>
    <w:r w:rsidR="00492A84">
      <w:rPr>
        <w:noProof/>
      </w:rPr>
      <w:t>118</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4E2F" w:rsidRDefault="003C4E2F" w:rsidP="000D114A">
    <w:pPr>
      <w:pStyle w:val="Footer"/>
      <w:jc w:val="right"/>
      <w:rPr>
        <w:noProof/>
      </w:rPr>
    </w:pPr>
    <w:r>
      <w:rPr>
        <w:noProof/>
      </w:rPr>
      <w:fldChar w:fldCharType="begin"/>
    </w:r>
    <w:r>
      <w:rPr>
        <w:noProof/>
      </w:rPr>
      <w:instrText xml:space="preserve"> PAGE   \* MERGEFORMAT </w:instrText>
    </w:r>
    <w:r>
      <w:rPr>
        <w:noProof/>
      </w:rPr>
      <w:fldChar w:fldCharType="separate"/>
    </w:r>
    <w:r w:rsidR="00492A84">
      <w:rPr>
        <w:noProof/>
      </w:rPr>
      <w:t>165</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2318464"/>
      <w:docPartObj>
        <w:docPartGallery w:val="Page Numbers (Bottom of Page)"/>
        <w:docPartUnique/>
      </w:docPartObj>
    </w:sdtPr>
    <w:sdtEndPr>
      <w:rPr>
        <w:noProof/>
      </w:rPr>
    </w:sdtEndPr>
    <w:sdtContent>
      <w:p w:rsidR="003C4E2F" w:rsidRDefault="003C4E2F">
        <w:pPr>
          <w:pStyle w:val="Footer"/>
        </w:pPr>
        <w:r>
          <w:fldChar w:fldCharType="begin"/>
        </w:r>
        <w:r>
          <w:instrText xml:space="preserve"> PAGE   \* MERGEFORMAT </w:instrText>
        </w:r>
        <w:r>
          <w:fldChar w:fldCharType="separate"/>
        </w:r>
        <w:r w:rsidR="00492A84">
          <w:rPr>
            <w:noProof/>
          </w:rPr>
          <w:t>164</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44EF5" w:rsidRDefault="00C44EF5" w:rsidP="003D51BC">
      <w:pPr>
        <w:spacing w:after="0" w:line="240" w:lineRule="auto"/>
      </w:pPr>
      <w:r>
        <w:separator/>
      </w:r>
    </w:p>
  </w:footnote>
  <w:footnote w:type="continuationSeparator" w:id="0">
    <w:p w:rsidR="00C44EF5" w:rsidRDefault="00C44EF5" w:rsidP="003D51B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4E2F" w:rsidRDefault="003C4E2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E65E9"/>
    <w:multiLevelType w:val="hybridMultilevel"/>
    <w:tmpl w:val="E10654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7D4BB5"/>
    <w:multiLevelType w:val="multilevel"/>
    <w:tmpl w:val="B8F88E14"/>
    <w:lvl w:ilvl="0">
      <w:start w:val="1"/>
      <w:numFmt w:val="decimal"/>
      <w:pStyle w:val="Heading1"/>
      <w:lvlText w:val="Chapter %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upperLetter"/>
      <w:lvlRestart w:val="0"/>
      <w:pStyle w:val="Heading6"/>
      <w:lvlText w:val="Appendix %6"/>
      <w:lvlJc w:val="left"/>
      <w:pPr>
        <w:ind w:left="0" w:firstLine="0"/>
      </w:pPr>
      <w:rPr>
        <w:rFonts w:hint="default"/>
      </w:rPr>
    </w:lvl>
    <w:lvl w:ilvl="6">
      <w:start w:val="1"/>
      <w:numFmt w:val="decimal"/>
      <w:pStyle w:val="Heading7"/>
      <w:lvlText w:val="%6.%7"/>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2" w15:restartNumberingAfterBreak="0">
    <w:nsid w:val="05791CD2"/>
    <w:multiLevelType w:val="hybridMultilevel"/>
    <w:tmpl w:val="9B16010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7E919FF"/>
    <w:multiLevelType w:val="hybridMultilevel"/>
    <w:tmpl w:val="1096CDC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7F61C39"/>
    <w:multiLevelType w:val="hybridMultilevel"/>
    <w:tmpl w:val="D3DE74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F450943"/>
    <w:multiLevelType w:val="hybridMultilevel"/>
    <w:tmpl w:val="313AD12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02349C5"/>
    <w:multiLevelType w:val="hybridMultilevel"/>
    <w:tmpl w:val="D1D08E4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F81ECA"/>
    <w:multiLevelType w:val="hybridMultilevel"/>
    <w:tmpl w:val="D1D08E4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9C376C"/>
    <w:multiLevelType w:val="hybridMultilevel"/>
    <w:tmpl w:val="D9C854F0"/>
    <w:lvl w:ilvl="0" w:tplc="59F476EC">
      <w:start w:val="1"/>
      <w:numFmt w:val="lowerLetter"/>
      <w:lvlText w:val="%1)"/>
      <w:lvlJc w:val="left"/>
      <w:pPr>
        <w:ind w:left="720" w:hanging="360"/>
      </w:pPr>
      <w:rPr>
        <w:rFonts w:hint="default"/>
        <w:i/>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0E93028"/>
    <w:multiLevelType w:val="hybridMultilevel"/>
    <w:tmpl w:val="4FEC9F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D747A1F"/>
    <w:multiLevelType w:val="hybridMultilevel"/>
    <w:tmpl w:val="A344F8A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3C13EDD"/>
    <w:multiLevelType w:val="multilevel"/>
    <w:tmpl w:val="DAC8D836"/>
    <w:lvl w:ilvl="0">
      <w:start w:val="5"/>
      <w:numFmt w:val="decimal"/>
      <w:lvlText w:val="%1"/>
      <w:lvlJc w:val="left"/>
      <w:pPr>
        <w:ind w:left="360" w:hanging="360"/>
      </w:pPr>
      <w:rPr>
        <w:rFonts w:ascii="Times New Roman" w:eastAsiaTheme="minorHAnsi" w:hAnsi="Times New Roman" w:hint="default"/>
        <w:color w:val="0563C1" w:themeColor="hyperlink"/>
        <w:u w:val="single"/>
      </w:rPr>
    </w:lvl>
    <w:lvl w:ilvl="1">
      <w:start w:val="4"/>
      <w:numFmt w:val="decimal"/>
      <w:lvlText w:val="%1.%2"/>
      <w:lvlJc w:val="left"/>
      <w:pPr>
        <w:ind w:left="940" w:hanging="720"/>
      </w:pPr>
      <w:rPr>
        <w:rFonts w:ascii="Times New Roman" w:eastAsiaTheme="minorHAnsi" w:hAnsi="Times New Roman" w:hint="default"/>
        <w:color w:val="0563C1" w:themeColor="hyperlink"/>
        <w:u w:val="single"/>
      </w:rPr>
    </w:lvl>
    <w:lvl w:ilvl="2">
      <w:start w:val="1"/>
      <w:numFmt w:val="decimal"/>
      <w:lvlText w:val="%1.%2.%3"/>
      <w:lvlJc w:val="left"/>
      <w:pPr>
        <w:ind w:left="1160" w:hanging="720"/>
      </w:pPr>
      <w:rPr>
        <w:rFonts w:ascii="Times New Roman" w:eastAsiaTheme="minorHAnsi" w:hAnsi="Times New Roman" w:hint="default"/>
        <w:color w:val="0563C1" w:themeColor="hyperlink"/>
        <w:u w:val="single"/>
      </w:rPr>
    </w:lvl>
    <w:lvl w:ilvl="3">
      <w:start w:val="1"/>
      <w:numFmt w:val="decimal"/>
      <w:lvlText w:val="%1.%2.%3.%4"/>
      <w:lvlJc w:val="left"/>
      <w:pPr>
        <w:ind w:left="1740" w:hanging="1080"/>
      </w:pPr>
      <w:rPr>
        <w:rFonts w:ascii="Times New Roman" w:eastAsiaTheme="minorHAnsi" w:hAnsi="Times New Roman" w:hint="default"/>
        <w:color w:val="0563C1" w:themeColor="hyperlink"/>
        <w:u w:val="single"/>
      </w:rPr>
    </w:lvl>
    <w:lvl w:ilvl="4">
      <w:start w:val="1"/>
      <w:numFmt w:val="decimal"/>
      <w:lvlText w:val="%1.%2.%3.%4.%5"/>
      <w:lvlJc w:val="left"/>
      <w:pPr>
        <w:ind w:left="2320" w:hanging="1440"/>
      </w:pPr>
      <w:rPr>
        <w:rFonts w:ascii="Times New Roman" w:eastAsiaTheme="minorHAnsi" w:hAnsi="Times New Roman" w:hint="default"/>
        <w:color w:val="0563C1" w:themeColor="hyperlink"/>
        <w:u w:val="single"/>
      </w:rPr>
    </w:lvl>
    <w:lvl w:ilvl="5">
      <w:start w:val="1"/>
      <w:numFmt w:val="decimal"/>
      <w:lvlText w:val="%1.%2.%3.%4.%5.%6"/>
      <w:lvlJc w:val="left"/>
      <w:pPr>
        <w:ind w:left="2540" w:hanging="1440"/>
      </w:pPr>
      <w:rPr>
        <w:rFonts w:ascii="Times New Roman" w:eastAsiaTheme="minorHAnsi" w:hAnsi="Times New Roman" w:hint="default"/>
        <w:color w:val="0563C1" w:themeColor="hyperlink"/>
        <w:u w:val="single"/>
      </w:rPr>
    </w:lvl>
    <w:lvl w:ilvl="6">
      <w:start w:val="1"/>
      <w:numFmt w:val="decimal"/>
      <w:lvlText w:val="%1.%2.%3.%4.%5.%6.%7"/>
      <w:lvlJc w:val="left"/>
      <w:pPr>
        <w:ind w:left="3120" w:hanging="1800"/>
      </w:pPr>
      <w:rPr>
        <w:rFonts w:ascii="Times New Roman" w:eastAsiaTheme="minorHAnsi" w:hAnsi="Times New Roman" w:hint="default"/>
        <w:color w:val="0563C1" w:themeColor="hyperlink"/>
        <w:u w:val="single"/>
      </w:rPr>
    </w:lvl>
    <w:lvl w:ilvl="7">
      <w:start w:val="1"/>
      <w:numFmt w:val="decimal"/>
      <w:lvlText w:val="%1.%2.%3.%4.%5.%6.%7.%8"/>
      <w:lvlJc w:val="left"/>
      <w:pPr>
        <w:ind w:left="3700" w:hanging="2160"/>
      </w:pPr>
      <w:rPr>
        <w:rFonts w:ascii="Times New Roman" w:eastAsiaTheme="minorHAnsi" w:hAnsi="Times New Roman" w:hint="default"/>
        <w:color w:val="0563C1" w:themeColor="hyperlink"/>
        <w:u w:val="single"/>
      </w:rPr>
    </w:lvl>
    <w:lvl w:ilvl="8">
      <w:start w:val="1"/>
      <w:numFmt w:val="decimal"/>
      <w:lvlText w:val="%1.%2.%3.%4.%5.%6.%7.%8.%9"/>
      <w:lvlJc w:val="left"/>
      <w:pPr>
        <w:ind w:left="3920" w:hanging="2160"/>
      </w:pPr>
      <w:rPr>
        <w:rFonts w:ascii="Times New Roman" w:eastAsiaTheme="minorHAnsi" w:hAnsi="Times New Roman" w:hint="default"/>
        <w:color w:val="0563C1" w:themeColor="hyperlink"/>
        <w:u w:val="single"/>
      </w:rPr>
    </w:lvl>
  </w:abstractNum>
  <w:abstractNum w:abstractNumId="12" w15:restartNumberingAfterBreak="0">
    <w:nsid w:val="3B364EAB"/>
    <w:multiLevelType w:val="hybridMultilevel"/>
    <w:tmpl w:val="8392DA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6880D26"/>
    <w:multiLevelType w:val="hybridMultilevel"/>
    <w:tmpl w:val="532AD3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F570D49"/>
    <w:multiLevelType w:val="hybridMultilevel"/>
    <w:tmpl w:val="E5DE0D2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E1D57E2"/>
    <w:multiLevelType w:val="hybridMultilevel"/>
    <w:tmpl w:val="62E66D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27A39F9"/>
    <w:multiLevelType w:val="hybridMultilevel"/>
    <w:tmpl w:val="645814B4"/>
    <w:lvl w:ilvl="0" w:tplc="35BA6F04">
      <w:start w:val="1"/>
      <w:numFmt w:val="lowerLetter"/>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17" w15:restartNumberingAfterBreak="0">
    <w:nsid w:val="64851E0D"/>
    <w:multiLevelType w:val="hybridMultilevel"/>
    <w:tmpl w:val="BF84D856"/>
    <w:lvl w:ilvl="0" w:tplc="DE760822">
      <w:start w:val="1"/>
      <w:numFmt w:val="lowerLetter"/>
      <w:lvlText w:val="(%1)"/>
      <w:lvlJc w:val="left"/>
      <w:pPr>
        <w:ind w:left="360" w:hanging="360"/>
      </w:pPr>
      <w:rPr>
        <w:rFonts w:ascii="Times New Roman" w:hAnsi="Times New Roman" w:cs="Times New Roman"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6BD52BD7"/>
    <w:multiLevelType w:val="hybridMultilevel"/>
    <w:tmpl w:val="27962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32A66C3"/>
    <w:multiLevelType w:val="hybridMultilevel"/>
    <w:tmpl w:val="0C94DF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95749B4"/>
    <w:multiLevelType w:val="hybridMultilevel"/>
    <w:tmpl w:val="AA32DA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7"/>
  </w:num>
  <w:num w:numId="3">
    <w:abstractNumId w:val="18"/>
  </w:num>
  <w:num w:numId="4">
    <w:abstractNumId w:val="14"/>
  </w:num>
  <w:num w:numId="5">
    <w:abstractNumId w:val="16"/>
  </w:num>
  <w:num w:numId="6">
    <w:abstractNumId w:val="17"/>
  </w:num>
  <w:num w:numId="7">
    <w:abstractNumId w:val="19"/>
  </w:num>
  <w:num w:numId="8">
    <w:abstractNumId w:val="5"/>
  </w:num>
  <w:num w:numId="9">
    <w:abstractNumId w:val="6"/>
  </w:num>
  <w:num w:numId="10">
    <w:abstractNumId w:val="20"/>
  </w:num>
  <w:num w:numId="11">
    <w:abstractNumId w:val="13"/>
  </w:num>
  <w:num w:numId="12">
    <w:abstractNumId w:val="15"/>
  </w:num>
  <w:num w:numId="13">
    <w:abstractNumId w:val="10"/>
  </w:num>
  <w:num w:numId="14">
    <w:abstractNumId w:val="2"/>
  </w:num>
  <w:num w:numId="15">
    <w:abstractNumId w:val="9"/>
  </w:num>
  <w:num w:numId="16">
    <w:abstractNumId w:val="4"/>
  </w:num>
  <w:num w:numId="17">
    <w:abstractNumId w:val="11"/>
  </w:num>
  <w:num w:numId="18">
    <w:abstractNumId w:val="0"/>
  </w:num>
  <w:num w:numId="19">
    <w:abstractNumId w:val="8"/>
  </w:num>
  <w:num w:numId="20">
    <w:abstractNumId w:val="12"/>
  </w:num>
  <w:num w:numId="21">
    <w:abstractNumId w:val="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0FC9"/>
    <w:rsid w:val="000009BB"/>
    <w:rsid w:val="00001A4E"/>
    <w:rsid w:val="00006EBC"/>
    <w:rsid w:val="000108DD"/>
    <w:rsid w:val="00011B24"/>
    <w:rsid w:val="00031DA2"/>
    <w:rsid w:val="00062FF5"/>
    <w:rsid w:val="00072630"/>
    <w:rsid w:val="00077B66"/>
    <w:rsid w:val="000836C7"/>
    <w:rsid w:val="0009776A"/>
    <w:rsid w:val="000D114A"/>
    <w:rsid w:val="000D2555"/>
    <w:rsid w:val="000D5A86"/>
    <w:rsid w:val="000E2624"/>
    <w:rsid w:val="000E6A60"/>
    <w:rsid w:val="000F2456"/>
    <w:rsid w:val="00100D8B"/>
    <w:rsid w:val="001066E5"/>
    <w:rsid w:val="00115964"/>
    <w:rsid w:val="00155D66"/>
    <w:rsid w:val="001663D1"/>
    <w:rsid w:val="001674A2"/>
    <w:rsid w:val="00174984"/>
    <w:rsid w:val="00177540"/>
    <w:rsid w:val="0018138C"/>
    <w:rsid w:val="00192CC7"/>
    <w:rsid w:val="001B767B"/>
    <w:rsid w:val="001F13C0"/>
    <w:rsid w:val="00205CA7"/>
    <w:rsid w:val="00223448"/>
    <w:rsid w:val="002241E9"/>
    <w:rsid w:val="00231FFB"/>
    <w:rsid w:val="00234627"/>
    <w:rsid w:val="00244787"/>
    <w:rsid w:val="00252A1F"/>
    <w:rsid w:val="002707ED"/>
    <w:rsid w:val="00271C1E"/>
    <w:rsid w:val="00287EC4"/>
    <w:rsid w:val="00290532"/>
    <w:rsid w:val="00293361"/>
    <w:rsid w:val="002C34A6"/>
    <w:rsid w:val="002C5596"/>
    <w:rsid w:val="002D314A"/>
    <w:rsid w:val="002E0B65"/>
    <w:rsid w:val="002E0B83"/>
    <w:rsid w:val="002E1BE5"/>
    <w:rsid w:val="002F26C5"/>
    <w:rsid w:val="002F645F"/>
    <w:rsid w:val="00312289"/>
    <w:rsid w:val="00321324"/>
    <w:rsid w:val="00334AAF"/>
    <w:rsid w:val="00337E2B"/>
    <w:rsid w:val="00352A82"/>
    <w:rsid w:val="00361D64"/>
    <w:rsid w:val="003717E5"/>
    <w:rsid w:val="00385300"/>
    <w:rsid w:val="00385B85"/>
    <w:rsid w:val="003A3267"/>
    <w:rsid w:val="003B1C9D"/>
    <w:rsid w:val="003B55DF"/>
    <w:rsid w:val="003B7AD2"/>
    <w:rsid w:val="003C4E2F"/>
    <w:rsid w:val="003C6D28"/>
    <w:rsid w:val="003D1BB6"/>
    <w:rsid w:val="003D51BC"/>
    <w:rsid w:val="003D6C3B"/>
    <w:rsid w:val="003E11AF"/>
    <w:rsid w:val="00402476"/>
    <w:rsid w:val="004231AA"/>
    <w:rsid w:val="004264B4"/>
    <w:rsid w:val="00465488"/>
    <w:rsid w:val="00492A84"/>
    <w:rsid w:val="004930C5"/>
    <w:rsid w:val="004A0EF8"/>
    <w:rsid w:val="004A22D7"/>
    <w:rsid w:val="004C1317"/>
    <w:rsid w:val="004D050D"/>
    <w:rsid w:val="004E508A"/>
    <w:rsid w:val="004F3D95"/>
    <w:rsid w:val="00500E86"/>
    <w:rsid w:val="00514B02"/>
    <w:rsid w:val="005327CC"/>
    <w:rsid w:val="00542FAB"/>
    <w:rsid w:val="0054501B"/>
    <w:rsid w:val="005477F4"/>
    <w:rsid w:val="0055532F"/>
    <w:rsid w:val="00556653"/>
    <w:rsid w:val="00562719"/>
    <w:rsid w:val="00562CD5"/>
    <w:rsid w:val="00564ACA"/>
    <w:rsid w:val="0057058E"/>
    <w:rsid w:val="0057400B"/>
    <w:rsid w:val="00576F28"/>
    <w:rsid w:val="0059354C"/>
    <w:rsid w:val="005B2851"/>
    <w:rsid w:val="005B3249"/>
    <w:rsid w:val="005C2BC6"/>
    <w:rsid w:val="005D3360"/>
    <w:rsid w:val="005D6985"/>
    <w:rsid w:val="006149F4"/>
    <w:rsid w:val="00630D99"/>
    <w:rsid w:val="0063516F"/>
    <w:rsid w:val="0067437D"/>
    <w:rsid w:val="00682C5A"/>
    <w:rsid w:val="00685BB3"/>
    <w:rsid w:val="00690D05"/>
    <w:rsid w:val="00697350"/>
    <w:rsid w:val="006A54D2"/>
    <w:rsid w:val="006A7BF3"/>
    <w:rsid w:val="006B3935"/>
    <w:rsid w:val="006B5A33"/>
    <w:rsid w:val="006C04BD"/>
    <w:rsid w:val="006C1A2F"/>
    <w:rsid w:val="006D3F7A"/>
    <w:rsid w:val="006E78F2"/>
    <w:rsid w:val="006F065E"/>
    <w:rsid w:val="006F3569"/>
    <w:rsid w:val="00711055"/>
    <w:rsid w:val="007126EF"/>
    <w:rsid w:val="00717F78"/>
    <w:rsid w:val="007233B5"/>
    <w:rsid w:val="007342C0"/>
    <w:rsid w:val="00745745"/>
    <w:rsid w:val="00762151"/>
    <w:rsid w:val="00766573"/>
    <w:rsid w:val="00775E9F"/>
    <w:rsid w:val="007945C4"/>
    <w:rsid w:val="007A30D0"/>
    <w:rsid w:val="007B5FDA"/>
    <w:rsid w:val="007C4D14"/>
    <w:rsid w:val="007D0F7F"/>
    <w:rsid w:val="007E47A0"/>
    <w:rsid w:val="007E5487"/>
    <w:rsid w:val="007E60E4"/>
    <w:rsid w:val="007E7A7F"/>
    <w:rsid w:val="00807413"/>
    <w:rsid w:val="00810FD2"/>
    <w:rsid w:val="00812E5A"/>
    <w:rsid w:val="0081436C"/>
    <w:rsid w:val="0081596B"/>
    <w:rsid w:val="0083138D"/>
    <w:rsid w:val="00844B37"/>
    <w:rsid w:val="008558BA"/>
    <w:rsid w:val="008568CF"/>
    <w:rsid w:val="00861E0B"/>
    <w:rsid w:val="00870A20"/>
    <w:rsid w:val="00884776"/>
    <w:rsid w:val="00884BA9"/>
    <w:rsid w:val="00887F9A"/>
    <w:rsid w:val="00892881"/>
    <w:rsid w:val="008B3A3C"/>
    <w:rsid w:val="008C190E"/>
    <w:rsid w:val="008C2B4A"/>
    <w:rsid w:val="008C4DD5"/>
    <w:rsid w:val="008C7D2C"/>
    <w:rsid w:val="008D1957"/>
    <w:rsid w:val="008F5A02"/>
    <w:rsid w:val="009006BE"/>
    <w:rsid w:val="00913AEC"/>
    <w:rsid w:val="009251EC"/>
    <w:rsid w:val="00934653"/>
    <w:rsid w:val="00944E4C"/>
    <w:rsid w:val="009466CF"/>
    <w:rsid w:val="00950437"/>
    <w:rsid w:val="00954B3D"/>
    <w:rsid w:val="00955A90"/>
    <w:rsid w:val="009726E5"/>
    <w:rsid w:val="00976A72"/>
    <w:rsid w:val="009816A7"/>
    <w:rsid w:val="00983887"/>
    <w:rsid w:val="00985CE4"/>
    <w:rsid w:val="0098644D"/>
    <w:rsid w:val="009A133A"/>
    <w:rsid w:val="009B2F8D"/>
    <w:rsid w:val="009C682A"/>
    <w:rsid w:val="009E2159"/>
    <w:rsid w:val="009E540A"/>
    <w:rsid w:val="00A03FE5"/>
    <w:rsid w:val="00A05F2B"/>
    <w:rsid w:val="00A25236"/>
    <w:rsid w:val="00A35460"/>
    <w:rsid w:val="00A36863"/>
    <w:rsid w:val="00A54D4A"/>
    <w:rsid w:val="00A554BA"/>
    <w:rsid w:val="00A57540"/>
    <w:rsid w:val="00A57AB1"/>
    <w:rsid w:val="00A61C74"/>
    <w:rsid w:val="00A67251"/>
    <w:rsid w:val="00A7251C"/>
    <w:rsid w:val="00AA26A4"/>
    <w:rsid w:val="00AA324F"/>
    <w:rsid w:val="00AD19FE"/>
    <w:rsid w:val="00AE50E3"/>
    <w:rsid w:val="00AF1FF7"/>
    <w:rsid w:val="00AF4EF7"/>
    <w:rsid w:val="00AF5810"/>
    <w:rsid w:val="00B0194E"/>
    <w:rsid w:val="00B01D52"/>
    <w:rsid w:val="00B07AB7"/>
    <w:rsid w:val="00B07EF1"/>
    <w:rsid w:val="00B1039D"/>
    <w:rsid w:val="00B15DDB"/>
    <w:rsid w:val="00B21450"/>
    <w:rsid w:val="00B22A79"/>
    <w:rsid w:val="00B24C3A"/>
    <w:rsid w:val="00B31A40"/>
    <w:rsid w:val="00B3413F"/>
    <w:rsid w:val="00B44B3A"/>
    <w:rsid w:val="00B45C1C"/>
    <w:rsid w:val="00B46350"/>
    <w:rsid w:val="00B46A7C"/>
    <w:rsid w:val="00B74CFC"/>
    <w:rsid w:val="00B812E2"/>
    <w:rsid w:val="00BB34AF"/>
    <w:rsid w:val="00BC2E56"/>
    <w:rsid w:val="00BC422F"/>
    <w:rsid w:val="00BD1FBA"/>
    <w:rsid w:val="00BD2BA6"/>
    <w:rsid w:val="00BE421B"/>
    <w:rsid w:val="00BF07DF"/>
    <w:rsid w:val="00C03BEA"/>
    <w:rsid w:val="00C048F1"/>
    <w:rsid w:val="00C2594B"/>
    <w:rsid w:val="00C44EF5"/>
    <w:rsid w:val="00C50FC9"/>
    <w:rsid w:val="00C51141"/>
    <w:rsid w:val="00C63379"/>
    <w:rsid w:val="00C75328"/>
    <w:rsid w:val="00C82EE4"/>
    <w:rsid w:val="00CA1BD3"/>
    <w:rsid w:val="00CA4E34"/>
    <w:rsid w:val="00CB56B4"/>
    <w:rsid w:val="00CC5893"/>
    <w:rsid w:val="00CC66C9"/>
    <w:rsid w:val="00CD5637"/>
    <w:rsid w:val="00CF5BD0"/>
    <w:rsid w:val="00CF651C"/>
    <w:rsid w:val="00D21C6A"/>
    <w:rsid w:val="00D22275"/>
    <w:rsid w:val="00D250B5"/>
    <w:rsid w:val="00D27D4E"/>
    <w:rsid w:val="00D33359"/>
    <w:rsid w:val="00D33D8C"/>
    <w:rsid w:val="00D478CF"/>
    <w:rsid w:val="00D56982"/>
    <w:rsid w:val="00D653CB"/>
    <w:rsid w:val="00D6785D"/>
    <w:rsid w:val="00D76319"/>
    <w:rsid w:val="00D7792A"/>
    <w:rsid w:val="00D94093"/>
    <w:rsid w:val="00D946C0"/>
    <w:rsid w:val="00DB47FF"/>
    <w:rsid w:val="00DC59CF"/>
    <w:rsid w:val="00DD7814"/>
    <w:rsid w:val="00DE1AD4"/>
    <w:rsid w:val="00DE227E"/>
    <w:rsid w:val="00DE54FD"/>
    <w:rsid w:val="00DF4DCA"/>
    <w:rsid w:val="00E0076D"/>
    <w:rsid w:val="00E01DD2"/>
    <w:rsid w:val="00E0714D"/>
    <w:rsid w:val="00E1637D"/>
    <w:rsid w:val="00E2551B"/>
    <w:rsid w:val="00E42158"/>
    <w:rsid w:val="00E44545"/>
    <w:rsid w:val="00E52B3A"/>
    <w:rsid w:val="00E62128"/>
    <w:rsid w:val="00E62933"/>
    <w:rsid w:val="00E71796"/>
    <w:rsid w:val="00E7263F"/>
    <w:rsid w:val="00E74FE4"/>
    <w:rsid w:val="00E77E72"/>
    <w:rsid w:val="00E85633"/>
    <w:rsid w:val="00E943E3"/>
    <w:rsid w:val="00E95851"/>
    <w:rsid w:val="00EB1BB7"/>
    <w:rsid w:val="00EC275C"/>
    <w:rsid w:val="00EC4E93"/>
    <w:rsid w:val="00EC69F6"/>
    <w:rsid w:val="00EE615B"/>
    <w:rsid w:val="00EF08D7"/>
    <w:rsid w:val="00EF1152"/>
    <w:rsid w:val="00EF459D"/>
    <w:rsid w:val="00EF6844"/>
    <w:rsid w:val="00EF714B"/>
    <w:rsid w:val="00F00459"/>
    <w:rsid w:val="00F06214"/>
    <w:rsid w:val="00F06E08"/>
    <w:rsid w:val="00F421B0"/>
    <w:rsid w:val="00F54D09"/>
    <w:rsid w:val="00F61E45"/>
    <w:rsid w:val="00F621F0"/>
    <w:rsid w:val="00F6521E"/>
    <w:rsid w:val="00F67658"/>
    <w:rsid w:val="00F72683"/>
    <w:rsid w:val="00F91074"/>
    <w:rsid w:val="00FA0D2A"/>
    <w:rsid w:val="00FA1EAB"/>
    <w:rsid w:val="00FA5B18"/>
    <w:rsid w:val="00FB056D"/>
    <w:rsid w:val="00FB6511"/>
    <w:rsid w:val="00FC31F0"/>
    <w:rsid w:val="00FD44D9"/>
    <w:rsid w:val="00FE4DB6"/>
    <w:rsid w:val="00FF7A3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F0488A0-0F9C-485C-AB51-8B2E0A977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E78F2"/>
    <w:pPr>
      <w:spacing w:line="360" w:lineRule="auto"/>
      <w:jc w:val="both"/>
    </w:pPr>
    <w:rPr>
      <w:rFonts w:ascii="Times New Roman" w:hAnsi="Times New Roman"/>
    </w:rPr>
  </w:style>
  <w:style w:type="paragraph" w:styleId="Heading1">
    <w:name w:val="heading 1"/>
    <w:basedOn w:val="Normal"/>
    <w:next w:val="Normal"/>
    <w:link w:val="Heading1Char"/>
    <w:uiPriority w:val="9"/>
    <w:qFormat/>
    <w:rsid w:val="00EF1152"/>
    <w:pPr>
      <w:keepNext/>
      <w:keepLines/>
      <w:numPr>
        <w:numId w:val="1"/>
      </w:numPr>
      <w:spacing w:before="240" w:after="24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EF1152"/>
    <w:pPr>
      <w:keepNext/>
      <w:keepLines/>
      <w:numPr>
        <w:ilvl w:val="1"/>
        <w:numId w:val="1"/>
      </w:numPr>
      <w:spacing w:before="40" w:after="0"/>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293361"/>
    <w:pPr>
      <w:keepNext/>
      <w:keepLines/>
      <w:numPr>
        <w:ilvl w:val="2"/>
        <w:numId w:val="1"/>
      </w:numPr>
      <w:spacing w:before="40" w:after="0"/>
      <w:outlineLvl w:val="2"/>
    </w:pPr>
    <w:rPr>
      <w:rFonts w:eastAsiaTheme="majorEastAsia" w:cstheme="majorBidi"/>
      <w:b/>
      <w:sz w:val="24"/>
      <w:szCs w:val="24"/>
    </w:rPr>
  </w:style>
  <w:style w:type="paragraph" w:styleId="Heading4">
    <w:name w:val="heading 4"/>
    <w:basedOn w:val="Normal"/>
    <w:next w:val="Normal"/>
    <w:link w:val="Heading4Char"/>
    <w:uiPriority w:val="9"/>
    <w:unhideWhenUsed/>
    <w:qFormat/>
    <w:rsid w:val="0081436C"/>
    <w:pPr>
      <w:keepNext/>
      <w:keepLines/>
      <w:tabs>
        <w:tab w:val="left" w:pos="907"/>
      </w:tabs>
      <w:spacing w:before="40" w:after="0"/>
      <w:outlineLvl w:val="3"/>
    </w:pPr>
    <w:rPr>
      <w:rFonts w:eastAsiaTheme="majorEastAsia" w:cstheme="majorBidi"/>
      <w:i/>
      <w:iCs/>
      <w:sz w:val="24"/>
    </w:rPr>
  </w:style>
  <w:style w:type="paragraph" w:styleId="Heading5">
    <w:name w:val="heading 5"/>
    <w:basedOn w:val="Normal"/>
    <w:next w:val="Normal"/>
    <w:link w:val="Heading5Char"/>
    <w:uiPriority w:val="9"/>
    <w:unhideWhenUsed/>
    <w:qFormat/>
    <w:rsid w:val="00293361"/>
    <w:pPr>
      <w:keepNext/>
      <w:keepLines/>
      <w:numPr>
        <w:ilvl w:val="4"/>
        <w:numId w:val="1"/>
      </w:numPr>
      <w:spacing w:before="40" w:after="0"/>
      <w:outlineLvl w:val="4"/>
    </w:pPr>
    <w:rPr>
      <w:rFonts w:eastAsiaTheme="majorEastAsia" w:cstheme="majorBidi"/>
      <w:i/>
    </w:rPr>
  </w:style>
  <w:style w:type="paragraph" w:styleId="Heading6">
    <w:name w:val="heading 6"/>
    <w:basedOn w:val="Heading1"/>
    <w:next w:val="Normal"/>
    <w:link w:val="Heading6Char"/>
    <w:uiPriority w:val="9"/>
    <w:unhideWhenUsed/>
    <w:qFormat/>
    <w:rsid w:val="006E78F2"/>
    <w:pPr>
      <w:numPr>
        <w:ilvl w:val="5"/>
      </w:numPr>
      <w:spacing w:before="40" w:after="0"/>
      <w:outlineLvl w:val="5"/>
    </w:pPr>
  </w:style>
  <w:style w:type="paragraph" w:styleId="Heading7">
    <w:name w:val="heading 7"/>
    <w:basedOn w:val="Heading2"/>
    <w:next w:val="Normal"/>
    <w:link w:val="Heading7Char"/>
    <w:uiPriority w:val="9"/>
    <w:unhideWhenUsed/>
    <w:qFormat/>
    <w:rsid w:val="00BD2BA6"/>
    <w:pPr>
      <w:numPr>
        <w:ilvl w:val="6"/>
      </w:numPr>
      <w:jc w:val="left"/>
      <w:outlineLvl w:val="6"/>
    </w:pPr>
    <w:rPr>
      <w:iCs/>
    </w:rPr>
  </w:style>
  <w:style w:type="paragraph" w:styleId="Heading8">
    <w:name w:val="heading 8"/>
    <w:basedOn w:val="Normal"/>
    <w:next w:val="Normal"/>
    <w:link w:val="Heading8Char"/>
    <w:uiPriority w:val="9"/>
    <w:semiHidden/>
    <w:unhideWhenUsed/>
    <w:qFormat/>
    <w:rsid w:val="00BD1FBA"/>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D1FBA"/>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1152"/>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EF1152"/>
    <w:rPr>
      <w:rFonts w:ascii="Times New Roman" w:eastAsiaTheme="majorEastAsia" w:hAnsi="Times New Roman" w:cstheme="majorBidi"/>
      <w:b/>
      <w:sz w:val="28"/>
      <w:szCs w:val="26"/>
    </w:rPr>
  </w:style>
  <w:style w:type="character" w:customStyle="1" w:styleId="Heading3Char">
    <w:name w:val="Heading 3 Char"/>
    <w:basedOn w:val="DefaultParagraphFont"/>
    <w:link w:val="Heading3"/>
    <w:uiPriority w:val="9"/>
    <w:rsid w:val="00293361"/>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81436C"/>
    <w:rPr>
      <w:rFonts w:ascii="Times New Roman" w:eastAsiaTheme="majorEastAsia" w:hAnsi="Times New Roman" w:cstheme="majorBidi"/>
      <w:i/>
      <w:iCs/>
      <w:sz w:val="24"/>
    </w:rPr>
  </w:style>
  <w:style w:type="character" w:customStyle="1" w:styleId="Heading5Char">
    <w:name w:val="Heading 5 Char"/>
    <w:basedOn w:val="DefaultParagraphFont"/>
    <w:link w:val="Heading5"/>
    <w:uiPriority w:val="9"/>
    <w:rsid w:val="00293361"/>
    <w:rPr>
      <w:rFonts w:ascii="Times New Roman" w:eastAsiaTheme="majorEastAsia" w:hAnsi="Times New Roman" w:cstheme="majorBidi"/>
      <w:i/>
    </w:rPr>
  </w:style>
  <w:style w:type="character" w:customStyle="1" w:styleId="Heading6Char">
    <w:name w:val="Heading 6 Char"/>
    <w:basedOn w:val="DefaultParagraphFont"/>
    <w:link w:val="Heading6"/>
    <w:uiPriority w:val="9"/>
    <w:rsid w:val="006E78F2"/>
    <w:rPr>
      <w:rFonts w:ascii="Times New Roman" w:eastAsiaTheme="majorEastAsia" w:hAnsi="Times New Roman" w:cstheme="majorBidi"/>
      <w:b/>
      <w:sz w:val="32"/>
      <w:szCs w:val="32"/>
    </w:rPr>
  </w:style>
  <w:style w:type="character" w:customStyle="1" w:styleId="Heading7Char">
    <w:name w:val="Heading 7 Char"/>
    <w:basedOn w:val="DefaultParagraphFont"/>
    <w:link w:val="Heading7"/>
    <w:uiPriority w:val="9"/>
    <w:rsid w:val="00BD2BA6"/>
    <w:rPr>
      <w:rFonts w:ascii="Times New Roman" w:eastAsiaTheme="majorEastAsia" w:hAnsi="Times New Roman" w:cstheme="majorBidi"/>
      <w:b/>
      <w:iCs/>
      <w:sz w:val="28"/>
      <w:szCs w:val="26"/>
    </w:rPr>
  </w:style>
  <w:style w:type="character" w:customStyle="1" w:styleId="Heading8Char">
    <w:name w:val="Heading 8 Char"/>
    <w:basedOn w:val="DefaultParagraphFont"/>
    <w:link w:val="Heading8"/>
    <w:uiPriority w:val="9"/>
    <w:semiHidden/>
    <w:rsid w:val="00BD1FB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D1FBA"/>
    <w:rPr>
      <w:rFonts w:asciiTheme="majorHAnsi" w:eastAsiaTheme="majorEastAsia" w:hAnsiTheme="majorHAnsi" w:cstheme="majorBidi"/>
      <w:i/>
      <w:iCs/>
      <w:color w:val="272727" w:themeColor="text1" w:themeTint="D8"/>
      <w:sz w:val="21"/>
      <w:szCs w:val="21"/>
    </w:rPr>
  </w:style>
  <w:style w:type="paragraph" w:styleId="TOCHeading">
    <w:name w:val="TOC Heading"/>
    <w:basedOn w:val="Heading1"/>
    <w:next w:val="Normal"/>
    <w:uiPriority w:val="39"/>
    <w:unhideWhenUsed/>
    <w:qFormat/>
    <w:rsid w:val="00BD1FBA"/>
    <w:pPr>
      <w:numPr>
        <w:numId w:val="0"/>
      </w:numPr>
      <w:outlineLvl w:val="9"/>
    </w:pPr>
    <w:rPr>
      <w:lang w:val="en-US"/>
    </w:rPr>
  </w:style>
  <w:style w:type="paragraph" w:styleId="TOC1">
    <w:name w:val="toc 1"/>
    <w:basedOn w:val="Normal"/>
    <w:next w:val="Normal"/>
    <w:autoRedefine/>
    <w:uiPriority w:val="39"/>
    <w:unhideWhenUsed/>
    <w:rsid w:val="00C82EE4"/>
    <w:pPr>
      <w:spacing w:after="100"/>
      <w:ind w:left="1134" w:hanging="1134"/>
    </w:pPr>
  </w:style>
  <w:style w:type="paragraph" w:styleId="TOC2">
    <w:name w:val="toc 2"/>
    <w:basedOn w:val="Normal"/>
    <w:next w:val="Normal"/>
    <w:autoRedefine/>
    <w:uiPriority w:val="39"/>
    <w:unhideWhenUsed/>
    <w:rsid w:val="00BD1FBA"/>
    <w:pPr>
      <w:spacing w:after="100"/>
      <w:ind w:left="220"/>
    </w:pPr>
  </w:style>
  <w:style w:type="paragraph" w:styleId="TOC3">
    <w:name w:val="toc 3"/>
    <w:basedOn w:val="Normal"/>
    <w:next w:val="Normal"/>
    <w:autoRedefine/>
    <w:uiPriority w:val="39"/>
    <w:unhideWhenUsed/>
    <w:rsid w:val="003A3267"/>
    <w:pPr>
      <w:tabs>
        <w:tab w:val="left" w:pos="1320"/>
        <w:tab w:val="right" w:leader="dot" w:pos="8494"/>
      </w:tabs>
      <w:spacing w:after="100"/>
      <w:ind w:left="1293" w:hanging="851"/>
    </w:pPr>
  </w:style>
  <w:style w:type="character" w:styleId="Hyperlink">
    <w:name w:val="Hyperlink"/>
    <w:basedOn w:val="DefaultParagraphFont"/>
    <w:uiPriority w:val="99"/>
    <w:unhideWhenUsed/>
    <w:rsid w:val="00BD1FBA"/>
    <w:rPr>
      <w:color w:val="0563C1" w:themeColor="hyperlink"/>
      <w:u w:val="single"/>
    </w:rPr>
  </w:style>
  <w:style w:type="paragraph" w:styleId="TOC4">
    <w:name w:val="toc 4"/>
    <w:basedOn w:val="Normal"/>
    <w:next w:val="Normal"/>
    <w:autoRedefine/>
    <w:uiPriority w:val="39"/>
    <w:unhideWhenUsed/>
    <w:rsid w:val="00293361"/>
    <w:pPr>
      <w:spacing w:after="100"/>
      <w:ind w:left="660"/>
    </w:pPr>
  </w:style>
  <w:style w:type="paragraph" w:styleId="Header">
    <w:name w:val="header"/>
    <w:basedOn w:val="Normal"/>
    <w:link w:val="HeaderChar"/>
    <w:uiPriority w:val="99"/>
    <w:unhideWhenUsed/>
    <w:rsid w:val="003D51BC"/>
    <w:pPr>
      <w:tabs>
        <w:tab w:val="center" w:pos="4513"/>
        <w:tab w:val="right" w:pos="9026"/>
      </w:tabs>
      <w:spacing w:after="0" w:line="240" w:lineRule="auto"/>
    </w:pPr>
  </w:style>
  <w:style w:type="character" w:customStyle="1" w:styleId="HeaderChar">
    <w:name w:val="Header Char"/>
    <w:basedOn w:val="DefaultParagraphFont"/>
    <w:link w:val="Header"/>
    <w:uiPriority w:val="99"/>
    <w:rsid w:val="003D51BC"/>
    <w:rPr>
      <w:rFonts w:ascii="TUOS Stephenson" w:hAnsi="TUOS Stephenson"/>
    </w:rPr>
  </w:style>
  <w:style w:type="paragraph" w:styleId="Footer">
    <w:name w:val="footer"/>
    <w:basedOn w:val="Normal"/>
    <w:link w:val="FooterChar"/>
    <w:uiPriority w:val="99"/>
    <w:unhideWhenUsed/>
    <w:rsid w:val="003D51BC"/>
    <w:pPr>
      <w:tabs>
        <w:tab w:val="center" w:pos="4513"/>
        <w:tab w:val="right" w:pos="9026"/>
      </w:tabs>
      <w:spacing w:after="0" w:line="240" w:lineRule="auto"/>
    </w:pPr>
  </w:style>
  <w:style w:type="character" w:customStyle="1" w:styleId="FooterChar">
    <w:name w:val="Footer Char"/>
    <w:basedOn w:val="DefaultParagraphFont"/>
    <w:link w:val="Footer"/>
    <w:uiPriority w:val="99"/>
    <w:rsid w:val="003D51BC"/>
    <w:rPr>
      <w:rFonts w:ascii="TUOS Stephenson" w:hAnsi="TUOS Stephenson"/>
    </w:rPr>
  </w:style>
  <w:style w:type="paragraph" w:styleId="Caption">
    <w:name w:val="caption"/>
    <w:basedOn w:val="Normal"/>
    <w:next w:val="Normal"/>
    <w:uiPriority w:val="35"/>
    <w:unhideWhenUsed/>
    <w:qFormat/>
    <w:rsid w:val="002D314A"/>
    <w:pPr>
      <w:spacing w:after="200"/>
    </w:pPr>
    <w:rPr>
      <w:iCs/>
      <w:sz w:val="20"/>
      <w:szCs w:val="18"/>
    </w:rPr>
  </w:style>
  <w:style w:type="table" w:styleId="TableGrid">
    <w:name w:val="Table Grid"/>
    <w:basedOn w:val="TableNormal"/>
    <w:uiPriority w:val="59"/>
    <w:rsid w:val="000D25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6F065E"/>
    <w:pPr>
      <w:spacing w:after="0"/>
      <w:ind w:left="720" w:hanging="720"/>
    </w:pPr>
  </w:style>
  <w:style w:type="paragraph" w:styleId="ListParagraph">
    <w:name w:val="List Paragraph"/>
    <w:basedOn w:val="Normal"/>
    <w:uiPriority w:val="34"/>
    <w:qFormat/>
    <w:rsid w:val="00EF1152"/>
    <w:pPr>
      <w:spacing w:after="240"/>
      <w:ind w:left="720"/>
    </w:pPr>
  </w:style>
  <w:style w:type="paragraph" w:styleId="Bibliography">
    <w:name w:val="Bibliography"/>
    <w:basedOn w:val="Normal"/>
    <w:next w:val="Normal"/>
    <w:uiPriority w:val="37"/>
    <w:unhideWhenUsed/>
    <w:rsid w:val="007E60E4"/>
    <w:pPr>
      <w:spacing w:after="240" w:line="240" w:lineRule="auto"/>
      <w:jc w:val="left"/>
    </w:pPr>
  </w:style>
  <w:style w:type="paragraph" w:styleId="NormalWeb">
    <w:name w:val="Normal (Web)"/>
    <w:basedOn w:val="Normal"/>
    <w:uiPriority w:val="99"/>
    <w:unhideWhenUsed/>
    <w:rsid w:val="007E60E4"/>
    <w:pPr>
      <w:spacing w:before="100" w:beforeAutospacing="1" w:after="100" w:afterAutospacing="1" w:line="240" w:lineRule="auto"/>
      <w:jc w:val="left"/>
    </w:pPr>
    <w:rPr>
      <w:rFonts w:eastAsia="Times New Roman" w:cs="Times New Roman"/>
      <w:sz w:val="24"/>
      <w:szCs w:val="24"/>
      <w:lang w:eastAsia="en-GB"/>
    </w:rPr>
  </w:style>
  <w:style w:type="paragraph" w:styleId="BalloonText">
    <w:name w:val="Balloon Text"/>
    <w:basedOn w:val="Normal"/>
    <w:link w:val="BalloonTextChar"/>
    <w:uiPriority w:val="99"/>
    <w:semiHidden/>
    <w:unhideWhenUsed/>
    <w:rsid w:val="007E60E4"/>
    <w:pPr>
      <w:spacing w:after="0" w:line="240" w:lineRule="auto"/>
      <w:jc w:val="left"/>
    </w:pPr>
    <w:rPr>
      <w:rFonts w:ascii="Tahoma" w:hAnsi="Tahoma" w:cs="Tahoma"/>
      <w:sz w:val="16"/>
      <w:szCs w:val="16"/>
    </w:rPr>
  </w:style>
  <w:style w:type="character" w:customStyle="1" w:styleId="BalloonTextChar">
    <w:name w:val="Balloon Text Char"/>
    <w:basedOn w:val="DefaultParagraphFont"/>
    <w:link w:val="BalloonText"/>
    <w:uiPriority w:val="99"/>
    <w:semiHidden/>
    <w:rsid w:val="007E60E4"/>
    <w:rPr>
      <w:rFonts w:ascii="Tahoma" w:hAnsi="Tahoma" w:cs="Tahoma"/>
      <w:sz w:val="16"/>
      <w:szCs w:val="16"/>
    </w:rPr>
  </w:style>
  <w:style w:type="paragraph" w:customStyle="1" w:styleId="StyleCaptionJustified">
    <w:name w:val="Style Caption + Justified"/>
    <w:basedOn w:val="Caption"/>
    <w:qFormat/>
    <w:rsid w:val="007E60E4"/>
    <w:rPr>
      <w:rFonts w:eastAsia="Times New Roman" w:cs="Times New Roman"/>
      <w:b/>
      <w:bCs/>
      <w:color w:val="A8D08D" w:themeColor="accent6" w:themeTint="99"/>
      <w:szCs w:val="20"/>
    </w:rPr>
  </w:style>
  <w:style w:type="character" w:customStyle="1" w:styleId="current-selection">
    <w:name w:val="current-selection"/>
    <w:basedOn w:val="DefaultParagraphFont"/>
    <w:rsid w:val="00A57540"/>
  </w:style>
  <w:style w:type="character" w:customStyle="1" w:styleId="a">
    <w:name w:val="_"/>
    <w:basedOn w:val="DefaultParagraphFont"/>
    <w:rsid w:val="00A57540"/>
  </w:style>
  <w:style w:type="character" w:customStyle="1" w:styleId="ff7">
    <w:name w:val="ff7"/>
    <w:basedOn w:val="DefaultParagraphFont"/>
    <w:rsid w:val="00A57540"/>
  </w:style>
  <w:style w:type="character" w:customStyle="1" w:styleId="ffa">
    <w:name w:val="ffa"/>
    <w:basedOn w:val="DefaultParagraphFont"/>
    <w:rsid w:val="00A57540"/>
  </w:style>
  <w:style w:type="paragraph" w:styleId="CommentText">
    <w:name w:val="annotation text"/>
    <w:basedOn w:val="Normal"/>
    <w:link w:val="CommentTextChar"/>
    <w:uiPriority w:val="99"/>
    <w:unhideWhenUsed/>
    <w:rsid w:val="00A57540"/>
    <w:pPr>
      <w:spacing w:line="240" w:lineRule="auto"/>
    </w:pPr>
    <w:rPr>
      <w:sz w:val="24"/>
      <w:szCs w:val="24"/>
    </w:rPr>
  </w:style>
  <w:style w:type="character" w:customStyle="1" w:styleId="CommentTextChar">
    <w:name w:val="Comment Text Char"/>
    <w:basedOn w:val="DefaultParagraphFont"/>
    <w:link w:val="CommentText"/>
    <w:uiPriority w:val="99"/>
    <w:rsid w:val="00A57540"/>
    <w:rPr>
      <w:rFonts w:ascii="Times New Roman" w:hAnsi="Times New Roman"/>
      <w:sz w:val="24"/>
      <w:szCs w:val="24"/>
    </w:rPr>
  </w:style>
  <w:style w:type="character" w:customStyle="1" w:styleId="CommentSubjectChar">
    <w:name w:val="Comment Subject Char"/>
    <w:basedOn w:val="CommentTextChar"/>
    <w:link w:val="CommentSubject"/>
    <w:uiPriority w:val="99"/>
    <w:semiHidden/>
    <w:rsid w:val="00A57540"/>
    <w:rPr>
      <w:rFonts w:ascii="Times New Roman" w:hAnsi="Times New Roman"/>
      <w:b/>
      <w:bCs/>
      <w:sz w:val="20"/>
      <w:szCs w:val="20"/>
    </w:rPr>
  </w:style>
  <w:style w:type="paragraph" w:styleId="CommentSubject">
    <w:name w:val="annotation subject"/>
    <w:basedOn w:val="CommentText"/>
    <w:next w:val="CommentText"/>
    <w:link w:val="CommentSubjectChar"/>
    <w:uiPriority w:val="99"/>
    <w:semiHidden/>
    <w:unhideWhenUsed/>
    <w:rsid w:val="00A57540"/>
    <w:rPr>
      <w:b/>
      <w:bCs/>
      <w:sz w:val="20"/>
      <w:szCs w:val="20"/>
    </w:rPr>
  </w:style>
  <w:style w:type="paragraph" w:customStyle="1" w:styleId="Caption-body">
    <w:name w:val="Caption - body"/>
    <w:basedOn w:val="Caption"/>
    <w:link w:val="Caption-bodyChar"/>
    <w:qFormat/>
    <w:rsid w:val="00A57540"/>
    <w:pPr>
      <w:tabs>
        <w:tab w:val="left" w:pos="851"/>
        <w:tab w:val="left" w:pos="8021"/>
      </w:tabs>
      <w:spacing w:before="120"/>
      <w:jc w:val="left"/>
    </w:pPr>
    <w:rPr>
      <w:rFonts w:eastAsia="MS Mincho" w:cs="Times New Roman"/>
      <w:b/>
      <w:bCs/>
      <w:iCs w:val="0"/>
      <w:szCs w:val="20"/>
      <w:lang w:eastAsia="en-GB"/>
    </w:rPr>
  </w:style>
  <w:style w:type="character" w:customStyle="1" w:styleId="Caption-bodyChar">
    <w:name w:val="Caption - body Char"/>
    <w:basedOn w:val="DefaultParagraphFont"/>
    <w:link w:val="Caption-body"/>
    <w:locked/>
    <w:rsid w:val="00A57540"/>
    <w:rPr>
      <w:rFonts w:ascii="Times New Roman" w:eastAsia="MS Mincho" w:hAnsi="Times New Roman" w:cs="Times New Roman"/>
      <w:bCs/>
      <w:szCs w:val="20"/>
      <w:lang w:eastAsia="en-GB"/>
    </w:rPr>
  </w:style>
  <w:style w:type="character" w:customStyle="1" w:styleId="Captionlabel">
    <w:name w:val="Caption label"/>
    <w:basedOn w:val="DefaultParagraphFont"/>
    <w:uiPriority w:val="1"/>
    <w:qFormat/>
    <w:rsid w:val="00A57540"/>
    <w:rPr>
      <w:rFonts w:ascii="Times New Roman" w:hAnsi="Times New Roman"/>
      <w:sz w:val="22"/>
    </w:rPr>
  </w:style>
  <w:style w:type="paragraph" w:styleId="NoSpacing">
    <w:name w:val="No Spacing"/>
    <w:uiPriority w:val="1"/>
    <w:qFormat/>
    <w:rsid w:val="00A57540"/>
    <w:pPr>
      <w:spacing w:after="0" w:line="240" w:lineRule="auto"/>
      <w:jc w:val="both"/>
    </w:pPr>
    <w:rPr>
      <w:rFonts w:ascii="Times New Roman" w:hAnsi="Times New Roman"/>
    </w:rPr>
  </w:style>
  <w:style w:type="paragraph" w:styleId="Revision">
    <w:name w:val="Revision"/>
    <w:hidden/>
    <w:uiPriority w:val="99"/>
    <w:semiHidden/>
    <w:rsid w:val="00B46350"/>
    <w:pPr>
      <w:spacing w:after="0" w:line="240" w:lineRule="auto"/>
    </w:pPr>
    <w:rPr>
      <w:rFonts w:ascii="Times New Roman" w:hAnsi="Times New Roman"/>
    </w:rPr>
  </w:style>
  <w:style w:type="character" w:styleId="CommentReference">
    <w:name w:val="annotation reference"/>
    <w:basedOn w:val="DefaultParagraphFont"/>
    <w:uiPriority w:val="99"/>
    <w:semiHidden/>
    <w:unhideWhenUsed/>
    <w:rsid w:val="00B46350"/>
    <w:rPr>
      <w:sz w:val="18"/>
      <w:szCs w:val="18"/>
    </w:rPr>
  </w:style>
  <w:style w:type="character" w:styleId="SubtleEmphasis">
    <w:name w:val="Subtle Emphasis"/>
    <w:basedOn w:val="DefaultParagraphFont"/>
    <w:uiPriority w:val="19"/>
    <w:qFormat/>
    <w:rsid w:val="00D33359"/>
    <w:rPr>
      <w:i/>
      <w:iCs/>
      <w:color w:val="404040" w:themeColor="text1" w:themeTint="BF"/>
    </w:rPr>
  </w:style>
  <w:style w:type="paragraph" w:styleId="TOC5">
    <w:name w:val="toc 5"/>
    <w:basedOn w:val="Normal"/>
    <w:next w:val="Normal"/>
    <w:autoRedefine/>
    <w:uiPriority w:val="39"/>
    <w:unhideWhenUsed/>
    <w:rsid w:val="00B812E2"/>
    <w:pPr>
      <w:spacing w:after="100" w:line="259" w:lineRule="auto"/>
      <w:ind w:left="880"/>
      <w:jc w:val="left"/>
    </w:pPr>
    <w:rPr>
      <w:rFonts w:asciiTheme="minorHAnsi" w:eastAsiaTheme="minorEastAsia" w:hAnsiTheme="minorHAnsi"/>
      <w:lang w:eastAsia="en-GB"/>
    </w:rPr>
  </w:style>
  <w:style w:type="paragraph" w:styleId="TOC6">
    <w:name w:val="toc 6"/>
    <w:basedOn w:val="Normal"/>
    <w:next w:val="Normal"/>
    <w:autoRedefine/>
    <w:uiPriority w:val="39"/>
    <w:unhideWhenUsed/>
    <w:rsid w:val="00B812E2"/>
    <w:pPr>
      <w:spacing w:after="100" w:line="259" w:lineRule="auto"/>
      <w:ind w:left="1100"/>
      <w:jc w:val="left"/>
    </w:pPr>
    <w:rPr>
      <w:rFonts w:asciiTheme="minorHAnsi" w:eastAsiaTheme="minorEastAsia" w:hAnsiTheme="minorHAnsi"/>
      <w:lang w:eastAsia="en-GB"/>
    </w:rPr>
  </w:style>
  <w:style w:type="paragraph" w:styleId="TOC7">
    <w:name w:val="toc 7"/>
    <w:basedOn w:val="Normal"/>
    <w:next w:val="Normal"/>
    <w:autoRedefine/>
    <w:uiPriority w:val="39"/>
    <w:unhideWhenUsed/>
    <w:rsid w:val="00B812E2"/>
    <w:pPr>
      <w:spacing w:after="100" w:line="259" w:lineRule="auto"/>
      <w:ind w:left="1320"/>
      <w:jc w:val="left"/>
    </w:pPr>
    <w:rPr>
      <w:rFonts w:asciiTheme="minorHAnsi" w:eastAsiaTheme="minorEastAsia" w:hAnsiTheme="minorHAnsi"/>
      <w:lang w:eastAsia="en-GB"/>
    </w:rPr>
  </w:style>
  <w:style w:type="paragraph" w:styleId="TOC8">
    <w:name w:val="toc 8"/>
    <w:basedOn w:val="Normal"/>
    <w:next w:val="Normal"/>
    <w:autoRedefine/>
    <w:uiPriority w:val="39"/>
    <w:unhideWhenUsed/>
    <w:rsid w:val="00B812E2"/>
    <w:pPr>
      <w:spacing w:after="100" w:line="259" w:lineRule="auto"/>
      <w:ind w:left="1540"/>
      <w:jc w:val="left"/>
    </w:pPr>
    <w:rPr>
      <w:rFonts w:asciiTheme="minorHAnsi" w:eastAsiaTheme="minorEastAsia" w:hAnsiTheme="minorHAnsi"/>
      <w:lang w:eastAsia="en-GB"/>
    </w:rPr>
  </w:style>
  <w:style w:type="paragraph" w:styleId="TOC9">
    <w:name w:val="toc 9"/>
    <w:basedOn w:val="Normal"/>
    <w:next w:val="Normal"/>
    <w:autoRedefine/>
    <w:uiPriority w:val="39"/>
    <w:unhideWhenUsed/>
    <w:rsid w:val="00B812E2"/>
    <w:pPr>
      <w:spacing w:after="100" w:line="259" w:lineRule="auto"/>
      <w:ind w:left="1760"/>
      <w:jc w:val="left"/>
    </w:pPr>
    <w:rPr>
      <w:rFonts w:asciiTheme="minorHAnsi" w:eastAsiaTheme="minorEastAsia" w:hAnsiTheme="minorHAnsi"/>
      <w:lang w:eastAsia="en-GB"/>
    </w:rPr>
  </w:style>
  <w:style w:type="paragraph" w:customStyle="1" w:styleId="IntroHeading">
    <w:name w:val="Intro Heading"/>
    <w:basedOn w:val="Heading1"/>
    <w:next w:val="Normal"/>
    <w:qFormat/>
    <w:rsid w:val="000009BB"/>
    <w:pPr>
      <w:numPr>
        <w:numId w:val="0"/>
      </w:numPr>
    </w:pPr>
  </w:style>
  <w:style w:type="paragraph" w:customStyle="1" w:styleId="ReferencesHeading">
    <w:name w:val="References Heading"/>
    <w:basedOn w:val="IntroHeading"/>
    <w:qFormat/>
    <w:rsid w:val="007342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png"/><Relationship Id="rId26" Type="http://schemas.openxmlformats.org/officeDocument/2006/relationships/image" Target="media/image12.png"/><Relationship Id="rId39" Type="http://schemas.openxmlformats.org/officeDocument/2006/relationships/image" Target="media/image25.tiff"/><Relationship Id="rId21" Type="http://schemas.openxmlformats.org/officeDocument/2006/relationships/footer" Target="footer4.xml"/><Relationship Id="rId34" Type="http://schemas.openxmlformats.org/officeDocument/2006/relationships/image" Target="media/image20.png"/><Relationship Id="rId42" Type="http://schemas.openxmlformats.org/officeDocument/2006/relationships/image" Target="media/image28.tiff"/><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jpeg"/><Relationship Id="rId76" Type="http://schemas.openxmlformats.org/officeDocument/2006/relationships/image" Target="media/image61.pn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4.png"/><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jpe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7.png"/><Relationship Id="rId10" Type="http://schemas.openxmlformats.org/officeDocument/2006/relationships/footer" Target="footer2.xml"/><Relationship Id="rId19" Type="http://schemas.openxmlformats.org/officeDocument/2006/relationships/header" Target="header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8.jpeg"/><Relationship Id="rId27" Type="http://schemas.openxmlformats.org/officeDocument/2006/relationships/image" Target="media/image15.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2.png"/><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footer" Target="footer3.xml"/><Relationship Id="rId41" Type="http://schemas.openxmlformats.org/officeDocument/2006/relationships/image" Target="media/image27.tiff"/><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footer" Target="footer5.xml"/><Relationship Id="rId75" Type="http://schemas.openxmlformats.org/officeDocument/2006/relationships/image" Target="media/image60.png"/><Relationship Id="rId83"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oa08db\Documents\Custom%20Office%20Templates\Thesi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70EE8-B818-4055-BDF7-7985447251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Thesis.dotx</Template>
  <TotalTime>1313</TotalTime>
  <Pages>1</Pages>
  <Words>219743</Words>
  <Characters>1252540</Characters>
  <Application>Microsoft Office Word</Application>
  <DocSecurity>0</DocSecurity>
  <Lines>10437</Lines>
  <Paragraphs>2938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1469345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boa08db</dc:creator>
  <cp:keywords/>
  <dc:description/>
  <cp:lastModifiedBy>boa08db</cp:lastModifiedBy>
  <cp:revision>5</cp:revision>
  <cp:lastPrinted>2017-04-26T16:45:00Z</cp:lastPrinted>
  <dcterms:created xsi:type="dcterms:W3CDTF">2017-05-23T15:34:00Z</dcterms:created>
  <dcterms:modified xsi:type="dcterms:W3CDTF">2017-05-24T13:26:00Z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zotero-version="4.0.29.18"&gt;&lt;session id="Eg1odYPi"/&gt;&lt;style id="http://www.zotero.org/styles/new-phytologist" hasBibliography="1" bibliographyStyleHasBeenSet="1"/&gt;&lt;prefs&gt;&lt;pref name="fieldType" value="Field"/&gt;&lt;pref name="storeReference</vt:lpwstr>
  </property>
  <property fmtid="{D5CDD505-2E9C-101B-9397-08002B2CF9AE}" pid="3" name="ZOTERO_PREF_2">
    <vt:lpwstr>s" value="true"/&gt;&lt;pref name="automaticJournalAbbreviations" value=""/&gt;&lt;pref name="noteType" value=""/&gt;&lt;/prefs&gt;&lt;/data&gt;</vt:lpwstr>
  </property>
</Properties>
</file>